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乐山市五通桥区行政审批局</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32"/>
          <w:szCs w:val="32"/>
          <w:highlight w:val="none"/>
          <w:shd w:val="clear" w:color="auto" w:fill="auto"/>
          <w:lang w:val="en-US" w:eastAsia="zh-CN"/>
        </w:rPr>
      </w:pPr>
      <w:r>
        <w:rPr>
          <w:rFonts w:hint="eastAsia" w:ascii="宋体" w:hAnsi="宋体" w:eastAsia="方正小标宋简体" w:cs="方正小标宋简体"/>
          <w:b w:val="0"/>
          <w:bCs w:val="0"/>
          <w:sz w:val="32"/>
          <w:szCs w:val="32"/>
          <w:highlight w:val="none"/>
          <w:shd w:val="clear" w:color="auto" w:fill="auto"/>
          <w:lang w:val="en-US" w:eastAsia="zh-CN"/>
        </w:rPr>
        <w:t>（报告范围包括机关和下属单位）</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_Toc26697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_Toc26697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_Toc2243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_Toc2243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_Toc14227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_Toc14227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_Toc17886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r>
            <w:tab/>
          </w:r>
          <w:r>
            <w:fldChar w:fldCharType="begin"/>
          </w:r>
          <w:r>
            <w:instrText xml:space="preserve"> PAGEREF _Toc17886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_Toc10362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_Toc10362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_Toc32542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第二部分 乐山市五通桥区行政审批局2026年部门预算表</w:t>
          </w:r>
          <w:r>
            <w:tab/>
          </w:r>
          <w:r>
            <w:fldChar w:fldCharType="begin"/>
          </w:r>
          <w:r>
            <w:instrText xml:space="preserve"> PAGEREF _Toc32542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_Toc19191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_Toc19191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_Toc22158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_Toc22158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_Toc2836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_Toc2836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_Toc14737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_Toc14737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_Toc5154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_Toc5154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_Toc13249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_Toc13249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_Toc25244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_Toc25244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_Toc6616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_Toc6616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_Toc8684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_Toc8684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_Toc21698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_Toc21698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_Toc7615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_Toc7615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_Toc5696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_Toc5696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_Toc2691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_Toc2691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_Toc19411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_Toc19411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_Toc18243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_Toc18243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_Toc2500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_Toc2500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_Toc2819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_Toc2819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_Toc14197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_Toc14197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_Toc16959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_Toc16959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_Toc20341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_Toc20341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_Toc17735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二十二、2026-2028年支出计划总表（三年计划总表22）</w:t>
          </w:r>
          <w:r>
            <w:tab/>
          </w:r>
          <w:r>
            <w:fldChar w:fldCharType="begin"/>
          </w:r>
          <w:r>
            <w:instrText xml:space="preserve"> PAGEREF _Toc17735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_Toc22755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二十三、2026-2028年支出计划明细表（三年计划明细表23）</w:t>
          </w:r>
          <w:r>
            <w:tab/>
          </w:r>
          <w:r>
            <w:fldChar w:fldCharType="begin"/>
          </w:r>
          <w:r>
            <w:instrText xml:space="preserve"> PAGEREF _Toc22755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_Toc5767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_Toc5767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_Toc11551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_Toc11551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_Toc4094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44"/>
              <w:lang w:val="en-US" w:eastAsia="zh-CN"/>
            </w:rPr>
            <w:t>第三部分 乐山市五通桥区行政审批局2026年</w:t>
          </w:r>
          <w:r>
            <w:tab/>
          </w:r>
          <w:r>
            <w:fldChar w:fldCharType="begin"/>
          </w:r>
          <w:r>
            <w:instrText xml:space="preserve"> PAGEREF _Toc4094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_Toc29664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44"/>
              <w:lang w:val="en-US" w:eastAsia="zh-CN"/>
            </w:rPr>
            <w:t>部门预算情况说明</w:t>
          </w:r>
          <w:r>
            <w:tab/>
          </w:r>
          <w:r>
            <w:fldChar w:fldCharType="begin"/>
          </w:r>
          <w:r>
            <w:instrText xml:space="preserve"> PAGEREF _Toc29664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_Toc24939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_Toc24939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_Toc20777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_Toc20777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_Toc3329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_Toc3329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_Toc23474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_Toc23474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_Toc16033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_Toc16033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_Toc26557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_Toc26557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_Toc31204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_Toc31204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_Toc20847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rPr>
              <w:rFonts w:hint="eastAsia" w:ascii="宋体" w:hAnsi="宋体"/>
              <w:lang w:eastAsia="zh-CN"/>
            </w:rPr>
            <w:t>（</w:t>
          </w:r>
          <w:r>
            <w:rPr>
              <w:rFonts w:hint="eastAsia" w:ascii="宋体" w:hAnsi="宋体"/>
              <w:highlight w:val="yellow"/>
              <w:lang w:val="en-US" w:eastAsia="zh-CN"/>
            </w:rPr>
            <w:t>按照功能科目类、款、项逐项说明</w:t>
          </w:r>
          <w:r>
            <w:rPr>
              <w:rFonts w:hint="eastAsia" w:ascii="宋体" w:hAnsi="宋体"/>
              <w:highlight w:val="yellow"/>
              <w:lang w:eastAsia="zh-CN"/>
            </w:rPr>
            <w:t>）</w:t>
          </w:r>
          <w:r>
            <w:tab/>
          </w:r>
          <w:r>
            <w:fldChar w:fldCharType="begin"/>
          </w:r>
          <w:r>
            <w:instrText xml:space="preserve"> PAGEREF _Toc20847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_Toc15743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_Toc15743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_Toc2857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_Toc2857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_Toc28362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_Toc28362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_Toc6007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_Toc6007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_Toc13933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eastAsia="zh-CN"/>
            </w:rPr>
            <w:t>三</w:t>
          </w:r>
          <w:r>
            <w:rPr>
              <w:rFonts w:ascii="宋体" w:hAnsi="宋体"/>
            </w:rPr>
            <w:t>）</w:t>
          </w:r>
          <w:r>
            <w:rPr>
              <w:rFonts w:hint="eastAsia" w:ascii="宋体" w:hAnsi="宋体"/>
              <w:lang w:val="en-US" w:eastAsia="zh-CN"/>
            </w:rPr>
            <w:t>因公出国（境）费用变化情况</w:t>
          </w:r>
          <w:r>
            <w:tab/>
          </w:r>
          <w:r>
            <w:fldChar w:fldCharType="begin"/>
          </w:r>
          <w:r>
            <w:instrText xml:space="preserve"> PAGEREF _Toc13933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_Toc4997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_Toc4997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_Toc32638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_Toc32638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_Toc24130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_Toc24130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_Toc5275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_Toc5275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_Toc2454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_Toc2454 \h </w:instrText>
          </w:r>
          <w:r>
            <w:fldChar w:fldCharType="separate"/>
          </w:r>
          <w:r>
            <w:t>17</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_Toc29376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_Toc29376 \h </w:instrText>
          </w:r>
          <w:r>
            <w:fldChar w:fldCharType="separate"/>
          </w:r>
          <w:r>
            <w:t>17</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_Toc28252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_Toc28252 \h </w:instrText>
          </w:r>
          <w:r>
            <w:fldChar w:fldCharType="separate"/>
          </w:r>
          <w:r>
            <w:t>17</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_Toc26607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_Toc26607 \h </w:instrText>
          </w:r>
          <w:r>
            <w:fldChar w:fldCharType="separate"/>
          </w:r>
          <w:r>
            <w:t>18</w:t>
          </w:r>
          <w:r>
            <w:fldChar w:fldCharType="end"/>
          </w:r>
          <w:r>
            <w:rPr>
              <w:rFonts w:hint="eastAsia" w:ascii="宋体" w:hAnsi="宋体" w:eastAsia="方正小标宋简体" w:cs="方正小标宋简体"/>
              <w:bCs/>
              <w:szCs w:val="48"/>
              <w:lang w:val="en-US" w:eastAsia="zh-CN"/>
            </w:rPr>
            <w:fldChar w:fldCharType="end"/>
          </w:r>
        </w:p>
        <w:p>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26697"/>
      <w:r>
        <w:rPr>
          <w:rFonts w:hint="eastAsia" w:ascii="宋体" w:hAnsi="宋体" w:eastAsia="方正小标宋简体" w:cs="方正小标宋简体"/>
          <w:b/>
          <w:bCs/>
          <w:sz w:val="52"/>
          <w:szCs w:val="52"/>
          <w:lang w:val="en-US" w:eastAsia="zh-CN"/>
        </w:rPr>
        <w:t>部门概况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2243"/>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14227"/>
      <w:r>
        <w:rPr>
          <w:rFonts w:ascii="宋体" w:hAnsi="宋体"/>
        </w:rPr>
        <w:t>（一）部门职能简介</w:t>
      </w:r>
      <w:bookmarkEnd w:id="2"/>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rPr>
      </w:pPr>
      <w:r>
        <w:rPr>
          <w:rFonts w:hint="eastAsia" w:ascii="宋体" w:hAnsi="宋体"/>
          <w:sz w:val="32"/>
          <w:lang w:val="en-US" w:eastAsia="zh-CN"/>
        </w:rPr>
        <w:t>1.</w:t>
      </w:r>
      <w:r>
        <w:rPr>
          <w:rFonts w:hint="eastAsia" w:ascii="仿宋_GB2312" w:hAnsi="宋体" w:eastAsia="仿宋_GB2312" w:cs="仿宋_GB2312"/>
          <w:color w:val="000000"/>
          <w:sz w:val="32"/>
          <w:szCs w:val="32"/>
        </w:rPr>
        <w:t>贯彻落实国家、省、市有关行政审批制度改革的决定，创新和完善相关工作体制机制;负责拟订加强和优化全区行政审批制度改革的政策、措施和制度并组织实施。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rPr>
      </w:pPr>
      <w:r>
        <w:rPr>
          <w:rFonts w:hint="eastAsia" w:ascii="宋体" w:hAnsi="宋体"/>
          <w:sz w:val="32"/>
          <w:lang w:val="en-US" w:eastAsia="zh-CN"/>
        </w:rPr>
        <w:t>2.</w:t>
      </w:r>
      <w:r>
        <w:rPr>
          <w:rFonts w:hint="eastAsia" w:ascii="仿宋_GB2312" w:hAnsi="宋体" w:eastAsia="仿宋_GB2312" w:cs="仿宋_GB2312"/>
          <w:color w:val="000000"/>
          <w:sz w:val="32"/>
          <w:szCs w:val="32"/>
        </w:rPr>
        <w:t>负责指导全区政务服务、便民服务体系建设，负责建立行政审批、公共服务运行规程和考核体系；负责对全区行政审批制度改革工作部署情况进行考核评价，配合有关部门对营商环境问题进行督查问责;负责指导区级公共服务事项开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3.负责全区行政审批、政务服务行为和行政效能建设监督检查工作，负责受理公民、法人和其他组织对全区党政机关及其任命的工作人员不作为、慢作为、乱作为等政务服务行为的投诉，根据职能分工交办相关部门，并跟踪监督，督促落实。负责对窗口工作人员进行日常监管，教育培训和检查考核。</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4.牵头推进简政放权、放管结合、优化政务服务改革和行政审批制度改革。</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5.负责拟订加强政务服务工作的政策、制度、办法和标准并指导实施；指导并推进政务服务体系建设和标准化建设工作。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6.行使相对集中行政许可权，负责集中办理相关行政审批事项。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7.负责清理规范行政审批前置条件;负责对行政审批事项流程进行规范和优化，推进行政审批标准化建设;推进行政审批依法规范公开运行工作。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8.负责统一组织实施行政审批涉及的现场勘查、技术论证和社会听证等工作。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9.负责指导协调垂管部门行政审批事项和区级公共服务事项入驻区行政审批局办事服务大厅集中受理、办理。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10.负责对一体化政务服务平台的管理和维护，对全区政务服务实施电子监控;会同有关部门加强“互联网+政务服务”信息化建设，负责对全区政务服务相关信息进行公开并提供查询:负责对政务服务事项受理办理情况进行统计、预警和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11.负责职责范围内的安全生产和职业健康、生态环境保护等工作。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12.完成区委、区政府交办的其他任务。</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rPr>
      </w:pPr>
      <w:r>
        <w:rPr>
          <w:rFonts w:hint="eastAsia" w:ascii="宋体" w:hAnsi="宋体" w:eastAsia="宋体" w:cs="宋体"/>
          <w:sz w:val="32"/>
          <w:lang w:val="en-US" w:eastAsia="zh-CN"/>
        </w:rPr>
        <w:t>13.有关</w:t>
      </w:r>
      <w:r>
        <w:rPr>
          <w:rFonts w:hint="eastAsia" w:ascii="仿宋_GB2312" w:hAnsi="宋体" w:eastAsia="仿宋_GB2312" w:cs="仿宋_GB2312"/>
          <w:color w:val="000000"/>
          <w:sz w:val="32"/>
          <w:szCs w:val="32"/>
        </w:rPr>
        <w:t>职责分工：</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rPr>
        <w:t>①区行政审批局负责实施行政审批的受理、审査、决定、</w:t>
      </w:r>
      <w:r>
        <w:rPr>
          <w:rFonts w:hint="eastAsia" w:ascii="仿宋_GB2312" w:hAnsi="宋体" w:eastAsia="仿宋_GB2312" w:cs="仿宋_GB2312"/>
          <w:color w:val="000000"/>
          <w:sz w:val="32"/>
          <w:szCs w:val="32"/>
          <w:lang w:val="en-US" w:eastAsia="zh-CN"/>
        </w:rPr>
        <w:t>送达及听证等职责。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②区行政审批局应及时向各职能部门通报行政审批事项办理情况，便于职能部门对办理的审批事项实施后续监管;各职能部门要及时将涉及本部门行政审批的法律、法规和规定的更新情况告知区行政审批局，对上级部门下发的涉及行政审批相关事项的文件及时转送区行政审批局。</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③划转到区行政审批局职责范围内，但需上报省、市部门审批的事项，以区行政审批局名义上报，主管部门具体办理。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④区行政审批局负责组建专业化现场踏勘队伍，采用建立专家库、购买社会化服务、职能部门配合等多种方式，实施联合踏勘和专业踏勘，形成审批、踏勘、办证等紧密连接的工作机制。</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⑤区行政审批局承担的行政审批事项实行目录管理，根据国务院、省、市、区政府对行政审批事项的调整情况实行动态调整。</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仿宋_GB2312" w:hAnsi="宋体" w:eastAsia="仿宋_GB2312" w:cs="仿宋_GB2312"/>
          <w:color w:val="000000"/>
          <w:sz w:val="32"/>
          <w:szCs w:val="32"/>
          <w:lang w:val="en-US" w:eastAsia="zh-CN"/>
        </w:rPr>
      </w:pPr>
      <w:r>
        <w:rPr>
          <w:rFonts w:hint="eastAsia" w:ascii="宋体" w:hAnsi="宋体" w:eastAsia="宋体" w:cs="宋体"/>
          <w:sz w:val="32"/>
          <w:szCs w:val="22"/>
          <w:lang w:val="en-US" w:eastAsia="zh-CN" w:bidi="zh-CN"/>
        </w:rPr>
        <w:t>14.负</w:t>
      </w:r>
      <w:r>
        <w:rPr>
          <w:rFonts w:hint="eastAsia" w:ascii="仿宋_GB2312" w:hAnsi="宋体" w:eastAsia="仿宋_GB2312" w:cs="仿宋_GB2312"/>
          <w:color w:val="auto"/>
          <w:sz w:val="32"/>
          <w:szCs w:val="32"/>
          <w:lang w:eastAsia="zh-CN"/>
        </w:rPr>
        <w:t>责全区公共资源交易的管理监督、指导、协调；负责管理五通桥区公共资源交易服务中心。</w:t>
      </w:r>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17886"/>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宋体" w:cs="宋体"/>
          <w:sz w:val="32"/>
          <w:szCs w:val="22"/>
          <w:lang w:val="en-US" w:eastAsia="zh-CN" w:bidi="zh-CN"/>
        </w:rPr>
      </w:pPr>
      <w:r>
        <w:rPr>
          <w:rFonts w:hint="eastAsia" w:ascii="宋体" w:hAnsi="宋体" w:eastAsia="宋体" w:cs="宋体"/>
          <w:sz w:val="32"/>
          <w:szCs w:val="22"/>
          <w:lang w:val="en-US" w:eastAsia="zh-CN" w:bidi="zh-CN"/>
        </w:rPr>
        <w:t>1.</w:t>
      </w:r>
      <w:r>
        <w:rPr>
          <w:rFonts w:hint="eastAsia" w:ascii="仿宋_GB2312" w:eastAsia="仿宋_GB2312" w:cs="Times New Roman"/>
          <w:sz w:val="32"/>
          <w:szCs w:val="32"/>
        </w:rPr>
        <w:t>持续做好省一体化平台事项配置、办事指南核对等检查，并做好“天府通办”分站点PC端和移动端的数据更新维护以及数字政府建设相关工作</w:t>
      </w:r>
      <w:r>
        <w:rPr>
          <w:rFonts w:hint="eastAsia" w:ascii="宋体" w:hAnsi="宋体" w:eastAsia="宋体" w:cs="宋体"/>
          <w:sz w:val="32"/>
          <w:szCs w:val="22"/>
          <w:lang w:val="en-US" w:eastAsia="zh-CN" w:bidi="zh-CN"/>
        </w:rPr>
        <w:t>；</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宋体" w:cs="宋体"/>
          <w:sz w:val="32"/>
          <w:szCs w:val="22"/>
          <w:lang w:val="en-US" w:eastAsia="zh-CN" w:bidi="zh-CN"/>
        </w:rPr>
      </w:pPr>
      <w:r>
        <w:rPr>
          <w:rFonts w:hint="eastAsia" w:ascii="宋体" w:hAnsi="宋体" w:eastAsia="宋体" w:cs="宋体"/>
          <w:sz w:val="32"/>
          <w:szCs w:val="22"/>
          <w:lang w:val="en-US" w:eastAsia="zh-CN" w:bidi="zh-CN"/>
        </w:rPr>
        <w:t>2.持续推进“高效办成一件事”和惠企政策“直达快享”工作，不断提升企业群众的幸福感、获得感；</w:t>
      </w:r>
      <w:r>
        <w:rPr>
          <w:rFonts w:hint="eastAsia" w:ascii="仿宋_GB2312" w:eastAsia="仿宋_GB2312" w:cs="Times New Roman"/>
          <w:sz w:val="32"/>
          <w:szCs w:val="32"/>
        </w:rPr>
        <w:t>从产业发展和企业需求出发，在优化提升基本政务服务基础上，进一步整合政府、市场、社会三方资源，提供人才、法治等增值服务，拟定涉企服务事项清单，不断提高涉企服务质量</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宋体" w:cs="宋体"/>
          <w:sz w:val="32"/>
          <w:szCs w:val="22"/>
          <w:lang w:val="en-US" w:eastAsia="zh-CN" w:bidi="zh-CN"/>
        </w:rPr>
      </w:pPr>
      <w:r>
        <w:rPr>
          <w:rFonts w:hint="eastAsia" w:ascii="宋体" w:hAnsi="宋体" w:eastAsia="宋体" w:cs="宋体"/>
          <w:sz w:val="32"/>
          <w:szCs w:val="22"/>
          <w:lang w:val="en-US" w:eastAsia="zh-CN" w:bidi="zh-CN"/>
        </w:rPr>
        <w:t>3.保障行政审批事务的正常办理，保障区政务中心与镇便民服务中心的正常运转。</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宋体" w:cs="宋体"/>
          <w:sz w:val="32"/>
          <w:szCs w:val="22"/>
          <w:lang w:val="en-US" w:eastAsia="zh-CN" w:bidi="zh-CN"/>
        </w:rPr>
      </w:pPr>
      <w:r>
        <w:rPr>
          <w:rFonts w:hint="eastAsia" w:ascii="宋体" w:hAnsi="宋体" w:eastAsia="宋体" w:cs="宋体"/>
          <w:sz w:val="32"/>
          <w:szCs w:val="22"/>
          <w:lang w:val="en-US" w:eastAsia="zh-CN" w:bidi="zh-CN"/>
        </w:rPr>
        <w:t>4.</w:t>
      </w:r>
      <w:r>
        <w:rPr>
          <w:rFonts w:hint="eastAsia" w:ascii="仿宋_GB2312" w:eastAsia="仿宋_GB2312" w:cs="Times New Roman"/>
          <w:sz w:val="32"/>
          <w:szCs w:val="32"/>
        </w:rPr>
        <w:t>加强行政许可事项“一单一图一表”管理运行，严格落实行政许可“一张清单”“一图一表”，不断规范全区行政许可事项办理。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w:t>
      </w:r>
      <w:r>
        <w:rPr>
          <w:rFonts w:hint="eastAsia" w:ascii="仿宋_GB2312" w:eastAsia="仿宋_GB2312" w:cs="Times New Roman"/>
          <w:sz w:val="32"/>
          <w:szCs w:val="32"/>
        </w:rPr>
        <w:t>持续巩固交易中心规范化水平。区交易中心将按照区委区政府的要求，进一步加强信息公开工作，力争在规范化、制度化、程序化等方面取得新进展，更好的服务于党政和群众的信息公开需求，使政务公开工作再上一个新的台阶</w:t>
      </w:r>
      <w:r>
        <w:rPr>
          <w:rFonts w:hint="eastAsia" w:ascii="宋体" w:hAnsi="宋体"/>
          <w:sz w:val="32"/>
          <w:lang w:val="en-US" w:eastAsia="zh-CN"/>
        </w:rPr>
        <w:t>。</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6.</w:t>
      </w:r>
      <w:r>
        <w:rPr>
          <w:rFonts w:hint="eastAsia" w:ascii="仿宋_GB2312" w:eastAsia="仿宋_GB2312" w:cs="Times New Roman"/>
          <w:sz w:val="32"/>
          <w:szCs w:val="32"/>
        </w:rPr>
        <w:t>紧紧围绕省委、市委、区委、区政府中心工作，以“公开、公平、公正和高效、廉洁”为目标，以数字化转型为牵引，以优化营商环境为主线，持续深化公共资源交易平台整合共享，为全区“十五五”规划良好开局贡献交易力量。</w:t>
      </w: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10362"/>
      <w:r>
        <w:rPr>
          <w:rFonts w:hint="eastAsia" w:ascii="宋体" w:hAnsi="宋体" w:eastAsia="黑体"/>
          <w:color w:val="333333"/>
        </w:rPr>
        <w:t>二、部门预算单位构成</w:t>
      </w:r>
      <w:bookmarkEnd w:id="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部门下属预算单位3个（含局机关），其中行政单位1个，参照公务员法管理的事业单位0个，其他事业单位2个。主要包括：</w:t>
      </w:r>
    </w:p>
    <w:tbl>
      <w:tblPr>
        <w:tblStyle w:val="10"/>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4"/>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pPr>
              <w:pStyle w:val="14"/>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4"/>
              <w:spacing w:before="181"/>
              <w:ind w:left="748"/>
              <w:rPr>
                <w:rFonts w:ascii="宋体" w:hAnsi="宋体"/>
                <w:sz w:val="32"/>
              </w:rPr>
            </w:pPr>
            <w:r>
              <w:rPr>
                <w:rFonts w:ascii="宋体" w:hAnsi="宋体"/>
                <w:color w:val="333333"/>
                <w:w w:val="99"/>
                <w:sz w:val="32"/>
              </w:rPr>
              <w:t>1</w:t>
            </w:r>
          </w:p>
        </w:tc>
        <w:tc>
          <w:tcPr>
            <w:tcW w:w="6282" w:type="dxa"/>
          </w:tcPr>
          <w:p>
            <w:pPr>
              <w:pStyle w:val="14"/>
              <w:spacing w:before="160"/>
              <w:rPr>
                <w:rFonts w:hint="default" w:ascii="宋体" w:hAnsi="宋体" w:eastAsia="仿宋_GB2312"/>
                <w:sz w:val="32"/>
                <w:lang w:val="en-US" w:eastAsia="zh-CN"/>
              </w:rPr>
            </w:pPr>
            <w:r>
              <w:rPr>
                <w:rFonts w:hint="eastAsia" w:eastAsia="仿宋_GB2312"/>
                <w:sz w:val="32"/>
                <w:lang w:val="en-US" w:eastAsia="zh-CN"/>
              </w:rPr>
              <w:t>311001-乐山市五通桥区行政审批局本级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4"/>
              <w:spacing w:before="183"/>
              <w:ind w:left="748"/>
              <w:rPr>
                <w:rFonts w:ascii="宋体" w:hAnsi="宋体"/>
                <w:sz w:val="32"/>
              </w:rPr>
            </w:pPr>
            <w:r>
              <w:rPr>
                <w:rFonts w:ascii="宋体" w:hAnsi="宋体"/>
                <w:color w:val="333333"/>
                <w:w w:val="99"/>
                <w:sz w:val="32"/>
              </w:rPr>
              <w:t>2</w:t>
            </w:r>
          </w:p>
        </w:tc>
        <w:tc>
          <w:tcPr>
            <w:tcW w:w="6282" w:type="dxa"/>
          </w:tcPr>
          <w:p>
            <w:pPr>
              <w:pStyle w:val="14"/>
              <w:spacing w:before="162"/>
              <w:jc w:val="both"/>
              <w:rPr>
                <w:rFonts w:hint="default" w:ascii="宋体" w:hAnsi="宋体" w:eastAsia="仿宋_GB2312"/>
                <w:sz w:val="32"/>
                <w:lang w:val="en-US" w:eastAsia="zh-CN"/>
              </w:rPr>
            </w:pPr>
            <w:r>
              <w:rPr>
                <w:rFonts w:hint="eastAsia" w:eastAsia="仿宋_GB2312"/>
                <w:sz w:val="32"/>
                <w:lang w:val="en-US" w:eastAsia="zh-CN"/>
              </w:rPr>
              <w:t>311302-五通桥区政务大厅服务中心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4"/>
              <w:spacing w:before="183"/>
              <w:ind w:left="748"/>
              <w:rPr>
                <w:rFonts w:ascii="宋体" w:hAnsi="宋体"/>
                <w:sz w:val="32"/>
              </w:rPr>
            </w:pPr>
            <w:r>
              <w:rPr>
                <w:rFonts w:ascii="宋体" w:hAnsi="宋体"/>
                <w:color w:val="333333"/>
                <w:w w:val="99"/>
                <w:sz w:val="32"/>
              </w:rPr>
              <w:t>3</w:t>
            </w:r>
          </w:p>
        </w:tc>
        <w:tc>
          <w:tcPr>
            <w:tcW w:w="6282" w:type="dxa"/>
          </w:tcPr>
          <w:p>
            <w:pPr>
              <w:pStyle w:val="14"/>
              <w:spacing w:before="162"/>
              <w:rPr>
                <w:rFonts w:hint="default" w:ascii="宋体" w:hAnsi="宋体" w:eastAsia="仿宋_GB2312"/>
                <w:sz w:val="32"/>
                <w:lang w:val="en-US" w:eastAsia="zh-CN"/>
              </w:rPr>
            </w:pPr>
            <w:r>
              <w:rPr>
                <w:rFonts w:hint="eastAsia" w:eastAsia="仿宋_GB2312"/>
                <w:sz w:val="32"/>
                <w:lang w:val="en-US" w:eastAsia="zh-CN"/>
              </w:rPr>
              <w:t>311303-五通桥区公共资源交易服务中心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pPr>
              <w:pStyle w:val="14"/>
              <w:spacing w:before="183"/>
              <w:ind w:left="748"/>
              <w:rPr>
                <w:rFonts w:ascii="宋体" w:hAnsi="宋体"/>
                <w:sz w:val="32"/>
              </w:rPr>
            </w:pPr>
            <w:r>
              <w:rPr>
                <w:rFonts w:ascii="宋体" w:hAnsi="宋体"/>
                <w:color w:val="333333"/>
                <w:w w:val="99"/>
                <w:sz w:val="32"/>
              </w:rPr>
              <w:t>4</w:t>
            </w:r>
          </w:p>
        </w:tc>
        <w:tc>
          <w:tcPr>
            <w:tcW w:w="6282" w:type="dxa"/>
          </w:tcPr>
          <w:p>
            <w:pPr>
              <w:pStyle w:val="14"/>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4"/>
              <w:spacing w:before="183"/>
              <w:ind w:left="748"/>
              <w:rPr>
                <w:rFonts w:ascii="宋体" w:hAnsi="宋体"/>
                <w:sz w:val="32"/>
              </w:rPr>
            </w:pPr>
            <w:r>
              <w:rPr>
                <w:rFonts w:ascii="宋体" w:hAnsi="宋体"/>
                <w:color w:val="333333"/>
                <w:w w:val="99"/>
                <w:sz w:val="32"/>
              </w:rPr>
              <w:t>5</w:t>
            </w:r>
          </w:p>
        </w:tc>
        <w:tc>
          <w:tcPr>
            <w:tcW w:w="6282" w:type="dxa"/>
          </w:tcPr>
          <w:p>
            <w:pPr>
              <w:pStyle w:val="14"/>
              <w:spacing w:before="162"/>
              <w:ind w:left="746"/>
              <w:rPr>
                <w:rFonts w:hint="eastAsia" w:ascii="宋体" w:hAnsi="宋体" w:eastAsia="仿宋_GB2312"/>
                <w:sz w:val="32"/>
              </w:rPr>
            </w:pPr>
          </w:p>
        </w:tc>
      </w:tr>
    </w:tbl>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32542"/>
      <w:r>
        <w:rPr>
          <w:rFonts w:hint="eastAsia" w:ascii="宋体" w:hAnsi="宋体" w:eastAsia="方正小标宋简体" w:cs="方正小标宋简体"/>
          <w:b/>
          <w:bCs/>
          <w:sz w:val="52"/>
          <w:szCs w:val="52"/>
          <w:lang w:val="en-US" w:eastAsia="zh-CN"/>
        </w:rPr>
        <w:t>乐山市五通桥区行政审批局2026年部门预算表</w:t>
      </w:r>
      <w:bookmarkEnd w:id="5"/>
    </w:p>
    <w:p>
      <w:pPr>
        <w:rPr>
          <w:rFonts w:hint="eastAsia" w:ascii="宋体" w:hAnsi="宋体"/>
          <w:sz w:val="32"/>
          <w:lang w:val="en-US" w:eastAsia="zh-CN"/>
        </w:rPr>
      </w:pPr>
      <w:r>
        <w:rPr>
          <w:rFonts w:ascii="宋体" w:hAnsi="宋体"/>
          <w:color w:val="333333"/>
        </w:rPr>
        <w:br w:type="page"/>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191"/>
      <w:r>
        <w:rPr>
          <w:rFonts w:hint="eastAsia" w:ascii="宋体" w:hAnsi="宋体"/>
          <w:sz w:val="32"/>
          <w:lang w:val="en-US" w:eastAsia="zh-CN"/>
        </w:rPr>
        <w:t>一、收支预算总表（收支总表1）</w:t>
      </w:r>
      <w:bookmarkEnd w:id="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2158"/>
      <w:r>
        <w:rPr>
          <w:rFonts w:hint="eastAsia" w:ascii="宋体" w:hAnsi="宋体"/>
          <w:sz w:val="32"/>
          <w:lang w:val="en-US" w:eastAsia="zh-CN"/>
        </w:rPr>
        <w:t>二、收入预算总表（收入总表2）</w:t>
      </w:r>
      <w:bookmarkEnd w:id="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2836"/>
      <w:r>
        <w:rPr>
          <w:rFonts w:hint="eastAsia" w:ascii="宋体" w:hAnsi="宋体"/>
          <w:sz w:val="32"/>
          <w:lang w:val="en-US" w:eastAsia="zh-CN"/>
        </w:rPr>
        <w:t>三、征收预期表（征收预期3）</w:t>
      </w:r>
      <w:bookmarkEnd w:id="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14737"/>
      <w:r>
        <w:rPr>
          <w:rFonts w:hint="eastAsia" w:ascii="宋体" w:hAnsi="宋体"/>
          <w:sz w:val="32"/>
          <w:lang w:val="en-US" w:eastAsia="zh-CN"/>
        </w:rPr>
        <w:t>四、支出预算总表（支出总表4）</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5154"/>
      <w:r>
        <w:rPr>
          <w:rFonts w:hint="eastAsia" w:ascii="宋体" w:hAnsi="宋体"/>
          <w:sz w:val="32"/>
          <w:lang w:val="en-US" w:eastAsia="zh-CN"/>
        </w:rPr>
        <w:t>五、财政拨款预算总表（财拨总表5）</w:t>
      </w:r>
      <w:bookmarkEnd w:id="1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13249"/>
      <w:r>
        <w:rPr>
          <w:rFonts w:hint="eastAsia" w:ascii="宋体" w:hAnsi="宋体"/>
          <w:sz w:val="32"/>
          <w:lang w:val="en-US" w:eastAsia="zh-CN"/>
        </w:rPr>
        <w:t>六、一般公共预算支出表（一般预算支出6）</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25244"/>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6616"/>
      <w:r>
        <w:rPr>
          <w:rFonts w:hint="eastAsia" w:ascii="宋体" w:hAnsi="宋体"/>
          <w:sz w:val="32"/>
          <w:lang w:val="en-US" w:eastAsia="zh-CN"/>
        </w:rPr>
        <w:t>八、一般公共预算“三公”经费支出预算表（三公8）</w:t>
      </w:r>
      <w:bookmarkEnd w:id="1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8684"/>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21698"/>
      <w:r>
        <w:rPr>
          <w:rFonts w:hint="eastAsia" w:ascii="宋体" w:hAnsi="宋体"/>
          <w:sz w:val="32"/>
          <w:lang w:val="en-US" w:eastAsia="zh-CN"/>
        </w:rPr>
        <w:t>十、国有资本经营预算支出表（国资10）</w:t>
      </w:r>
      <w:bookmarkEnd w:id="1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7615"/>
      <w:r>
        <w:rPr>
          <w:rFonts w:hint="eastAsia" w:ascii="宋体" w:hAnsi="宋体"/>
          <w:sz w:val="32"/>
          <w:lang w:val="en-US" w:eastAsia="zh-CN"/>
        </w:rPr>
        <w:t>十一、支出功能分类预算表（支出功能11）</w:t>
      </w:r>
      <w:bookmarkEnd w:id="1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5696"/>
      <w:r>
        <w:rPr>
          <w:rFonts w:hint="eastAsia" w:ascii="宋体" w:hAnsi="宋体"/>
          <w:sz w:val="32"/>
          <w:lang w:val="en-US" w:eastAsia="zh-CN"/>
        </w:rPr>
        <w:t>十二、支出经济分类预算表（支出经济分类12）</w:t>
      </w:r>
      <w:bookmarkEnd w:id="1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2691"/>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19411"/>
      <w:r>
        <w:rPr>
          <w:rFonts w:hint="eastAsia" w:ascii="宋体" w:hAnsi="宋体"/>
          <w:sz w:val="32"/>
          <w:lang w:val="en-US" w:eastAsia="zh-CN"/>
        </w:rPr>
        <w:t>十四、项目支出表（项目支出14）</w:t>
      </w:r>
      <w:bookmarkEnd w:id="1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18243"/>
      <w:r>
        <w:rPr>
          <w:rFonts w:hint="eastAsia" w:ascii="宋体" w:hAnsi="宋体"/>
          <w:sz w:val="32"/>
          <w:lang w:val="en-US" w:eastAsia="zh-CN"/>
        </w:rPr>
        <w:t>十六、政府购买服务预算表（购买服务16）</w:t>
      </w:r>
      <w:bookmarkEnd w:id="2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2500"/>
      <w:bookmarkStart w:id="22" w:name="_Toc16458"/>
      <w:r>
        <w:rPr>
          <w:rFonts w:hint="eastAsia" w:ascii="宋体" w:hAnsi="宋体"/>
          <w:sz w:val="32"/>
          <w:lang w:val="en-US" w:eastAsia="zh-CN"/>
        </w:rPr>
        <w:t>十七、采购需求表（采购需求表17）</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2819"/>
      <w:r>
        <w:rPr>
          <w:rFonts w:hint="eastAsia" w:ascii="宋体" w:hAnsi="宋体"/>
          <w:sz w:val="32"/>
          <w:lang w:val="en-US" w:eastAsia="zh-CN"/>
        </w:rPr>
        <w:t>十八、国有资产配置预算表（资产18）</w:t>
      </w:r>
      <w:bookmarkEnd w:id="2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14197"/>
      <w:r>
        <w:rPr>
          <w:rFonts w:hint="eastAsia" w:ascii="宋体" w:hAnsi="宋体"/>
          <w:sz w:val="32"/>
          <w:lang w:val="en-US" w:eastAsia="zh-CN"/>
        </w:rPr>
        <w:t>十九、项目支出绩效表（项目绩效19）</w:t>
      </w:r>
      <w:bookmarkEnd w:id="2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16959"/>
      <w:r>
        <w:rPr>
          <w:rFonts w:hint="eastAsia" w:ascii="宋体" w:hAnsi="宋体"/>
          <w:sz w:val="32"/>
          <w:lang w:val="en-US" w:eastAsia="zh-CN"/>
        </w:rPr>
        <w:t>二十、部门绩效表（部门绩效20）</w:t>
      </w:r>
      <w:bookmarkEnd w:id="2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20341"/>
      <w:r>
        <w:rPr>
          <w:rFonts w:hint="eastAsia" w:ascii="宋体" w:hAnsi="宋体"/>
          <w:sz w:val="32"/>
          <w:lang w:val="en-US" w:eastAsia="zh-CN"/>
        </w:rPr>
        <w:t>二十一、年初政府采购项目预算表（政府采购项目预算表21）</w:t>
      </w:r>
      <w:bookmarkEnd w:id="2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7735"/>
      <w:r>
        <w:rPr>
          <w:rFonts w:hint="eastAsia" w:ascii="宋体" w:hAnsi="宋体"/>
          <w:sz w:val="32"/>
          <w:lang w:val="en-US" w:eastAsia="zh-CN"/>
        </w:rPr>
        <w:t>二十二、2026-2028年支出计划总表（三年计划总表22）</w:t>
      </w:r>
      <w:bookmarkEnd w:id="2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22755"/>
      <w:r>
        <w:rPr>
          <w:rFonts w:hint="eastAsia" w:ascii="宋体" w:hAnsi="宋体"/>
          <w:sz w:val="32"/>
          <w:lang w:val="en-US" w:eastAsia="zh-CN"/>
        </w:rPr>
        <w:t>二十三、2026-2028年支出计划明细表（三年计划明细表23）</w:t>
      </w:r>
      <w:bookmarkEnd w:id="2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5767"/>
      <w:r>
        <w:rPr>
          <w:rFonts w:hint="eastAsia" w:ascii="宋体" w:hAnsi="宋体"/>
          <w:sz w:val="32"/>
          <w:lang w:val="en-US" w:eastAsia="zh-CN"/>
        </w:rPr>
        <w:t>二十四、人员和车辆基本情况表（人员24）</w:t>
      </w:r>
      <w:bookmarkEnd w:id="2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1551"/>
      <w:r>
        <w:rPr>
          <w:rFonts w:hint="eastAsia" w:ascii="宋体" w:hAnsi="宋体"/>
          <w:b/>
          <w:bCs/>
          <w:sz w:val="32"/>
          <w:lang w:val="en-US" w:eastAsia="zh-CN"/>
        </w:rPr>
        <w:t>以上所有表格详见部门说明后附件。</w:t>
      </w:r>
      <w:bookmarkEnd w:id="22"/>
      <w:bookmarkEnd w:id="30"/>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spacing w:before="6"/>
        <w:ind w:left="0" w:leftChars="0" w:firstLine="0" w:firstLineChars="0"/>
        <w:jc w:val="center"/>
        <w:outlineLvl w:val="0"/>
        <w:rPr>
          <w:rFonts w:hint="eastAsia" w:ascii="宋体" w:hAnsi="宋体" w:eastAsia="方正小标宋简体" w:cs="方正小标宋简体"/>
          <w:sz w:val="44"/>
          <w:szCs w:val="44"/>
          <w:lang w:val="en-US" w:eastAsia="zh-CN"/>
        </w:rPr>
      </w:pPr>
      <w:bookmarkStart w:id="31" w:name="_Toc4094"/>
      <w:r>
        <w:rPr>
          <w:rFonts w:hint="eastAsia" w:ascii="宋体" w:hAnsi="宋体" w:eastAsia="方正小标宋简体" w:cs="方正小标宋简体"/>
          <w:sz w:val="44"/>
          <w:szCs w:val="44"/>
          <w:lang w:val="en-US" w:eastAsia="zh-CN"/>
        </w:rPr>
        <w:t>乐山市五通桥区行政审批局2026年</w:t>
      </w:r>
      <w:bookmarkEnd w:id="31"/>
    </w:p>
    <w:p>
      <w:pPr>
        <w:pStyle w:val="4"/>
        <w:numPr>
          <w:ilvl w:val="0"/>
          <w:numId w:val="0"/>
        </w:numPr>
        <w:spacing w:before="6"/>
        <w:ind w:leftChars="0" w:right="0" w:rightChars="0"/>
        <w:jc w:val="center"/>
        <w:outlineLvl w:val="1"/>
        <w:rPr>
          <w:rFonts w:hint="default" w:ascii="宋体" w:hAnsi="宋体"/>
          <w:sz w:val="44"/>
          <w:szCs w:val="44"/>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2" w:name="_Toc1047"/>
      <w:bookmarkStart w:id="33" w:name="_Toc29664"/>
      <w:r>
        <w:rPr>
          <w:rFonts w:hint="eastAsia" w:ascii="宋体" w:hAnsi="宋体" w:eastAsia="方正小标宋简体" w:cs="方正小标宋简体"/>
          <w:sz w:val="44"/>
          <w:szCs w:val="44"/>
          <w:lang w:val="en-US" w:eastAsia="zh-CN"/>
        </w:rPr>
        <w:t>部门预算情况说明</w:t>
      </w:r>
      <w:bookmarkEnd w:id="32"/>
      <w:bookmarkEnd w:id="33"/>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24939"/>
      <w:r>
        <w:rPr>
          <w:rFonts w:hint="eastAsia" w:ascii="宋体" w:hAnsi="宋体" w:eastAsia="黑体"/>
          <w:color w:val="333333"/>
        </w:rPr>
        <w:t>一、收支预算情况说明</w:t>
      </w:r>
      <w:bookmarkEnd w:id="3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五通桥区行政审批局所有收入和支出均纳入部门预算管理。收入包括：一般公共预算拨款收入872.26万元；支出包括：一般公共服务支出695.33万元、社会保障和就业支出101.47万元、卫生健康支出22.40万元、住房保障支出53.06万元。五通桥区行政审批局2026年收支预算总数872.26万元,比2025年收支预算总数859.52万元增加12.74万元，增长1.48%。主要原因：行政事业人员正常晋升工资和工资调标，相应增加工资福利性收支。</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0777"/>
      <w:r>
        <w:rPr>
          <w:rFonts w:ascii="宋体" w:hAnsi="宋体"/>
        </w:rPr>
        <w:t>（一）收入预算情况</w:t>
      </w:r>
      <w:bookmarkEnd w:id="3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行政审批局部门2026年收入预算872.26万元，其中：上年结转0万元，占0%；一般公共预算拨款收入872.26万元，占100%；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3329"/>
      <w:r>
        <w:rPr>
          <w:rFonts w:ascii="宋体" w:hAnsi="宋体"/>
        </w:rPr>
        <w:t>（二）支出预算情况</w:t>
      </w:r>
      <w:bookmarkEnd w:id="3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五通桥区行政审批局2026年支出预算872.26万元，其中：人员支出647.88万元，日常公用支出89.72万元，对个人和家庭的补助支出1.66万元，专项支出133万元。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23474"/>
      <w:r>
        <w:rPr>
          <w:rFonts w:hint="eastAsia" w:ascii="宋体" w:hAnsi="宋体" w:eastAsia="黑体"/>
          <w:color w:val="333333"/>
        </w:rPr>
        <w:t>二、财政拨款收支预算情况说明</w:t>
      </w:r>
      <w:bookmarkEnd w:id="3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五通桥区行政审批局2026年财政拨款收支预算总数872.26万元,比2025年财政拨款收支预算总数859.52万元增加12.74万元，增长1.48%。主要原因：行政事业人员正常晋升工资和工资调标，相应增加工资福利性收支。</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其中：基本支出739.26万元，占84.75%；项目支出133万元，占15.25%。</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基本支出，是用于保障五通桥区行政审批局机关、下属事业单位等机构正常运转的日常支出，包括基本工资、津贴补贴等人员经费以及办公费、印刷费、水电费、办公设备购置等日常公用经费。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项目支出，是用于保障五通桥区行政审批局机关、下属事业单位等机构为完成特定的行政工作任务或事业发展目标，用于专项业务工作的经费支出。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16033"/>
      <w:r>
        <w:rPr>
          <w:rFonts w:hint="eastAsia" w:ascii="宋体" w:hAnsi="宋体" w:eastAsia="黑体"/>
          <w:color w:val="333333"/>
        </w:rPr>
        <w:t>三、一般公共预算当年拨款情况说明</w:t>
      </w:r>
      <w:bookmarkEnd w:id="38"/>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26557"/>
      <w:r>
        <w:rPr>
          <w:rFonts w:ascii="宋体" w:hAnsi="宋体"/>
        </w:rPr>
        <w:t>（一）一般公共预算当年拨款规模变化情况</w:t>
      </w:r>
      <w:bookmarkEnd w:id="3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五通桥区行政审批局2026年一般公共预算当年拨款872.26万元，比2025年财政拨款收支预算总数859.52万元增加12.74万元，增长1.48%。主要原因：行政事业人员正常晋升工资和工资调标，相应增加工资福利性收支。</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31204"/>
      <w:r>
        <w:rPr>
          <w:rFonts w:ascii="宋体" w:hAnsi="宋体"/>
        </w:rPr>
        <w:t>（二）一般公共预算当年拨款结构情况</w:t>
      </w:r>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2026年一般公共预算支出872.26万元，主要包括一般公共服务支出695.33万元，占79.72%；外交支出0万元，占0%；国防支出0万元，占0%；公共安全支出0万元，占0%；教育支出0万元，占0%；科学技术支出0万元，占0%；文化旅游体育与传媒支出0万元，占0%；社会保障和就业支出101.47万元，占11.63%；卫生健康支出22.40万元，占2.57%；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53.06万元，占6.08%；粮油物资储备支出0万元，占0%；灾害防治及应急管理支出0万元，占0%；预备费0万元，占0%；其他支出0万元，占0%；转移性支出0万元，占0%；债务还本支出0万元，占0%；债务付息支出0万元，占0%；债务发行费支出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41" w:name="_Toc20847"/>
      <w:r>
        <w:rPr>
          <w:rFonts w:ascii="宋体" w:hAnsi="宋体"/>
        </w:rPr>
        <w:t>（三）一般公共预算当年拨款具体使用情况</w:t>
      </w:r>
      <w:r>
        <w:rPr>
          <w:rFonts w:hint="eastAsia" w:ascii="宋体" w:hAnsi="宋体"/>
          <w:highlight w:val="none"/>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支出（类）政府办公厅（室）及相关机构事务（款）行政运行（项）:2026年预算数为244.11万元，主要用于：机关及参公管理事业单位正常运转的基本支出，包括基本工资、津贴补贴等人员经费以及办公费、印刷费、水电费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2.一般公共服务支出（类）政府办公厅（室）及相关机构事务（款）政务公开审批（项）:2026年预算数为100万元，主要用于：机关及下属事业单位开展行政审批业务，五通桥区政务服务体系日常运转及管理工作的项目支出。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一般公共服务支出（类）政府办公厅（室）及相关机构事务（款）事业运行（项）:2026年预算数为318.22万元，主要用于：机关及参公管理事业单位正常运转的基本支出，包括基本工资、津贴补贴等人员经费以及办公费、印刷费、水电费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一般公共服务支出（类）政府办公厅（室）及相关机构事务（款）其他政府办公厅（室）及相关机构事务支出（项）:2026年预算数为33万元，主要用于：机关及下属事业单位开展和组织行政审批、公共资源交易业务等专项业务的项目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5.社会保障和就业支出（类）行政事业单位离退休（款）机关事业单位基本养老保险缴费支出（项）:2026年预算数为63.93万元，主要用于：实施养老保险制度后，部门按规定由单位缴纳的基本养老保险费支出。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6.社会保障和就业支出（类）行政事业单位离退休（款）机关事业单位职业年金缴费支出（项）:2026年预算数为31.97万元，主要用于：实施养老保险制度后，部门按规定由单位缴纳的职业年金支出。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7.社会保障和就业支出（类）行政事业单位养老支出（款）其他行政事业单位养老支出（项）：2026年预算数为1.66万元，主要用于：其他用于行政事业单位养老方面事务支出，如退休人员活动经费和慰问金。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8.社会保障和就业支出（类）其他社会保障和就业支出（款）其他社会保障和就业支出（项）：2026年预算数为3.91万元，主要用于：按规定由单位缴纳的工伤保险和失业保险支出。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9.卫生健康支出（类）行政事业单位医疗（款）行政单位医疗（项）:2026年预算数为5.85万元，主要用于：机关及参公管理事业单位基本医疗保险缴费支出。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10.卫生健康支出（类）行政事业单位医疗（款）事业单位医疗（项）:2026年预算数为12.75万元，主要用于：部门下属事业单位基本医疗保险缴费支出。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11.卫生健康支出（类）行政事业单位医疗（款）公务员医疗补助（项）:2026年预算数为3.8万元，主要用于：按规定由单位缴纳的公务员医疗保险和补充医疗保险缴费支出。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12.住房保障支出（类）住房改革支出（款）住房公积金（项）:2026年预算数为53.06万元，主要用于：部门按人力资源和社会保障部、财政部规定的基本工资和津贴补贴以及规定比例为职工缴纳的住房公积金支出。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15743"/>
      <w:r>
        <w:rPr>
          <w:rFonts w:hint="eastAsia" w:ascii="宋体" w:hAnsi="宋体" w:eastAsia="黑体"/>
          <w:color w:val="333333"/>
        </w:rPr>
        <w:t>四、一般公共预算基本支出情况说明</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五通桥区行政审批局2026年一般公共预算基本支出739.26万元，其中：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649.54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89.72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2857"/>
      <w:r>
        <w:rPr>
          <w:rFonts w:hint="eastAsia" w:ascii="宋体" w:hAnsi="宋体" w:eastAsia="黑体"/>
          <w:color w:val="333333"/>
        </w:rPr>
        <w:t>五、“三公”经费财政拨款预算安排情况说明</w:t>
      </w:r>
      <w:bookmarkEnd w:id="4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五通桥区行政审批局2026年“三公”经费财政拨款预算数0.5万元，其中：公务接待费0.5万元，公务用车购置0万元，公车运行维护费0万元。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w:t>
      </w:r>
      <w:r>
        <w:rPr>
          <w:rFonts w:hint="eastAsia" w:ascii="仿宋_GB2312" w:hAnsi="Calibri" w:eastAsia="仿宋_GB2312"/>
          <w:kern w:val="2"/>
          <w:sz w:val="32"/>
          <w:szCs w:val="32"/>
          <w:highlight w:val="none"/>
          <w:lang w:val="en-US" w:eastAsia="zh-CN" w:bidi="ar-SA"/>
        </w:rPr>
        <w:t>接待</w:t>
      </w:r>
      <w:r>
        <w:rPr>
          <w:rFonts w:hint="eastAsia" w:hAnsi="Calibri"/>
          <w:kern w:val="2"/>
          <w:sz w:val="32"/>
          <w:szCs w:val="32"/>
          <w:highlight w:val="none"/>
          <w:lang w:val="en-US" w:eastAsia="zh-CN" w:bidi="ar-SA"/>
        </w:rPr>
        <w:t>省、市</w:t>
      </w:r>
      <w:r>
        <w:rPr>
          <w:rFonts w:hint="eastAsia" w:ascii="仿宋_GB2312" w:hAnsi="Calibri" w:eastAsia="仿宋_GB2312"/>
          <w:kern w:val="2"/>
          <w:sz w:val="32"/>
          <w:szCs w:val="32"/>
          <w:highlight w:val="none"/>
          <w:lang w:val="en-US" w:eastAsia="zh-CN" w:bidi="ar-SA"/>
        </w:rPr>
        <w:t>上级</w:t>
      </w:r>
      <w:r>
        <w:rPr>
          <w:rFonts w:hint="eastAsia"/>
          <w:kern w:val="2"/>
          <w:sz w:val="32"/>
          <w:szCs w:val="32"/>
          <w:highlight w:val="none"/>
          <w:lang w:val="en-US" w:eastAsia="zh-CN" w:bidi="ar-SA"/>
        </w:rPr>
        <w:t>部门</w:t>
      </w:r>
      <w:r>
        <w:rPr>
          <w:rFonts w:hint="eastAsia" w:hAnsi="Calibri"/>
          <w:kern w:val="2"/>
          <w:sz w:val="32"/>
          <w:szCs w:val="32"/>
          <w:highlight w:val="none"/>
          <w:lang w:val="en-US" w:eastAsia="zh-CN" w:bidi="ar-SA"/>
        </w:rPr>
        <w:t>等</w:t>
      </w:r>
      <w:r>
        <w:rPr>
          <w:rFonts w:hint="eastAsia" w:ascii="仿宋_GB2312" w:hAnsi="Calibri" w:eastAsia="仿宋_GB2312"/>
          <w:kern w:val="2"/>
          <w:sz w:val="32"/>
          <w:szCs w:val="32"/>
          <w:highlight w:val="none"/>
          <w:lang w:val="en-US" w:eastAsia="zh-CN" w:bidi="ar-SA"/>
        </w:rPr>
        <w:t>单位</w:t>
      </w:r>
      <w:r>
        <w:rPr>
          <w:rFonts w:hint="default" w:ascii="仿宋_GB2312" w:hAnsi="Calibri" w:eastAsia="仿宋_GB2312"/>
          <w:kern w:val="2"/>
          <w:sz w:val="32"/>
          <w:szCs w:val="32"/>
          <w:highlight w:val="none"/>
          <w:lang w:val="en-US" w:eastAsia="zh-CN" w:bidi="ar-SA"/>
        </w:rPr>
        <w:t>执行公务、开展业务活动开支的住宿费、餐费</w:t>
      </w:r>
      <w:r>
        <w:rPr>
          <w:rFonts w:hint="eastAsia" w:ascii="宋体" w:hAnsi="宋体"/>
          <w:sz w:val="32"/>
          <w:lang w:val="en-US" w:eastAsia="zh-CN"/>
        </w:rPr>
        <w:t>等。</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28362"/>
      <w:r>
        <w:rPr>
          <w:rFonts w:ascii="宋体" w:hAnsi="宋体"/>
        </w:rPr>
        <w:t>（一）</w:t>
      </w:r>
      <w:r>
        <w:rPr>
          <w:rFonts w:hint="eastAsia" w:ascii="宋体" w:hAnsi="宋体"/>
          <w:lang w:val="en-US" w:eastAsia="zh-CN"/>
        </w:rPr>
        <w:t>公务接待费变化情况</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0.5</w:t>
      </w:r>
      <w:r>
        <w:rPr>
          <w:rFonts w:hint="default" w:ascii="宋体" w:hAnsi="宋体"/>
          <w:sz w:val="32"/>
          <w:lang w:val="en-US" w:eastAsia="zh-CN"/>
        </w:rPr>
        <w:t>万元</w:t>
      </w:r>
      <w:r>
        <w:rPr>
          <w:rFonts w:hint="eastAsia" w:ascii="宋体" w:hAnsi="宋体"/>
          <w:sz w:val="32"/>
          <w:lang w:val="en-US" w:eastAsia="zh-CN"/>
        </w:rPr>
        <w:t>持平</w:t>
      </w:r>
      <w:bookmarkStart w:id="55" w:name="_GoBack"/>
      <w:bookmarkEnd w:id="55"/>
      <w:r>
        <w:rPr>
          <w:rFonts w:hint="default" w:ascii="宋体" w:hAnsi="宋体"/>
          <w:sz w:val="32"/>
          <w:lang w:val="en-US" w:eastAsia="zh-CN"/>
        </w:rPr>
        <w:t>。主要原因是厉行节约，压缩接待规模和接待费用。</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6007"/>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用于0</w:t>
      </w:r>
      <w:r>
        <w:rPr>
          <w:rFonts w:hint="default" w:ascii="宋体" w:hAnsi="宋体"/>
          <w:sz w:val="32"/>
          <w:lang w:val="en-US" w:eastAsia="zh-CN"/>
        </w:rPr>
        <w:t>辆公务用车</w:t>
      </w:r>
      <w:r>
        <w:rPr>
          <w:rFonts w:hint="eastAsia" w:ascii="宋体" w:hAnsi="宋体"/>
          <w:sz w:val="32"/>
          <w:lang w:val="en-US" w:eastAsia="zh-CN"/>
        </w:rPr>
        <w:t>开展XX</w:t>
      </w:r>
      <w:r>
        <w:rPr>
          <w:rFonts w:hint="default" w:ascii="宋体" w:hAnsi="宋体"/>
          <w:sz w:val="32"/>
          <w:lang w:val="en-US" w:eastAsia="zh-CN"/>
        </w:rPr>
        <w:t>工作所需的公务用车汽油费、维修费、过路过桥费、保险费、停车费等支出。</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6" w:name="_Toc13933"/>
      <w:r>
        <w:rPr>
          <w:rFonts w:ascii="宋体" w:hAnsi="宋体"/>
        </w:rPr>
        <w:t>（</w:t>
      </w:r>
      <w:r>
        <w:rPr>
          <w:rFonts w:hint="eastAsia" w:ascii="宋体" w:hAnsi="宋体"/>
          <w:lang w:eastAsia="zh-CN"/>
        </w:rPr>
        <w:t>三</w:t>
      </w:r>
      <w:r>
        <w:rPr>
          <w:rFonts w:ascii="宋体" w:hAnsi="宋体"/>
        </w:rPr>
        <w:t>）</w:t>
      </w:r>
      <w:r>
        <w:rPr>
          <w:rFonts w:hint="eastAsia" w:ascii="宋体" w:hAnsi="宋体"/>
          <w:lang w:val="en-US" w:eastAsia="zh-CN"/>
        </w:rPr>
        <w:t>因公出国（境）费用变化情况</w:t>
      </w:r>
      <w:bookmarkEnd w:id="4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因公出国（境）费用</w:t>
      </w:r>
      <w:r>
        <w:rPr>
          <w:rFonts w:hint="eastAsia" w:ascii="宋体" w:hAnsi="宋体"/>
          <w:sz w:val="32"/>
          <w:lang w:val="en-US" w:eastAsia="zh-CN"/>
        </w:rPr>
        <w:t>与2025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w:t>
      </w:r>
      <w:r>
        <w:rPr>
          <w:rFonts w:hint="eastAsia" w:ascii="宋体" w:hAnsi="宋体"/>
          <w:sz w:val="32"/>
          <w:lang w:val="en-US" w:eastAsia="zh-CN"/>
        </w:rPr>
        <w:t>，均无预算</w:t>
      </w:r>
      <w:r>
        <w:rPr>
          <w:rFonts w:hint="default" w:ascii="宋体" w:hAnsi="宋体"/>
          <w:sz w:val="32"/>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4997"/>
      <w:r>
        <w:rPr>
          <w:rFonts w:hint="eastAsia" w:ascii="宋体" w:hAnsi="宋体" w:eastAsia="黑体"/>
          <w:color w:val="333333"/>
        </w:rPr>
        <w:t>六、政府性基金预算支出情况说明</w:t>
      </w:r>
      <w:bookmarkEnd w:id="4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五通桥区行政审批局2026</w:t>
      </w:r>
      <w:r>
        <w:rPr>
          <w:rFonts w:hint="default" w:ascii="宋体" w:hAnsi="宋体"/>
          <w:sz w:val="32"/>
          <w:lang w:val="en-US" w:eastAsia="zh-CN"/>
        </w:rPr>
        <w:t>年政府性基金预算拨款安排支出</w:t>
      </w:r>
      <w:r>
        <w:rPr>
          <w:rFonts w:hint="eastAsia" w:ascii="宋体" w:hAnsi="宋体"/>
          <w:sz w:val="32"/>
          <w:lang w:val="en-US" w:eastAsia="zh-CN"/>
        </w:rPr>
        <w:t>0万元，与上年预算数持平，均无预算。</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8" w:name="_Toc32638"/>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五通桥区行政审批局2026年国有资本经营预算拨款安排支出0万元,与上年预算数持平，均无预算。</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9" w:name="_Toc24130"/>
      <w:r>
        <w:rPr>
          <w:rFonts w:hint="eastAsia" w:ascii="宋体" w:hAnsi="宋体" w:eastAsia="黑体"/>
          <w:color w:val="333333"/>
          <w:lang w:val="en-US" w:eastAsia="zh-CN"/>
        </w:rPr>
        <w:t>八、其他重要事项的情况说明</w:t>
      </w:r>
      <w:bookmarkEnd w:id="49"/>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50" w:name="_Toc5275"/>
      <w:r>
        <w:rPr>
          <w:rFonts w:ascii="宋体" w:hAnsi="宋体"/>
        </w:rPr>
        <w:t>（一）机关运行经费情况</w:t>
      </w:r>
      <w:bookmarkEnd w:id="5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行政审批局下属行政审批局本级（局机关）1家行政单位,0家参公管理事业单位以及五通桥区政务大厅服务中心、五通桥区公共资源交易服务中心2家事业单位的机关运行经费财政拨款预算为41.26万元，比2025年预算增减少2.06万元，减少4.76%。主要原因是调出公务员1名，相应减少此人公务员交通补贴等公用经费支出。</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2454"/>
      <w:r>
        <w:rPr>
          <w:rFonts w:ascii="宋体" w:hAnsi="宋体"/>
        </w:rPr>
        <w:t>（二）政府采购情况</w:t>
      </w:r>
      <w:bookmarkEnd w:id="5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2026年，五通桥区行政审批局政府采购项目0万元。其中，政府采购货物预算0万元；政府采购工程预算0万元；政府采购服务预算0万元。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29376"/>
      <w:r>
        <w:rPr>
          <w:rFonts w:ascii="宋体" w:hAnsi="宋体"/>
        </w:rPr>
        <w:t>（三）国有资产占有使用情况</w:t>
      </w:r>
      <w:bookmarkEnd w:id="5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截至2026年底，五通桥区行政审批局所属各预算单位共有车辆0辆。单位价值100万元以上大型设备0套。</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3" w:name="_Toc28252"/>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2026年五通桥区行政审批局开展绩效目标管理的项目32个，涉及预算872.26万元。其中：人员类项目19个，涉及预算649.54万元；运转类项目8个，涉及预算89.72万元；特定目标类项目 5个，涉及预算133万元。</w:t>
      </w:r>
    </w:p>
    <w:p>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方正小标宋简体" w:cs="方正小标宋简体"/>
          <w:sz w:val="52"/>
          <w:szCs w:val="52"/>
          <w:lang w:val="en-US" w:eastAsia="zh-CN"/>
        </w:rPr>
      </w:pPr>
      <w:bookmarkStart w:id="54" w:name="_Toc26607"/>
      <w:r>
        <w:rPr>
          <w:rFonts w:hint="eastAsia" w:ascii="宋体" w:hAnsi="宋体" w:eastAsia="方正小标宋简体" w:cs="方正小标宋简体"/>
          <w:sz w:val="52"/>
          <w:szCs w:val="52"/>
          <w:lang w:val="en-US" w:eastAsia="zh-CN"/>
        </w:rPr>
        <w:t>第四部分  名词解释</w:t>
      </w:r>
      <w:bookmarkEnd w:id="54"/>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8.一般公共服务支出（类）政府办公厅（室）及相关机构事务（款）行政运行（项）：指行政单位的基本支出。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9.一般公共服务支出（类）政府办公厅（室）及相关机构事务（款）政务公开审批（项）：反映各级政府政务公开审批方面的支出。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10.一般公共服务支出（类）政府办公厅（室）及相关机构事务（款）事业运行（项）：指事业单位的基本支出。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11.一般公共服务支出（类）政府办公厅（室）及相关机构事务（款）其他政府办公厅（室）及相关机构事务支出（项）：反映上述项目以外的其他政府办公厅（室）及相关机构事务支出。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12.社会保障和就业支出（类）行政事业单位离退休（款）机关事业单位基本养老保险缴费支出（项）：指部门实施养老保险制度由单位缴纳的养老保险费的支出。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13.社会保障和就业支出（类）行政事业单位离退休（款）机关事业单位职业年金缴费支出（项）：指部门实施养老保险制度由单位缴纳的职业年金的支出。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14.社会保障和就业（类）行政事业单位养老支出（款）其他行政事业单位养老支出（项）：指行政事业单位其他用于养老方面的支出，如退休人员活动费、慰问金。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15.社会保障和就业支出（类）其他社会保障和就业（款）其他社会保障和就业支出（项）：指除上述项目外，其他用于行政事业单位离退休方面的支出。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16.卫生健康支出（类）行政事业单位医疗（款）行政单位医疗（项）：指行政单位及参公管理事业单位用于缴纳单位基本医疗保险支出。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17.卫生健康支出（类）行政事业单位医疗（款）事业单位医疗（项）：指事业单位用于缴纳单位基本医疗保险支出。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18.卫生健康支出（类）行政事业单位医疗（款）公务员医疗补助（项）：指行政单位及参公管理事业单位用于集中缴纳公务员医疗补助支出。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19.住房保障支出（类）住房改革支出（款）住房公积金（项）：指由单位及其在职职工按规定缴存的住房公积金支出。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21.项目支出：指在基本支出之外为完成特定行政任务和事业发展目标所发生的支出。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22.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E456B9-07A7-40A4-B794-9374ABFBBFE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embedRegular r:id="rId2" w:fontKey="{8EEB43D6-09F0-4EAC-92FB-BEF9A800E745}"/>
  </w:font>
  <w:font w:name="Calibri">
    <w:panose1 w:val="020F0502020204030204"/>
    <w:charset w:val="00"/>
    <w:family w:val="auto"/>
    <w:pitch w:val="default"/>
    <w:sig w:usb0="E10002FF" w:usb1="4000ACFF" w:usb2="00000009" w:usb3="00000000" w:csb0="2000019F" w:csb1="00000000"/>
    <w:embedRegular r:id="rId3" w:fontKey="{67473F80-B498-462B-85CC-02AB406ADF85}"/>
  </w:font>
  <w:font w:name="楷体">
    <w:panose1 w:val="02010609060101010101"/>
    <w:charset w:val="86"/>
    <w:family w:val="modern"/>
    <w:pitch w:val="default"/>
    <w:sig w:usb0="800002BF" w:usb1="38CF7CFA" w:usb2="00000016" w:usb3="00000000" w:csb0="00040001" w:csb1="00000000"/>
    <w:embedRegular r:id="rId4" w:fontKey="{CF78DC3A-7F8B-4031-851E-1F6518BE461B}"/>
  </w:font>
  <w:font w:name="仿宋_GB2312">
    <w:panose1 w:val="02010609030101010101"/>
    <w:charset w:val="86"/>
    <w:family w:val="modern"/>
    <w:pitch w:val="default"/>
    <w:sig w:usb0="00000001" w:usb1="080E0000" w:usb2="00000000" w:usb3="00000000" w:csb0="00040000" w:csb1="00000000"/>
    <w:embedRegular r:id="rId5" w:fontKey="{5147C86D-F836-4B7B-9B5A-D61464FAAFED}"/>
  </w:font>
  <w:font w:name="方正小标宋简体">
    <w:panose1 w:val="03000509000000000000"/>
    <w:charset w:val="86"/>
    <w:family w:val="script"/>
    <w:pitch w:val="default"/>
    <w:sig w:usb0="00000001" w:usb1="080E0000" w:usb2="00000000" w:usb3="00000000" w:csb0="00040000" w:csb1="00000000"/>
    <w:embedRegular r:id="rId6" w:fontKey="{D9BBF55A-04B5-4429-A8BD-101877A006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19B390D"/>
    <w:rsid w:val="02ED1707"/>
    <w:rsid w:val="02F925FF"/>
    <w:rsid w:val="03C81967"/>
    <w:rsid w:val="08F93370"/>
    <w:rsid w:val="10180776"/>
    <w:rsid w:val="133C1BD5"/>
    <w:rsid w:val="13CB5FFB"/>
    <w:rsid w:val="18D94D16"/>
    <w:rsid w:val="1C4565B4"/>
    <w:rsid w:val="1C532705"/>
    <w:rsid w:val="1CA20FD4"/>
    <w:rsid w:val="1E253C2B"/>
    <w:rsid w:val="1E9115A9"/>
    <w:rsid w:val="20D9567F"/>
    <w:rsid w:val="21211D8E"/>
    <w:rsid w:val="220478E5"/>
    <w:rsid w:val="240622C9"/>
    <w:rsid w:val="247F2477"/>
    <w:rsid w:val="28420B99"/>
    <w:rsid w:val="2ADF19DA"/>
    <w:rsid w:val="2BD66371"/>
    <w:rsid w:val="2CBF542B"/>
    <w:rsid w:val="3170631D"/>
    <w:rsid w:val="380E194D"/>
    <w:rsid w:val="4182779E"/>
    <w:rsid w:val="44B06ABF"/>
    <w:rsid w:val="47767A48"/>
    <w:rsid w:val="47C33D97"/>
    <w:rsid w:val="4D3C563B"/>
    <w:rsid w:val="4F1F4678"/>
    <w:rsid w:val="54BB49E6"/>
    <w:rsid w:val="54C30EEA"/>
    <w:rsid w:val="5543046B"/>
    <w:rsid w:val="58EE6347"/>
    <w:rsid w:val="595E3E2E"/>
    <w:rsid w:val="5AE90F4A"/>
    <w:rsid w:val="5B65451D"/>
    <w:rsid w:val="5EED650B"/>
    <w:rsid w:val="60292F74"/>
    <w:rsid w:val="63B95A6A"/>
    <w:rsid w:val="71461A34"/>
    <w:rsid w:val="7209340F"/>
    <w:rsid w:val="74723120"/>
    <w:rsid w:val="76A30804"/>
    <w:rsid w:val="77EC519A"/>
    <w:rsid w:val="7C6130B2"/>
    <w:rsid w:val="7EAE73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 w:type="paragraph" w:customStyle="1" w:styleId="18">
    <w:name w:val="正文-公1"/>
    <w:basedOn w:val="19"/>
    <w:next w:val="1"/>
    <w:qFormat/>
    <w:uiPriority w:val="0"/>
    <w:pPr>
      <w:ind w:firstLine="200" w:firstLineChars="200"/>
    </w:pPr>
  </w:style>
  <w:style w:type="paragraph" w:customStyle="1" w:styleId="19">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8"/>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5241</Words>
  <Characters>6214</Characters>
  <TotalTime>3</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John</cp:lastModifiedBy>
  <dcterms:modified xsi:type="dcterms:W3CDTF">2013-01-02T21:42:10Z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