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78F6D">
      <w:pPr>
        <w:pStyle w:val="9"/>
        <w:rPr>
          <w:rFonts w:hint="eastAsia" w:ascii="Times New Roman" w:hAnsi="Times New Roman" w:eastAsia="方正小标宋简体" w:cs="Times New Roman"/>
          <w:color w:val="auto"/>
          <w:kern w:val="2"/>
          <w:sz w:val="72"/>
          <w:szCs w:val="72"/>
          <w:highlight w:val="none"/>
          <w:lang w:val="en-US" w:eastAsia="zh-CN" w:bidi="ar-SA"/>
        </w:rPr>
      </w:pPr>
      <w:bookmarkStart w:id="0" w:name="_Toc15377193"/>
      <w:bookmarkStart w:id="1" w:name="_Toc15396475"/>
      <w:bookmarkStart w:id="2" w:name="_Toc15378441"/>
      <w:bookmarkStart w:id="3" w:name="_Toc15377425"/>
      <w:bookmarkStart w:id="4" w:name="_Toc15396597"/>
      <w:bookmarkStart w:id="5" w:name="_Toc15306267"/>
    </w:p>
    <w:p w14:paraId="10E0CE44">
      <w:pPr>
        <w:pStyle w:val="9"/>
        <w:rPr>
          <w:rFonts w:hint="eastAsia" w:ascii="Times New Roman" w:hAnsi="Times New Roman" w:eastAsia="方正小标宋简体" w:cs="Times New Roman"/>
          <w:color w:val="auto"/>
          <w:kern w:val="2"/>
          <w:sz w:val="72"/>
          <w:szCs w:val="72"/>
          <w:highlight w:val="none"/>
          <w:lang w:val="en-US" w:eastAsia="zh-CN" w:bidi="ar-SA"/>
        </w:rPr>
      </w:pPr>
    </w:p>
    <w:p w14:paraId="03BBA3E3">
      <w:pPr>
        <w:pStyle w:val="9"/>
        <w:rPr>
          <w:rFonts w:hint="eastAsia" w:ascii="Times New Roman" w:hAnsi="Times New Roman" w:eastAsia="方正小标宋简体" w:cs="Times New Roman"/>
          <w:color w:val="auto"/>
          <w:kern w:val="2"/>
          <w:sz w:val="72"/>
          <w:szCs w:val="72"/>
          <w:highlight w:val="none"/>
          <w:lang w:val="en-US" w:eastAsia="zh-CN" w:bidi="ar-SA"/>
        </w:rPr>
      </w:pPr>
    </w:p>
    <w:p w14:paraId="7EEA4259">
      <w:pPr>
        <w:pStyle w:val="9"/>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w:t>
      </w:r>
      <w:r>
        <w:rPr>
          <w:rFonts w:hint="eastAsia" w:ascii="Times New Roman" w:eastAsia="方正小标宋简体" w:cs="Times New Roman"/>
          <w:color w:val="auto"/>
          <w:kern w:val="2"/>
          <w:sz w:val="44"/>
          <w:szCs w:val="44"/>
          <w:highlight w:val="none"/>
          <w:lang w:val="en-US" w:eastAsia="zh-CN" w:bidi="ar-SA"/>
        </w:rPr>
        <w:t>牛华镇</w:t>
      </w:r>
      <w:r>
        <w:rPr>
          <w:rFonts w:hint="eastAsia" w:ascii="Times New Roman" w:hAnsi="Times New Roman" w:eastAsia="方正小标宋简体" w:cs="Times New Roman"/>
          <w:color w:val="auto"/>
          <w:kern w:val="2"/>
          <w:sz w:val="44"/>
          <w:szCs w:val="44"/>
          <w:highlight w:val="none"/>
          <w:lang w:val="en-US" w:eastAsia="zh-CN" w:bidi="ar-SA"/>
        </w:rPr>
        <w:t>部门决算</w:t>
      </w:r>
    </w:p>
    <w:p w14:paraId="0451D303">
      <w:pPr>
        <w:pStyle w:val="9"/>
        <w:jc w:val="center"/>
        <w:rPr>
          <w:rFonts w:hint="default"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公开</w:t>
      </w:r>
      <w:r>
        <w:rPr>
          <w:rFonts w:hint="eastAsia" w:ascii="Times New Roman" w:eastAsia="方正小标宋简体" w:cs="Times New Roman"/>
          <w:color w:val="auto"/>
          <w:kern w:val="2"/>
          <w:sz w:val="44"/>
          <w:szCs w:val="44"/>
          <w:highlight w:val="none"/>
          <w:lang w:val="en-US" w:eastAsia="zh-CN" w:bidi="ar-SA"/>
        </w:rPr>
        <w:t>编制</w:t>
      </w:r>
      <w:r>
        <w:rPr>
          <w:rFonts w:hint="eastAsia" w:ascii="Times New Roman" w:hAnsi="Times New Roman" w:eastAsia="方正小标宋简体" w:cs="Times New Roman"/>
          <w:color w:val="auto"/>
          <w:kern w:val="2"/>
          <w:sz w:val="44"/>
          <w:szCs w:val="44"/>
          <w:highlight w:val="none"/>
          <w:lang w:val="en-US" w:eastAsia="zh-CN" w:bidi="ar-SA"/>
        </w:rPr>
        <w:t>说明</w:t>
      </w:r>
    </w:p>
    <w:p w14:paraId="47FC44E6">
      <w:pPr>
        <w:spacing w:line="600" w:lineRule="exact"/>
        <w:jc w:val="center"/>
        <w:outlineLvl w:val="0"/>
        <w:rPr>
          <w:rFonts w:ascii="Times New Roman" w:hAnsi="Times New Roman" w:eastAsia="方正小标宋简体"/>
          <w:color w:val="auto"/>
          <w:sz w:val="72"/>
          <w:szCs w:val="72"/>
          <w:highlight w:val="none"/>
        </w:rPr>
      </w:pPr>
    </w:p>
    <w:p w14:paraId="608AD3B5">
      <w:pPr>
        <w:pStyle w:val="24"/>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14:paraId="6B16071E">
      <w:pPr>
        <w:rPr>
          <w:rFonts w:ascii="Times New Roman" w:hAnsi="Times New Roman"/>
        </w:rPr>
      </w:pPr>
    </w:p>
    <w:p w14:paraId="16D584C7">
      <w:pPr>
        <w:pStyle w:val="9"/>
        <w:jc w:val="center"/>
        <w:rPr>
          <w:rFonts w:hint="eastAsia" w:ascii="Times New Roman" w:hAnsi="Times New Roman" w:eastAsia="方正小标宋简体" w:cs="Times New Roman"/>
          <w:color w:val="auto"/>
          <w:kern w:val="2"/>
          <w:sz w:val="44"/>
          <w:szCs w:val="44"/>
          <w:highlight w:val="none"/>
          <w:lang w:val="en-US" w:eastAsia="zh-CN" w:bidi="ar-SA"/>
        </w:rPr>
      </w:pPr>
    </w:p>
    <w:p w14:paraId="4E6068D9">
      <w:pPr>
        <w:pStyle w:val="9"/>
        <w:jc w:val="center"/>
        <w:rPr>
          <w:rFonts w:hint="eastAsia" w:ascii="Times New Roman" w:hAnsi="Times New Roman" w:eastAsia="方正小标宋简体" w:cs="Times New Roman"/>
          <w:color w:val="auto"/>
          <w:kern w:val="2"/>
          <w:sz w:val="44"/>
          <w:szCs w:val="44"/>
          <w:highlight w:val="none"/>
          <w:lang w:val="en-US" w:eastAsia="zh-CN" w:bidi="ar-SA"/>
        </w:rPr>
      </w:pPr>
    </w:p>
    <w:p w14:paraId="0F702915">
      <w:pPr>
        <w:pStyle w:val="9"/>
        <w:jc w:val="center"/>
        <w:rPr>
          <w:rFonts w:hint="eastAsia" w:ascii="Times New Roman" w:hAnsi="Times New Roman" w:eastAsia="方正小标宋简体" w:cs="Times New Roman"/>
          <w:color w:val="auto"/>
          <w:kern w:val="2"/>
          <w:sz w:val="44"/>
          <w:szCs w:val="44"/>
          <w:highlight w:val="none"/>
          <w:lang w:val="en-US" w:eastAsia="zh-CN" w:bidi="ar-SA"/>
        </w:rPr>
      </w:pPr>
    </w:p>
    <w:p w14:paraId="0890CBB4">
      <w:pPr>
        <w:pStyle w:val="9"/>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14:paraId="11F4ABE9">
      <w:pPr>
        <w:pStyle w:val="9"/>
        <w:jc w:val="center"/>
        <w:rPr>
          <w:rFonts w:hint="eastAsia" w:ascii="Times New Roman" w:hAnsi="Times New Roman" w:eastAsia="方正小标宋简体" w:cs="Times New Roman"/>
          <w:color w:val="auto"/>
          <w:kern w:val="2"/>
          <w:sz w:val="44"/>
          <w:szCs w:val="44"/>
          <w:highlight w:val="none"/>
          <w:lang w:val="en-US" w:eastAsia="zh-CN" w:bidi="ar-SA"/>
        </w:rPr>
      </w:pPr>
      <w:bookmarkStart w:id="6" w:name="_Toc15396476"/>
      <w:bookmarkStart w:id="7" w:name="_Toc15378442"/>
      <w:bookmarkStart w:id="8" w:name="_Toc15377426"/>
      <w:bookmarkStart w:id="9" w:name="_Toc15377194"/>
      <w:bookmarkStart w:id="10" w:name="_Toc15396598"/>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乐山市五通桥区牛华镇人民政府</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14:paraId="7DC7F541">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14:paraId="116E8759">
      <w:pPr>
        <w:widowControl/>
        <w:jc w:val="center"/>
        <w:rPr>
          <w:rFonts w:ascii="Times New Roman" w:hAnsi="Times New Roman" w:eastAsia="黑体" w:cstheme="minorBidi"/>
          <w:color w:val="auto"/>
          <w:sz w:val="28"/>
          <w:szCs w:val="28"/>
          <w:highlight w:val="none"/>
        </w:rPr>
      </w:pPr>
    </w:p>
    <w:p w14:paraId="02099DA7">
      <w:pPr>
        <w:pStyle w:val="15"/>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w:t>
      </w:r>
      <w:r>
        <w:rPr>
          <w:rFonts w:hint="eastAsia" w:ascii="Times New Roman" w:hAnsi="Times New Roman" w:eastAsia="仿宋_GB2312" w:cs="仿宋_GB2312"/>
          <w:color w:val="auto"/>
          <w:sz w:val="32"/>
          <w:szCs w:val="32"/>
          <w:highlight w:val="none"/>
          <w:lang w:val="en-US" w:eastAsia="zh-CN"/>
        </w:rPr>
        <w:t>2025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10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rPr>
        <w:t>日</w:t>
      </w:r>
    </w:p>
    <w:p w14:paraId="053D1FEE">
      <w:pPr>
        <w:rPr>
          <w:rFonts w:ascii="Times New Roman" w:hAnsi="Times New Roman"/>
          <w:color w:val="auto"/>
          <w:highlight w:val="none"/>
        </w:rPr>
      </w:pPr>
    </w:p>
    <w:p w14:paraId="2D530124">
      <w:pPr>
        <w:pStyle w:val="15"/>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第一部分 部门概况</w:t>
      </w:r>
      <w:r>
        <w:rPr>
          <w:rFonts w:hint="eastAsia" w:ascii="Times New Roman" w:hAnsi="Times New Roman" w:eastAsia="黑体" w:cs="黑体"/>
          <w:color w:val="auto"/>
          <w:sz w:val="32"/>
          <w:szCs w:val="32"/>
          <w:highlight w:val="none"/>
          <w:lang w:val="en-US" w:eastAsia="zh-CN"/>
        </w:rPr>
        <w:t>------------------------------------------4-8</w:t>
      </w:r>
    </w:p>
    <w:p w14:paraId="2A6C0E5E">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w:t>
      </w:r>
      <w:r>
        <w:rPr>
          <w:rFonts w:hint="eastAsia" w:ascii="Times New Roman" w:hAnsi="Times New Roman" w:eastAsia="仿宋_GB2312" w:cs="仿宋_GB2312"/>
          <w:color w:val="auto"/>
          <w:sz w:val="32"/>
          <w:szCs w:val="32"/>
          <w:highlight w:val="none"/>
          <w:lang w:eastAsia="zh-CN"/>
        </w:rPr>
        <w:t>部门职责</w:t>
      </w:r>
      <w:r>
        <w:rPr>
          <w:rFonts w:hint="eastAsia" w:eastAsia="仿宋_GB2312" w:cs="仿宋_GB2312"/>
          <w:color w:val="auto"/>
          <w:sz w:val="32"/>
          <w:szCs w:val="32"/>
          <w:highlight w:val="none"/>
          <w:lang w:val="en-US" w:eastAsia="zh-CN"/>
        </w:rPr>
        <w:t>-------------------------------------------4-7</w:t>
      </w:r>
    </w:p>
    <w:p w14:paraId="34E1B4B7">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二、机构设置</w:t>
      </w:r>
      <w:r>
        <w:rPr>
          <w:rFonts w:hint="eastAsia" w:eastAsia="仿宋_GB2312" w:cs="仿宋_GB2312"/>
          <w:color w:val="auto"/>
          <w:sz w:val="32"/>
          <w:szCs w:val="32"/>
          <w:highlight w:val="none"/>
          <w:lang w:val="en-US" w:eastAsia="zh-CN"/>
        </w:rPr>
        <w:t>-------------------------------------------7-8</w:t>
      </w:r>
    </w:p>
    <w:p w14:paraId="776F4E95">
      <w:pPr>
        <w:pStyle w:val="15"/>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rPr>
        <w:t>部门决算情况说明</w:t>
      </w:r>
      <w:r>
        <w:rPr>
          <w:rFonts w:hint="eastAsia" w:ascii="Times New Roman" w:hAnsi="Times New Roman" w:eastAsia="黑体" w:cs="黑体"/>
          <w:color w:val="auto"/>
          <w:sz w:val="32"/>
          <w:szCs w:val="32"/>
          <w:highlight w:val="none"/>
          <w:lang w:val="en-US" w:eastAsia="zh-CN"/>
        </w:rPr>
        <w:t>-----------------9-24</w:t>
      </w:r>
    </w:p>
    <w:p w14:paraId="2F0E4D3A">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一、收入支出决算总体情况说明</w:t>
      </w:r>
      <w:r>
        <w:rPr>
          <w:rFonts w:hint="eastAsia" w:eastAsia="仿宋_GB2312" w:cs="仿宋_GB2312"/>
          <w:color w:val="auto"/>
          <w:sz w:val="32"/>
          <w:szCs w:val="32"/>
          <w:highlight w:val="none"/>
          <w:lang w:val="en-US" w:eastAsia="zh-CN"/>
        </w:rPr>
        <w:t>--------------------9</w:t>
      </w:r>
    </w:p>
    <w:p w14:paraId="2BC1D044">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二、收入决算情况说明</w:t>
      </w:r>
      <w:r>
        <w:rPr>
          <w:rFonts w:hint="eastAsia" w:eastAsia="仿宋_GB2312" w:cs="仿宋_GB2312"/>
          <w:color w:val="auto"/>
          <w:sz w:val="32"/>
          <w:szCs w:val="32"/>
          <w:highlight w:val="none"/>
          <w:lang w:val="en-US" w:eastAsia="zh-CN"/>
        </w:rPr>
        <w:t>--------------------------------10</w:t>
      </w:r>
    </w:p>
    <w:p w14:paraId="7667063C">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三、支出决算情况说明</w:t>
      </w:r>
      <w:r>
        <w:rPr>
          <w:rFonts w:hint="eastAsia" w:eastAsia="仿宋_GB2312" w:cs="仿宋_GB2312"/>
          <w:color w:val="auto"/>
          <w:sz w:val="32"/>
          <w:szCs w:val="32"/>
          <w:highlight w:val="none"/>
          <w:lang w:val="en-US" w:eastAsia="zh-CN"/>
        </w:rPr>
        <w:t>-------------------------------10-11</w:t>
      </w:r>
    </w:p>
    <w:p w14:paraId="1BFCA5AF">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eastAsia="仿宋_GB2312" w:cs="仿宋_GB2312"/>
          <w:color w:val="auto"/>
          <w:sz w:val="32"/>
          <w:szCs w:val="32"/>
          <w:highlight w:val="none"/>
          <w:lang w:val="en-US" w:eastAsia="zh-CN"/>
        </w:rPr>
        <w:t>--------11</w:t>
      </w:r>
    </w:p>
    <w:p w14:paraId="43159873">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eastAsia="仿宋_GB2312" w:cs="仿宋_GB2312"/>
          <w:color w:val="auto"/>
          <w:sz w:val="32"/>
          <w:szCs w:val="32"/>
          <w:highlight w:val="none"/>
          <w:lang w:val="en-US" w:eastAsia="zh-CN"/>
        </w:rPr>
        <w:t>---11-19</w:t>
      </w:r>
    </w:p>
    <w:p w14:paraId="2BC784CD">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eastAsia="仿宋_GB2312" w:cs="仿宋_GB2312"/>
          <w:color w:val="auto"/>
          <w:sz w:val="32"/>
          <w:szCs w:val="32"/>
          <w:highlight w:val="none"/>
          <w:lang w:val="en-US" w:eastAsia="zh-CN"/>
        </w:rPr>
        <w:t>--19</w:t>
      </w:r>
    </w:p>
    <w:p w14:paraId="72551AA9">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w:t>
      </w:r>
      <w:r>
        <w:rPr>
          <w:rFonts w:hint="eastAsia" w:eastAsia="仿宋_GB2312" w:cs="仿宋_GB2312"/>
          <w:color w:val="auto"/>
          <w:sz w:val="32"/>
          <w:szCs w:val="32"/>
          <w:highlight w:val="none"/>
          <w:lang w:val="en-US" w:eastAsia="zh-CN"/>
        </w:rPr>
        <w:t>明--------20-21</w:t>
      </w:r>
    </w:p>
    <w:p w14:paraId="6CE60598">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八、政府性基金预算支出决算情况说明</w:t>
      </w:r>
      <w:r>
        <w:rPr>
          <w:rFonts w:hint="eastAsia" w:eastAsia="仿宋_GB2312" w:cs="仿宋_GB2312"/>
          <w:color w:val="auto"/>
          <w:sz w:val="32"/>
          <w:szCs w:val="32"/>
          <w:highlight w:val="none"/>
          <w:lang w:val="en-US" w:eastAsia="zh-CN"/>
        </w:rPr>
        <w:t>-------------22</w:t>
      </w:r>
    </w:p>
    <w:p w14:paraId="60E759CC">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eastAsia="仿宋_GB2312" w:cs="仿宋_GB2312"/>
          <w:color w:val="auto"/>
          <w:sz w:val="32"/>
          <w:szCs w:val="32"/>
          <w:highlight w:val="none"/>
          <w:lang w:val="en-US" w:eastAsia="zh-CN"/>
        </w:rPr>
        <w:t>----------22</w:t>
      </w:r>
    </w:p>
    <w:p w14:paraId="2FD991EB">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eastAsia="仿宋_GB2312" w:cs="仿宋_GB2312"/>
          <w:color w:val="auto"/>
          <w:sz w:val="32"/>
          <w:szCs w:val="32"/>
          <w:highlight w:val="none"/>
          <w:lang w:val="en-US" w:eastAsia="zh-CN"/>
        </w:rPr>
        <w:t>-------------------------22-24</w:t>
      </w:r>
    </w:p>
    <w:p w14:paraId="5A636A89">
      <w:pPr>
        <w:pStyle w:val="15"/>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第三部分 名词解释</w:t>
      </w:r>
      <w:r>
        <w:rPr>
          <w:rFonts w:hint="eastAsia" w:ascii="Times New Roman" w:hAnsi="Times New Roman" w:eastAsia="黑体" w:cs="黑体"/>
          <w:color w:val="auto"/>
          <w:sz w:val="32"/>
          <w:szCs w:val="32"/>
          <w:highlight w:val="none"/>
          <w:lang w:val="en-US" w:eastAsia="zh-CN"/>
        </w:rPr>
        <w:t>---------------------------------------------25-34</w:t>
      </w:r>
    </w:p>
    <w:p w14:paraId="2AD733C4">
      <w:pPr>
        <w:pStyle w:val="15"/>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rPr>
      </w:pPr>
      <w:r>
        <w:rPr>
          <w:rFonts w:hint="eastAsia" w:ascii="Times New Roman" w:hAnsi="Times New Roman" w:eastAsia="黑体" w:cs="黑体"/>
          <w:color w:val="auto"/>
          <w:sz w:val="32"/>
          <w:szCs w:val="32"/>
          <w:highlight w:val="none"/>
        </w:rPr>
        <w:t>第四部分 附件</w:t>
      </w:r>
      <w:r>
        <w:rPr>
          <w:rFonts w:hint="eastAsia" w:ascii="Times New Roman" w:hAnsi="Times New Roman" w:eastAsia="黑体" w:cs="黑体"/>
          <w:color w:val="auto"/>
          <w:sz w:val="32"/>
          <w:szCs w:val="32"/>
          <w:highlight w:val="none"/>
          <w:lang w:val="en-US" w:eastAsia="zh-CN"/>
        </w:rPr>
        <w:t>---------------------------------------------------35-48</w:t>
      </w:r>
    </w:p>
    <w:p w14:paraId="4B4BA0E0">
      <w:pPr>
        <w:pStyle w:val="15"/>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第五部分 附表</w:t>
      </w:r>
      <w:r>
        <w:rPr>
          <w:rFonts w:hint="eastAsia" w:ascii="Times New Roman" w:hAnsi="Times New Roman" w:eastAsia="黑体" w:cs="黑体"/>
          <w:color w:val="auto"/>
          <w:sz w:val="32"/>
          <w:szCs w:val="32"/>
          <w:highlight w:val="none"/>
          <w:lang w:val="en-US" w:eastAsia="zh-CN"/>
        </w:rPr>
        <w:t>------------------------------------------------49（另附）</w:t>
      </w:r>
    </w:p>
    <w:p w14:paraId="39FC1AD4">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14:paraId="79C97A8C">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14:paraId="708F6C67">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14:paraId="560B36B7">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14:paraId="15B332D9">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14:paraId="174C602D">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14:paraId="2F1F1A8E">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14:paraId="115A7EC3">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p>
    <w:p w14:paraId="0C5009CF">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14:paraId="1900B9B8">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14:paraId="2F889BD5">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p>
    <w:p w14:paraId="27B3E024">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p>
    <w:p w14:paraId="02CF037F">
      <w:pPr>
        <w:pStyle w:val="17"/>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p>
    <w:p w14:paraId="0A8C7041">
      <w:pPr>
        <w:rPr>
          <w:rFonts w:hint="eastAsia" w:ascii="Times New Roman" w:hAnsi="Times New Roman" w:eastAsia="仿宋_GB2312" w:cs="仿宋_GB2312"/>
          <w:color w:val="auto"/>
          <w:sz w:val="32"/>
          <w:szCs w:val="32"/>
          <w:highlight w:val="none"/>
        </w:rPr>
      </w:pPr>
    </w:p>
    <w:p w14:paraId="63867879">
      <w:pPr>
        <w:pStyle w:val="2"/>
        <w:rPr>
          <w:rFonts w:hint="eastAsia" w:ascii="Times New Roman" w:hAnsi="Times New Roman" w:eastAsia="仿宋_GB2312" w:cs="仿宋_GB2312"/>
          <w:color w:val="auto"/>
          <w:sz w:val="32"/>
          <w:szCs w:val="32"/>
          <w:highlight w:val="none"/>
        </w:rPr>
      </w:pPr>
    </w:p>
    <w:p w14:paraId="677ECD0D">
      <w:pPr>
        <w:pStyle w:val="3"/>
        <w:rPr>
          <w:rFonts w:hint="eastAsia" w:ascii="Times New Roman" w:hAnsi="Times New Roman" w:eastAsia="仿宋_GB2312" w:cs="仿宋_GB2312"/>
          <w:color w:val="auto"/>
          <w:sz w:val="32"/>
          <w:szCs w:val="32"/>
          <w:highlight w:val="none"/>
        </w:rPr>
      </w:pPr>
    </w:p>
    <w:p w14:paraId="7FECAD58">
      <w:pPr>
        <w:rPr>
          <w:rFonts w:hint="eastAsia" w:ascii="Times New Roman" w:hAnsi="Times New Roman" w:eastAsia="仿宋_GB2312" w:cs="仿宋_GB2312"/>
          <w:color w:val="auto"/>
          <w:sz w:val="32"/>
          <w:szCs w:val="32"/>
          <w:highlight w:val="none"/>
        </w:rPr>
      </w:pPr>
    </w:p>
    <w:p w14:paraId="04BDFF05">
      <w:pPr>
        <w:pStyle w:val="2"/>
        <w:rPr>
          <w:rFonts w:hint="eastAsia" w:ascii="Times New Roman" w:hAnsi="Times New Roman" w:eastAsia="仿宋_GB2312" w:cs="仿宋_GB2312"/>
          <w:color w:val="auto"/>
          <w:sz w:val="32"/>
          <w:szCs w:val="32"/>
          <w:highlight w:val="none"/>
        </w:rPr>
      </w:pPr>
    </w:p>
    <w:p w14:paraId="4B54B82D">
      <w:pPr>
        <w:pStyle w:val="3"/>
        <w:rPr>
          <w:rFonts w:hint="eastAsia" w:ascii="Times New Roman" w:hAnsi="Times New Roman" w:eastAsia="仿宋_GB2312" w:cs="仿宋_GB2312"/>
          <w:color w:val="auto"/>
          <w:sz w:val="32"/>
          <w:szCs w:val="32"/>
          <w:highlight w:val="none"/>
        </w:rPr>
      </w:pPr>
    </w:p>
    <w:p w14:paraId="1B303298">
      <w:pPr>
        <w:rPr>
          <w:rFonts w:hint="eastAsia" w:ascii="Times New Roman" w:hAnsi="Times New Roman" w:eastAsia="仿宋_GB2312" w:cs="仿宋_GB2312"/>
          <w:color w:val="auto"/>
          <w:sz w:val="32"/>
          <w:szCs w:val="32"/>
          <w:highlight w:val="none"/>
        </w:rPr>
      </w:pPr>
    </w:p>
    <w:p w14:paraId="2B7FC601">
      <w:pPr>
        <w:pStyle w:val="2"/>
        <w:rPr>
          <w:rFonts w:hint="eastAsia" w:ascii="Times New Roman" w:hAnsi="Times New Roman" w:eastAsia="仿宋_GB2312" w:cs="仿宋_GB2312"/>
          <w:color w:val="auto"/>
          <w:sz w:val="32"/>
          <w:szCs w:val="32"/>
          <w:highlight w:val="none"/>
        </w:rPr>
      </w:pPr>
    </w:p>
    <w:p w14:paraId="2DAC0AD2">
      <w:pPr>
        <w:pStyle w:val="3"/>
        <w:rPr>
          <w:rFonts w:hint="eastAsia" w:ascii="Times New Roman" w:hAnsi="Times New Roman" w:eastAsia="仿宋_GB2312" w:cs="仿宋_GB2312"/>
          <w:color w:val="auto"/>
          <w:sz w:val="32"/>
          <w:szCs w:val="32"/>
          <w:highlight w:val="none"/>
        </w:rPr>
      </w:pPr>
    </w:p>
    <w:p w14:paraId="134DE7F2">
      <w:pPr>
        <w:rPr>
          <w:rFonts w:hint="eastAsia" w:ascii="Times New Roman" w:hAnsi="Times New Roman" w:eastAsia="仿宋_GB2312" w:cs="仿宋_GB2312"/>
          <w:color w:val="auto"/>
          <w:sz w:val="32"/>
          <w:szCs w:val="32"/>
          <w:highlight w:val="none"/>
        </w:rPr>
      </w:pPr>
    </w:p>
    <w:p w14:paraId="34618E28">
      <w:pPr>
        <w:pStyle w:val="2"/>
        <w:rPr>
          <w:rFonts w:hint="eastAsia" w:ascii="Times New Roman" w:hAnsi="Times New Roman" w:eastAsia="仿宋_GB2312" w:cs="仿宋_GB2312"/>
          <w:color w:val="auto"/>
          <w:sz w:val="32"/>
          <w:szCs w:val="32"/>
          <w:highlight w:val="none"/>
        </w:rPr>
      </w:pPr>
    </w:p>
    <w:p w14:paraId="67B0A370">
      <w:pPr>
        <w:pStyle w:val="3"/>
        <w:rPr>
          <w:rFonts w:hint="eastAsia"/>
        </w:rPr>
      </w:pPr>
    </w:p>
    <w:p w14:paraId="3F35B353">
      <w:pPr>
        <w:pStyle w:val="5"/>
        <w:ind w:firstLine="2200" w:firstLineChars="500"/>
        <w:jc w:val="both"/>
        <w:rPr>
          <w:rStyle w:val="33"/>
          <w:rFonts w:hint="eastAsia" w:ascii="Times New Roman" w:hAnsi="Times New Roman" w:eastAsia="方正小标宋简体" w:cs="方正小标宋简体"/>
          <w:b/>
          <w:bCs w:val="0"/>
          <w:color w:val="auto"/>
          <w:highlight w:val="none"/>
        </w:rPr>
      </w:pPr>
      <w:bookmarkStart w:id="12" w:name="_Toc15396599"/>
      <w:bookmarkStart w:id="13" w:name="_Toc15377196"/>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33"/>
          <w:rFonts w:hint="eastAsia" w:ascii="Times New Roman" w:hAnsi="Times New Roman" w:eastAsia="方正小标宋简体" w:cs="方正小标宋简体"/>
          <w:b w:val="0"/>
          <w:bCs w:val="0"/>
          <w:color w:val="auto"/>
          <w:highlight w:val="none"/>
        </w:rPr>
        <w:t>部门概况</w:t>
      </w:r>
      <w:bookmarkEnd w:id="12"/>
      <w:bookmarkEnd w:id="13"/>
    </w:p>
    <w:p w14:paraId="308B9823">
      <w:pPr>
        <w:widowControl/>
        <w:jc w:val="left"/>
        <w:rPr>
          <w:rFonts w:ascii="Times New Roman" w:hAnsi="Times New Roman" w:eastAsia="黑体"/>
          <w:color w:val="auto"/>
          <w:sz w:val="32"/>
          <w:szCs w:val="32"/>
          <w:highlight w:val="none"/>
        </w:rPr>
      </w:pPr>
    </w:p>
    <w:p w14:paraId="12C7BFE0">
      <w:pPr>
        <w:pStyle w:val="6"/>
        <w:numPr>
          <w:ilvl w:val="0"/>
          <w:numId w:val="1"/>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eastAsia="zh-CN"/>
        </w:rPr>
        <w:t>部门职责</w:t>
      </w:r>
    </w:p>
    <w:p w14:paraId="3C159EEF">
      <w:pPr>
        <w:pStyle w:val="6"/>
        <w:rPr>
          <w:rStyle w:val="34"/>
          <w:rFonts w:ascii="仿宋" w:hAnsi="仿宋" w:eastAsia="仿宋"/>
          <w:b w:val="0"/>
          <w:bCs w:val="0"/>
        </w:rPr>
      </w:pPr>
      <w:bookmarkStart w:id="14" w:name="_Toc15377197"/>
      <w:bookmarkStart w:id="15" w:name="_Toc15396600"/>
      <w:r>
        <w:rPr>
          <w:rFonts w:hint="eastAsia" w:ascii="黑体" w:hAnsi="黑体" w:eastAsia="黑体"/>
          <w:b w:val="0"/>
        </w:rPr>
        <w:t>一、基</w:t>
      </w:r>
      <w:r>
        <w:rPr>
          <w:rStyle w:val="34"/>
          <w:rFonts w:hint="eastAsia" w:ascii="黑体" w:hAnsi="黑体" w:eastAsia="黑体"/>
          <w:b w:val="0"/>
          <w:bCs w:val="0"/>
        </w:rPr>
        <w:t>本职能及主要工作</w:t>
      </w:r>
      <w:bookmarkEnd w:id="14"/>
      <w:bookmarkEnd w:id="15"/>
    </w:p>
    <w:p w14:paraId="289FAB91">
      <w:pPr>
        <w:pStyle w:val="40"/>
        <w:tabs>
          <w:tab w:val="left" w:pos="1083"/>
        </w:tabs>
        <w:spacing w:before="190" w:line="350" w:lineRule="auto"/>
        <w:ind w:left="420" w:leftChars="200" w:right="253" w:firstLine="0" w:firstLineChars="0"/>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（一）主要职能。</w:t>
      </w:r>
    </w:p>
    <w:p w14:paraId="7BA66E18">
      <w:pPr>
        <w:pStyle w:val="40"/>
        <w:tabs>
          <w:tab w:val="left" w:pos="1083"/>
        </w:tabs>
        <w:spacing w:before="190" w:line="350" w:lineRule="auto"/>
        <w:ind w:left="420" w:leftChars="200" w:right="253" w:firstLine="640"/>
        <w:rPr>
          <w:rFonts w:hint="eastAsia" w:ascii="仿宋_GB2312" w:hAnsi="仿宋_GB2312" w:eastAsia="仿宋_GB2312" w:cs="仿宋_GB2312"/>
          <w:sz w:val="32"/>
          <w:szCs w:val="32"/>
        </w:rPr>
      </w:pPr>
      <w:r>
        <w:rPr>
          <w:rFonts w:hint="eastAsia" w:ascii="仿宋_GB2312" w:hAnsi="仿宋_GB2312" w:eastAsia="仿宋_GB2312" w:cs="仿宋_GB2312"/>
          <w:bCs/>
          <w:color w:val="000000"/>
          <w:sz w:val="32"/>
          <w:szCs w:val="32"/>
        </w:rPr>
        <w:t>我机关主要职能为：1、</w:t>
      </w:r>
      <w:r>
        <w:rPr>
          <w:rFonts w:hint="eastAsia" w:ascii="仿宋_GB2312" w:hAnsi="仿宋_GB2312" w:eastAsia="仿宋_GB2312" w:cs="仿宋_GB2312"/>
          <w:spacing w:val="13"/>
          <w:sz w:val="32"/>
          <w:szCs w:val="32"/>
        </w:rPr>
        <w:t>贯彻落实党的路线方针政策和国家法律法规以及上级党</w:t>
      </w:r>
      <w:r>
        <w:rPr>
          <w:rFonts w:hint="eastAsia" w:ascii="仿宋_GB2312" w:hAnsi="仿宋_GB2312" w:eastAsia="仿宋_GB2312" w:cs="仿宋_GB2312"/>
          <w:sz w:val="32"/>
          <w:szCs w:val="32"/>
        </w:rPr>
        <w:t>委、政府的决议、决定和命令，执行镇党委和镇人民代表大会的决议，加强农村基层政权建设，巩固党在农村的执政基础。</w:t>
      </w:r>
    </w:p>
    <w:p w14:paraId="2D236436">
      <w:pPr>
        <w:pStyle w:val="40"/>
        <w:tabs>
          <w:tab w:val="left" w:pos="1083"/>
        </w:tabs>
        <w:spacing w:before="4" w:line="350" w:lineRule="auto"/>
        <w:ind w:left="420" w:leftChars="200" w:right="253" w:firstLine="692"/>
        <w:rPr>
          <w:rFonts w:hint="eastAsia" w:ascii="仿宋_GB2312" w:hAnsi="仿宋_GB2312" w:eastAsia="仿宋_GB2312" w:cs="仿宋_GB2312"/>
          <w:sz w:val="32"/>
          <w:szCs w:val="32"/>
        </w:rPr>
      </w:pPr>
      <w:r>
        <w:rPr>
          <w:rFonts w:hint="eastAsia" w:ascii="仿宋_GB2312" w:hAnsi="仿宋_GB2312" w:eastAsia="仿宋_GB2312" w:cs="仿宋_GB2312"/>
          <w:spacing w:val="13"/>
          <w:sz w:val="32"/>
          <w:szCs w:val="32"/>
        </w:rPr>
        <w:t>2、组织编制本行政区域经济社会发展规划和镇国土空间规</w:t>
      </w:r>
      <w:r>
        <w:rPr>
          <w:rFonts w:hint="eastAsia" w:ascii="仿宋_GB2312" w:hAnsi="仿宋_GB2312" w:eastAsia="仿宋_GB2312" w:cs="仿宋_GB2312"/>
          <w:sz w:val="32"/>
          <w:szCs w:val="32"/>
        </w:rPr>
        <w:t>划、村（社区）规划等相关规划。负责农村基础设施和各项公益事业建设，实施乡村振兴战略，加快经济社会发展，改善群众生产生活环境。</w:t>
      </w:r>
    </w:p>
    <w:p w14:paraId="3DED59E9">
      <w:pPr>
        <w:pStyle w:val="9"/>
        <w:spacing w:before="72" w:line="350" w:lineRule="auto"/>
        <w:ind w:left="426" w:leftChars="203" w:right="264" w:firstLine="652" w:firstLineChars="20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3、指导农村经济发展，推进农业经济结构调整，促进经济增长方式转变，促进农业增效、农民增收。</w:t>
      </w:r>
    </w:p>
    <w:p w14:paraId="6BA49616">
      <w:pPr>
        <w:pStyle w:val="9"/>
        <w:spacing w:before="72" w:line="350" w:lineRule="auto"/>
        <w:ind w:left="638" w:leftChars="304" w:right="263" w:firstLine="320" w:firstLineChars="100"/>
        <w:rPr>
          <w:rFonts w:hint="eastAsia" w:hAnsi="仿宋_GB2312" w:cs="仿宋_GB2312"/>
          <w:sz w:val="32"/>
          <w:szCs w:val="32"/>
          <w:lang w:eastAsia="zh-CN"/>
        </w:rPr>
      </w:pPr>
      <w:r>
        <w:rPr>
          <w:rFonts w:hint="eastAsia" w:ascii="仿宋_GB2312" w:hAnsi="仿宋_GB2312" w:eastAsia="仿宋_GB2312" w:cs="仿宋_GB2312"/>
          <w:sz w:val="32"/>
          <w:szCs w:val="32"/>
        </w:rPr>
        <w:t>4、加强镇域内公共服务体系建设，抓好基础教育、统计 、科技、文化、体育、卫生健康、食品安全等工作，做好民政事务、就业创业、社会保障、劳动关系协调、民族宗教等工作，促进镇域内社会事业健康发展</w:t>
      </w:r>
      <w:r>
        <w:rPr>
          <w:rFonts w:hint="eastAsia" w:hAnsi="仿宋_GB2312" w:cs="仿宋_GB2312"/>
          <w:sz w:val="32"/>
          <w:szCs w:val="32"/>
          <w:lang w:eastAsia="zh-CN"/>
        </w:rPr>
        <w:t>。</w:t>
      </w:r>
    </w:p>
    <w:p w14:paraId="2101961C">
      <w:pPr>
        <w:pStyle w:val="9"/>
        <w:spacing w:before="72" w:line="350" w:lineRule="auto"/>
        <w:ind w:right="263" w:firstLine="954" w:firstLineChars="300"/>
        <w:jc w:val="left"/>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5、加强社会管理，负责或配合区级有关部门做好辖区内自然资源、生态环境保护、医疗和社会保障、市场监管、统计、粮食安全、供销合作、脱贫攻坚等工作。</w:t>
      </w:r>
    </w:p>
    <w:p w14:paraId="3B2F6F4C">
      <w:pPr>
        <w:pStyle w:val="9"/>
        <w:spacing w:before="93" w:line="350" w:lineRule="auto"/>
        <w:ind w:left="108" w:right="104" w:firstLine="639"/>
        <w:jc w:val="left"/>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6、</w:t>
      </w:r>
      <w:r>
        <w:rPr>
          <w:rFonts w:hint="eastAsia" w:ascii="仿宋_GB2312" w:hAnsi="仿宋_GB2312" w:eastAsia="仿宋_GB2312" w:cs="仿宋_GB2312"/>
          <w:spacing w:val="-11"/>
          <w:sz w:val="32"/>
          <w:szCs w:val="32"/>
        </w:rPr>
        <w:t>推进基层民主法治建设，加强普法依法治理，指导村</w:t>
      </w:r>
      <w:r>
        <w:rPr>
          <w:rFonts w:hint="eastAsia" w:ascii="仿宋_GB2312" w:hAnsi="仿宋_GB2312" w:eastAsia="仿宋_GB2312" w:cs="仿宋_GB2312"/>
          <w:sz w:val="32"/>
          <w:szCs w:val="32"/>
        </w:rPr>
        <w:t>（居） 民委员会工作，维护群众合法权益。</w:t>
      </w:r>
    </w:p>
    <w:p w14:paraId="0EFD66FE">
      <w:pPr>
        <w:pStyle w:val="9"/>
        <w:spacing w:before="93" w:line="350" w:lineRule="auto"/>
        <w:ind w:left="108" w:right="105" w:firstLine="639"/>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7、承担辖区平安建设、社会治安综合治理、公共安全、安全</w:t>
      </w:r>
      <w:r>
        <w:rPr>
          <w:rFonts w:hint="eastAsia" w:ascii="仿宋_GB2312" w:hAnsi="仿宋_GB2312" w:eastAsia="仿宋_GB2312" w:cs="仿宋_GB2312"/>
          <w:spacing w:val="-11"/>
          <w:sz w:val="32"/>
          <w:szCs w:val="32"/>
        </w:rPr>
        <w:t>生产及应急管理等有关工作，处理群众来信来访，反映社情民意， 化解矛盾纠纷，维护社会安全稳定。</w:t>
      </w:r>
    </w:p>
    <w:p w14:paraId="1B0083EB">
      <w:pPr>
        <w:pStyle w:val="9"/>
        <w:spacing w:before="93" w:line="350" w:lineRule="auto"/>
        <w:ind w:left="108" w:right="263" w:firstLine="639"/>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8、负责制定完善权力清单、责任清单、公共服务清单、建立清单动态调整和公示机制，推进政务公开，接受群众监督，增强政府公信力。</w:t>
      </w:r>
    </w:p>
    <w:p w14:paraId="77D26FE4">
      <w:pPr>
        <w:pStyle w:val="40"/>
        <w:tabs>
          <w:tab w:val="left" w:pos="1070"/>
        </w:tabs>
        <w:spacing w:before="4"/>
        <w:ind w:left="420" w:leftChars="200" w:firstLine="316" w:firstLineChars="100"/>
        <w:jc w:val="left"/>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9、负责国防教育、兵役征集、后备力量建设等有关工作。</w:t>
      </w:r>
    </w:p>
    <w:p w14:paraId="24EA5D02">
      <w:pPr>
        <w:pStyle w:val="40"/>
        <w:tabs>
          <w:tab w:val="left" w:pos="1230"/>
        </w:tabs>
        <w:spacing w:before="190" w:line="350" w:lineRule="auto"/>
        <w:ind w:left="319" w:leftChars="152" w:right="263" w:firstLine="292" w:firstLineChars="100"/>
        <w:jc w:val="left"/>
        <w:rPr>
          <w:rFonts w:hint="eastAsia" w:ascii="仿宋_GB2312" w:hAnsi="仿宋_GB2312" w:eastAsia="仿宋_GB2312" w:cs="仿宋_GB2312"/>
          <w:spacing w:val="-14"/>
          <w:sz w:val="32"/>
          <w:szCs w:val="32"/>
        </w:rPr>
      </w:pPr>
      <w:r>
        <w:rPr>
          <w:rFonts w:hint="eastAsia" w:ascii="仿宋_GB2312" w:hAnsi="仿宋_GB2312" w:eastAsia="仿宋_GB2312" w:cs="仿宋_GB2312"/>
          <w:spacing w:val="-14"/>
          <w:sz w:val="32"/>
          <w:szCs w:val="32"/>
        </w:rPr>
        <w:t>10、承担法律、法规、规章规定的其他职能和上级党委、政府交办的其他任务。</w:t>
      </w:r>
    </w:p>
    <w:p w14:paraId="486A8865">
      <w:pPr>
        <w:rPr>
          <w:rFonts w:hint="eastAsia" w:ascii="仿宋" w:hAnsi="仿宋" w:eastAsia="仿宋"/>
          <w:bCs/>
          <w:sz w:val="32"/>
          <w:szCs w:val="32"/>
        </w:rPr>
      </w:pPr>
      <w:bookmarkStart w:id="16" w:name="_Toc15378446"/>
      <w:bookmarkStart w:id="17" w:name="_Toc15377199"/>
      <w:r>
        <w:rPr>
          <w:rFonts w:hint="eastAsia" w:ascii="仿宋" w:hAnsi="仿宋" w:eastAsia="仿宋"/>
          <w:bCs/>
          <w:sz w:val="32"/>
          <w:szCs w:val="32"/>
        </w:rPr>
        <w:t>（二）</w:t>
      </w:r>
      <w:r>
        <w:rPr>
          <w:rFonts w:hint="eastAsia" w:ascii="仿宋" w:hAnsi="仿宋" w:eastAsia="仿宋"/>
          <w:bCs/>
          <w:sz w:val="32"/>
          <w:szCs w:val="32"/>
          <w:lang w:val="en-US" w:eastAsia="zh-CN"/>
        </w:rPr>
        <w:t>2024</w:t>
      </w:r>
      <w:r>
        <w:rPr>
          <w:rFonts w:hint="eastAsia" w:ascii="仿宋" w:hAnsi="仿宋" w:eastAsia="仿宋"/>
          <w:bCs/>
          <w:sz w:val="32"/>
          <w:szCs w:val="32"/>
        </w:rPr>
        <w:t>年重点工作完成情况。</w:t>
      </w:r>
      <w:bookmarkEnd w:id="16"/>
      <w:bookmarkEnd w:id="17"/>
    </w:p>
    <w:p w14:paraId="333F7E9B">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楷体" w:eastAsia="仿宋_GB2312" w:cs="仿宋_GB2312"/>
          <w:color w:val="auto"/>
          <w:sz w:val="32"/>
          <w:szCs w:val="32"/>
          <w:lang w:val="en-US" w:eastAsia="zh-CN"/>
        </w:rPr>
      </w:pPr>
      <w:r>
        <w:rPr>
          <w:rFonts w:hint="eastAsia" w:ascii="仿宋_GB2312" w:hAnsi="楷体" w:eastAsia="仿宋_GB2312" w:cs="仿宋_GB2312"/>
          <w:b/>
          <w:bCs/>
          <w:color w:val="auto"/>
          <w:sz w:val="32"/>
          <w:szCs w:val="32"/>
          <w:lang w:val="en-US" w:eastAsia="zh-CN"/>
        </w:rPr>
        <w:t>聚焦项目攻坚，夯实发展硬基石。</w:t>
      </w:r>
      <w:r>
        <w:rPr>
          <w:rFonts w:hint="eastAsia" w:ascii="仿宋_GB2312" w:hAnsi="楷体" w:eastAsia="仿宋_GB2312" w:cs="仿宋_GB2312"/>
          <w:color w:val="auto"/>
          <w:sz w:val="32"/>
          <w:szCs w:val="32"/>
          <w:lang w:val="en-US" w:eastAsia="zh-CN"/>
        </w:rPr>
        <w:t>攻坚水利枢纽，高效推进移民搬迁。秉持“服务重大工程，保障民生福祉”宗旨，扎实推进岷江航电老木孔枢纽移民搬迁项目。锚定文旅融合，加速古镇焕新进程。立足文化资源禀赋，以“保护+开发”双轮驱动，全面推进牛华古镇特色街区打造项目。紧扣交通能源，全力筑牢供应根基。坚持“保障能源供给，服务交通发展”理念，积极推进流花溪加油站和牛华派出所项目搬迁工作。</w:t>
      </w:r>
    </w:p>
    <w:p w14:paraId="2D6C4061">
      <w:pPr>
        <w:numPr>
          <w:ilvl w:val="0"/>
          <w:numId w:val="0"/>
        </w:numPr>
        <w:ind w:firstLine="643" w:firstLineChars="200"/>
        <w:rPr>
          <w:rFonts w:hint="eastAsia" w:ascii="仿宋_GB2312" w:hAnsi="楷体" w:eastAsia="仿宋_GB2312" w:cs="仿宋_GB2312"/>
          <w:color w:val="auto"/>
          <w:sz w:val="32"/>
          <w:szCs w:val="32"/>
          <w:lang w:val="en-US" w:eastAsia="zh-CN"/>
        </w:rPr>
      </w:pPr>
      <w:r>
        <w:rPr>
          <w:rFonts w:hint="eastAsia" w:ascii="仿宋_GB2312" w:hAnsi="楷体" w:eastAsia="仿宋_GB2312" w:cs="仿宋_GB2312"/>
          <w:b/>
          <w:bCs/>
          <w:color w:val="auto"/>
          <w:sz w:val="32"/>
          <w:szCs w:val="32"/>
          <w:lang w:val="en-US" w:eastAsia="zh-CN"/>
        </w:rPr>
        <w:t>聚力经济发展，跃升综合竞争力。</w:t>
      </w:r>
      <w:r>
        <w:rPr>
          <w:rFonts w:hint="eastAsia" w:ascii="仿宋_GB2312" w:hAnsi="楷体" w:eastAsia="仿宋_GB2312" w:cs="仿宋_GB2312"/>
          <w:color w:val="auto"/>
          <w:sz w:val="32"/>
          <w:szCs w:val="32"/>
          <w:lang w:val="en-US" w:eastAsia="zh-CN"/>
        </w:rPr>
        <w:t>依托节庆活动，激发消费市场活力。牛华镇立足本土文化底蕴和美食特色，依托节假日庆祝活动，结合传统文化演出、影视剧取景地打卡等多元形式，打造以燕山荷塘、汤家坝柿子林、三塔黄花风铃木等为代表的特色美景，充分展现地方饮食特色、文化魅力和田园风光，吸引众多游客前来赏风景品美食，推动文旅深度融合，促进消费市场繁荣，提升牛华镇知名度和美誉度，为推动经济高质量发展注入强劲动力。</w:t>
      </w:r>
    </w:p>
    <w:p w14:paraId="63CBC07E">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楷体" w:eastAsia="仿宋_GB2312" w:cs="仿宋_GB2312"/>
          <w:color w:val="auto"/>
          <w:sz w:val="32"/>
          <w:szCs w:val="32"/>
          <w:lang w:val="en-US" w:eastAsia="zh-CN"/>
        </w:rPr>
      </w:pPr>
      <w:r>
        <w:rPr>
          <w:rFonts w:hint="eastAsia" w:ascii="仿宋_GB2312" w:hAnsi="楷体" w:eastAsia="仿宋_GB2312" w:cs="仿宋_GB2312"/>
          <w:b/>
          <w:bCs/>
          <w:color w:val="auto"/>
          <w:sz w:val="32"/>
          <w:szCs w:val="32"/>
          <w:lang w:val="en-US" w:eastAsia="zh-CN"/>
        </w:rPr>
        <w:t>着力乡村振兴，绘就农村新图景。</w:t>
      </w:r>
      <w:r>
        <w:rPr>
          <w:rFonts w:hint="eastAsia" w:ascii="仿宋_GB2312" w:hAnsi="楷体" w:eastAsia="仿宋_GB2312" w:cs="仿宋_GB2312"/>
          <w:color w:val="auto"/>
          <w:sz w:val="32"/>
          <w:szCs w:val="32"/>
          <w:lang w:val="en-US" w:eastAsia="zh-CN"/>
        </w:rPr>
        <w:t>严守耕地红线，筑牢粮食安全根基。</w:t>
      </w:r>
      <w:r>
        <w:rPr>
          <w:rFonts w:hint="eastAsia" w:ascii="仿宋_GB2312" w:hAnsi="楷体" w:eastAsia="仿宋_GB2312" w:cs="仿宋_GB2312"/>
          <w:color w:val="auto"/>
          <w:sz w:val="32"/>
          <w:szCs w:val="32"/>
        </w:rPr>
        <w:t>全面落实耕地保护</w:t>
      </w:r>
      <w:r>
        <w:rPr>
          <w:rFonts w:hint="eastAsia" w:ascii="仿宋_GB2312" w:hAnsi="楷体" w:eastAsia="仿宋_GB2312" w:cs="仿宋_GB2312"/>
          <w:color w:val="auto"/>
          <w:sz w:val="32"/>
          <w:szCs w:val="32"/>
          <w:lang w:val="en-US" w:eastAsia="zh-CN"/>
        </w:rPr>
        <w:t>党政同责</w:t>
      </w:r>
      <w:r>
        <w:rPr>
          <w:rFonts w:hint="eastAsia" w:ascii="仿宋_GB2312" w:hAnsi="楷体" w:eastAsia="仿宋_GB2312" w:cs="仿宋_GB2312"/>
          <w:color w:val="auto"/>
          <w:sz w:val="32"/>
          <w:szCs w:val="32"/>
        </w:rPr>
        <w:t>，</w:t>
      </w:r>
      <w:r>
        <w:rPr>
          <w:rFonts w:hint="eastAsia" w:ascii="仿宋_GB2312" w:hAnsi="楷体" w:eastAsia="仿宋_GB2312" w:cs="仿宋_GB2312"/>
          <w:color w:val="auto"/>
          <w:sz w:val="32"/>
          <w:szCs w:val="32"/>
          <w:lang w:val="en-US" w:eastAsia="zh-CN"/>
        </w:rPr>
        <w:t>坚决遏制土地“非粮化”“非农化”，完成耕地恢复1433.89亩。强化监测帮扶，巩固脱贫攻坚成果。健全防返贫监测帮扶机制，常态化开展防返贫监测工作。围绕增加脱贫群众收入、“三保障”等内容，开展集中排查2次，每月自查问题、建立台账、因户施策、整改销号，全年共整改问题180个，整改完成率100%，顺利通过全市巩固脱贫成果后评估实地核查。</w:t>
      </w:r>
    </w:p>
    <w:p w14:paraId="5F03D5E3">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楷体" w:eastAsia="仿宋_GB2312" w:cs="仿宋_GB2312"/>
          <w:color w:val="auto"/>
          <w:sz w:val="32"/>
          <w:szCs w:val="32"/>
          <w:lang w:val="en-US" w:eastAsia="zh-CN"/>
        </w:rPr>
      </w:pPr>
      <w:r>
        <w:rPr>
          <w:rFonts w:hint="eastAsia" w:ascii="仿宋_GB2312" w:hAnsi="楷体" w:eastAsia="仿宋_GB2312" w:cs="仿宋_GB2312"/>
          <w:b/>
          <w:bCs/>
          <w:color w:val="auto"/>
          <w:sz w:val="32"/>
          <w:szCs w:val="32"/>
          <w:lang w:val="en-US" w:eastAsia="zh-CN"/>
        </w:rPr>
        <w:t>锚定民生保障，增进群众幸福感。</w:t>
      </w:r>
      <w:r>
        <w:rPr>
          <w:rFonts w:hint="eastAsia" w:ascii="仿宋_GB2312" w:hAnsi="楷体" w:eastAsia="仿宋_GB2312" w:cs="仿宋_GB2312"/>
          <w:color w:val="auto"/>
          <w:sz w:val="32"/>
          <w:szCs w:val="32"/>
          <w:lang w:val="en-US" w:eastAsia="zh-CN"/>
        </w:rPr>
        <w:t>筑牢保障底线，织密民生兜底网络。紧扣“保基本、兜底线、惠民生”目标，全面落实各项惠民政策，实施低保、特困供养动态管理。推进13座公厕改造并全部投用，加快推进木鱼山体育公园项目，不断提升人民群众幸福感、满足感。完善设施建设，增强城镇服务能级。进一步简化办事流程，优化便民服务中心窗口设置，推行“一站式综窗”服务模式和“首问负责制”、“限时办结制”，提高群众办事效率。组织参加五通桥区第四届乡村文化振兴魅力竞演大赛、“小西湖之星·百姓才艺大比拼”活动，丰富群众精神文化生活。</w:t>
      </w:r>
    </w:p>
    <w:p w14:paraId="3AA77773">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lang w:val="zh-CN"/>
        </w:rPr>
      </w:pPr>
      <w:r>
        <w:rPr>
          <w:rFonts w:hint="eastAsia" w:ascii="仿宋_GB2312" w:hAnsi="楷体" w:eastAsia="仿宋_GB2312" w:cs="仿宋_GB2312"/>
          <w:b/>
          <w:bCs/>
          <w:color w:val="auto"/>
          <w:sz w:val="32"/>
          <w:szCs w:val="32"/>
          <w:lang w:val="en-US" w:eastAsia="zh-CN"/>
        </w:rPr>
        <w:t>强化法治引领，推动治理新突破。</w:t>
      </w:r>
      <w:r>
        <w:rPr>
          <w:rFonts w:hint="eastAsia" w:ascii="仿宋_GB2312" w:hAnsi="楷体" w:eastAsia="仿宋_GB2312" w:cs="仿宋_GB2312"/>
          <w:color w:val="auto"/>
          <w:sz w:val="32"/>
          <w:szCs w:val="32"/>
          <w:lang w:val="en-US" w:eastAsia="zh-CN"/>
        </w:rPr>
        <w:t>筑牢法治根基，深化基层依法治理。以“一村一辅警”制度为依托，组建21支专兼职法治宣传队伍，开展普法培训12场，发放法治读本800本。创新解纷机制，构建多元化解格局。设立村（社区）综治员21名、调解员91名，聚焦土地纠纷、婚姻矛盾等热点问题，安排专人专班化解重点个案，及时消除不稳定因素。实现“小事不出村，矛盾不上交”。深入开展安全生产治本攻坚三年行动、安全生产动态清零行动。</w:t>
      </w:r>
    </w:p>
    <w:p w14:paraId="326F939E">
      <w:pPr>
        <w:pStyle w:val="16"/>
        <w:rPr>
          <w:rFonts w:hint="eastAsia"/>
          <w:lang w:eastAsia="zh-CN"/>
        </w:rPr>
      </w:pPr>
    </w:p>
    <w:p w14:paraId="79DCE3AB">
      <w:pPr>
        <w:pStyle w:val="6"/>
        <w:rPr>
          <w:rStyle w:val="34"/>
          <w:rFonts w:ascii="Times New Roman" w:hAnsi="Times New Roman"/>
          <w:b w:val="0"/>
          <w:bCs w:val="0"/>
          <w:color w:val="auto"/>
          <w:highlight w:val="none"/>
        </w:rPr>
      </w:pPr>
      <w:bookmarkStart w:id="18" w:name="_Toc15377200"/>
      <w:bookmarkStart w:id="19" w:name="_Toc15396601"/>
      <w:r>
        <w:rPr>
          <w:rFonts w:hint="eastAsia" w:ascii="Times New Roman" w:hAnsi="Times New Roman" w:eastAsia="黑体"/>
          <w:b w:val="0"/>
          <w:color w:val="auto"/>
          <w:highlight w:val="none"/>
        </w:rPr>
        <w:t>二、机</w:t>
      </w:r>
      <w:r>
        <w:rPr>
          <w:rStyle w:val="34"/>
          <w:rFonts w:hint="eastAsia" w:ascii="Times New Roman" w:hAnsi="Times New Roman" w:eastAsia="黑体"/>
          <w:b w:val="0"/>
          <w:bCs w:val="0"/>
          <w:color w:val="auto"/>
          <w:highlight w:val="none"/>
        </w:rPr>
        <w:t>构设置</w:t>
      </w:r>
      <w:bookmarkEnd w:id="18"/>
      <w:bookmarkEnd w:id="19"/>
    </w:p>
    <w:p w14:paraId="02933B88">
      <w:pPr>
        <w:ind w:firstLine="800" w:firstLineChars="25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乐山市五通桥区牛华镇人民政府</w:t>
      </w:r>
      <w:r>
        <w:rPr>
          <w:rFonts w:hint="eastAsia" w:ascii="Times New Roman" w:hAnsi="Times New Roman" w:eastAsia="仿宋_GB2312" w:cs="仿宋_GB2312"/>
          <w:color w:val="auto"/>
          <w:sz w:val="32"/>
          <w:szCs w:val="32"/>
          <w:highlight w:val="none"/>
        </w:rPr>
        <w:t>下属二级</w:t>
      </w:r>
      <w:r>
        <w:rPr>
          <w:rFonts w:hint="eastAsia" w:ascii="Times New Roman" w:hAnsi="Times New Roman" w:eastAsia="仿宋_GB2312" w:cs="仿宋_GB2312"/>
          <w:color w:val="auto"/>
          <w:sz w:val="32"/>
          <w:szCs w:val="32"/>
          <w:highlight w:val="none"/>
          <w:lang w:eastAsia="zh-CN"/>
        </w:rPr>
        <w:t>预算</w:t>
      </w:r>
      <w:r>
        <w:rPr>
          <w:rFonts w:hint="eastAsia" w:ascii="Times New Roman" w:hAnsi="Times New Roman" w:eastAsia="仿宋_GB2312" w:cs="仿宋_GB2312"/>
          <w:color w:val="auto"/>
          <w:sz w:val="32"/>
          <w:szCs w:val="32"/>
          <w:highlight w:val="none"/>
        </w:rPr>
        <w:t>单位</w:t>
      </w:r>
      <w:r>
        <w:rPr>
          <w:rFonts w:hint="eastAsia" w:eastAsia="仿宋_GB2312" w:cs="仿宋_GB2312"/>
          <w:color w:val="auto"/>
          <w:sz w:val="32"/>
          <w:szCs w:val="32"/>
          <w:highlight w:val="none"/>
          <w:lang w:val="en-US" w:eastAsia="zh-CN"/>
        </w:rPr>
        <w:t>4</w:t>
      </w:r>
      <w:r>
        <w:rPr>
          <w:rFonts w:hint="eastAsia" w:ascii="Times New Roman" w:hAnsi="Times New Roman" w:eastAsia="仿宋_GB2312" w:cs="仿宋_GB2312"/>
          <w:color w:val="auto"/>
          <w:sz w:val="32"/>
          <w:szCs w:val="32"/>
          <w:highlight w:val="none"/>
        </w:rPr>
        <w:t>个，其中行政单位</w:t>
      </w:r>
      <w:r>
        <w:rPr>
          <w:rFonts w:hint="eastAsia"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个，参照公务员法管理的事业单位</w:t>
      </w:r>
      <w:r>
        <w:rPr>
          <w:rFonts w:hint="eastAsia" w:eastAsia="仿宋_GB2312" w:cs="仿宋_GB2312"/>
          <w:bCs/>
          <w:color w:val="auto"/>
          <w:sz w:val="32"/>
          <w:szCs w:val="32"/>
          <w:highlight w:val="none"/>
          <w:lang w:val="en-US" w:eastAsia="zh-CN"/>
        </w:rPr>
        <w:t>0</w:t>
      </w:r>
      <w:r>
        <w:rPr>
          <w:rFonts w:hint="eastAsia" w:ascii="Times New Roman" w:hAnsi="Times New Roman" w:eastAsia="仿宋_GB2312" w:cs="仿宋_GB2312"/>
          <w:color w:val="auto"/>
          <w:sz w:val="32"/>
          <w:szCs w:val="32"/>
          <w:highlight w:val="none"/>
        </w:rPr>
        <w:t>个，其他事业单位</w:t>
      </w:r>
      <w:r>
        <w:rPr>
          <w:rFonts w:hint="eastAsia"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个。</w:t>
      </w:r>
    </w:p>
    <w:p w14:paraId="1D37B850">
      <w:pPr>
        <w:pStyle w:val="9"/>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纳入</w:t>
      </w:r>
      <w:r>
        <w:rPr>
          <w:sz w:val="32"/>
          <w:szCs w:val="32"/>
        </w:rPr>
        <w:t>乐山市五通桥区牛华镇人民政府</w:t>
      </w:r>
      <w:r>
        <w:rPr>
          <w:rFonts w:hint="eastAsia" w:ascii="Times New Roman" w:hAnsi="Times New Roman" w:eastAsia="仿宋_GB2312" w:cs="仿宋_GB2312"/>
          <w:color w:val="auto"/>
          <w:sz w:val="32"/>
          <w:szCs w:val="32"/>
          <w:highlight w:val="none"/>
          <w:lang w:eastAsia="zh-CN"/>
        </w:rPr>
        <w:t>2024年度</w:t>
      </w:r>
      <w:r>
        <w:rPr>
          <w:rFonts w:hint="eastAsia" w:ascii="Times New Roman" w:hAnsi="Times New Roman" w:eastAsia="仿宋_GB2312" w:cs="仿宋_GB2312"/>
          <w:color w:val="auto"/>
          <w:sz w:val="32"/>
          <w:szCs w:val="32"/>
          <w:highlight w:val="none"/>
        </w:rPr>
        <w:t>部门决算编制范围的二级预算单位包括：</w:t>
      </w:r>
    </w:p>
    <w:p w14:paraId="2E013AAA">
      <w:pPr>
        <w:pStyle w:val="9"/>
        <w:adjustRightInd w:val="0"/>
        <w:snapToGrid w:val="0"/>
        <w:spacing w:before="93" w:line="600" w:lineRule="exact"/>
        <w:ind w:firstLine="672" w:firstLineChars="210"/>
        <w:rPr>
          <w:rFonts w:hint="default" w:ascii="仿宋_GB2312" w:hAnsi="仿宋_GB2312" w:eastAsia="仿宋_GB2312" w:cs="仿宋_GB2312"/>
          <w:color w:val="000000"/>
          <w:sz w:val="32"/>
          <w:szCs w:val="32"/>
          <w:lang w:val="en-US" w:eastAsia="zh-CN"/>
        </w:rPr>
      </w:pPr>
      <w:r>
        <w:rPr>
          <w:rFonts w:hint="eastAsia" w:hAnsi="仿宋_GB2312" w:cs="仿宋_GB2312"/>
          <w:color w:val="000000"/>
          <w:sz w:val="32"/>
          <w:szCs w:val="32"/>
          <w:lang w:val="en-US" w:eastAsia="zh-CN"/>
        </w:rPr>
        <w:t>1、乐山市五通桥区牛华镇人民政府（本级）</w:t>
      </w:r>
    </w:p>
    <w:p w14:paraId="286E0DDF">
      <w:pPr>
        <w:pStyle w:val="9"/>
        <w:numPr>
          <w:ilvl w:val="0"/>
          <w:numId w:val="0"/>
        </w:numPr>
        <w:adjustRightInd w:val="0"/>
        <w:snapToGrid w:val="0"/>
        <w:spacing w:before="93" w:line="600" w:lineRule="exact"/>
        <w:ind w:left="630" w:leftChars="0"/>
        <w:outlineLvl w:val="2"/>
        <w:rPr>
          <w:rFonts w:hint="eastAsia" w:ascii="仿宋_GB2312" w:hAnsi="仿宋_GB2312" w:eastAsia="仿宋_GB2312" w:cs="仿宋_GB2312"/>
          <w:color w:val="000000"/>
          <w:sz w:val="32"/>
          <w:szCs w:val="32"/>
        </w:rPr>
      </w:pPr>
      <w:bookmarkStart w:id="20" w:name="_Toc15306276"/>
      <w:bookmarkStart w:id="21" w:name="_Toc15377202"/>
      <w:bookmarkStart w:id="22" w:name="_Toc15377433"/>
      <w:bookmarkStart w:id="23" w:name="_Toc15378449"/>
      <w:r>
        <w:rPr>
          <w:rFonts w:hint="eastAsia" w:hAnsi="仿宋_GB2312" w:cs="仿宋_GB2312"/>
          <w:color w:val="000000"/>
          <w:sz w:val="32"/>
          <w:szCs w:val="32"/>
          <w:lang w:val="en-US" w:eastAsia="zh-CN"/>
        </w:rPr>
        <w:t>2、</w:t>
      </w:r>
      <w:r>
        <w:rPr>
          <w:rFonts w:hint="eastAsia" w:ascii="仿宋_GB2312" w:hAnsi="仿宋_GB2312" w:eastAsia="仿宋_GB2312" w:cs="仿宋_GB2312"/>
          <w:color w:val="000000"/>
          <w:sz w:val="32"/>
          <w:szCs w:val="32"/>
        </w:rPr>
        <w:t>乐山市五通</w:t>
      </w:r>
      <w:bookmarkEnd w:id="20"/>
      <w:bookmarkEnd w:id="21"/>
      <w:bookmarkEnd w:id="22"/>
      <w:bookmarkEnd w:id="23"/>
      <w:r>
        <w:rPr>
          <w:rFonts w:hint="eastAsia" w:ascii="仿宋_GB2312" w:hAnsi="仿宋_GB2312" w:eastAsia="仿宋_GB2312" w:cs="仿宋_GB2312"/>
          <w:color w:val="000000"/>
          <w:sz w:val="32"/>
          <w:szCs w:val="32"/>
        </w:rPr>
        <w:t>桥区牛华镇农业综合服务中心</w:t>
      </w:r>
    </w:p>
    <w:p w14:paraId="1A0DB2B3">
      <w:pPr>
        <w:pStyle w:val="9"/>
        <w:numPr>
          <w:ilvl w:val="0"/>
          <w:numId w:val="0"/>
        </w:numPr>
        <w:adjustRightInd w:val="0"/>
        <w:snapToGrid w:val="0"/>
        <w:spacing w:before="93" w:line="600" w:lineRule="exact"/>
        <w:ind w:left="630" w:leftChars="0"/>
        <w:rPr>
          <w:rFonts w:hint="eastAsia" w:ascii="仿宋_GB2312" w:hAnsi="仿宋_GB2312" w:eastAsia="仿宋_GB2312" w:cs="仿宋_GB2312"/>
          <w:color w:val="000000"/>
          <w:sz w:val="32"/>
          <w:szCs w:val="32"/>
        </w:rPr>
      </w:pPr>
      <w:r>
        <w:rPr>
          <w:rFonts w:hint="eastAsia" w:hAnsi="仿宋_GB2312" w:cs="仿宋_GB2312"/>
          <w:color w:val="000000"/>
          <w:sz w:val="32"/>
          <w:szCs w:val="32"/>
          <w:lang w:val="en-US" w:eastAsia="zh-CN"/>
        </w:rPr>
        <w:t>3、</w:t>
      </w:r>
      <w:r>
        <w:rPr>
          <w:rFonts w:hint="eastAsia" w:ascii="仿宋_GB2312" w:hAnsi="仿宋_GB2312" w:eastAsia="仿宋_GB2312" w:cs="仿宋_GB2312"/>
          <w:color w:val="000000"/>
          <w:sz w:val="32"/>
          <w:szCs w:val="32"/>
        </w:rPr>
        <w:t>乐山市五通桥区牛华镇便民服务中心</w:t>
      </w:r>
    </w:p>
    <w:p w14:paraId="38F90410">
      <w:pPr>
        <w:widowControl/>
        <w:ind w:firstLine="640" w:firstLineChars="200"/>
        <w:jc w:val="left"/>
        <w:rPr>
          <w:rFonts w:ascii="Times New Roman" w:hAnsi="Times New Roman" w:eastAsia="仿宋"/>
          <w:color w:val="auto"/>
          <w:kern w:val="0"/>
          <w:sz w:val="32"/>
          <w:szCs w:val="32"/>
          <w:highlight w:val="none"/>
        </w:rPr>
      </w:pPr>
      <w:r>
        <w:rPr>
          <w:rFonts w:hint="eastAsia" w:hAnsi="仿宋_GB2312" w:cs="仿宋_GB2312"/>
          <w:color w:val="000000"/>
          <w:sz w:val="32"/>
          <w:szCs w:val="32"/>
          <w:lang w:val="en-US" w:eastAsia="zh-CN"/>
        </w:rPr>
        <w:t>4、</w:t>
      </w:r>
      <w:r>
        <w:rPr>
          <w:rFonts w:hint="eastAsia" w:ascii="仿宋_GB2312" w:hAnsi="仿宋_GB2312" w:eastAsia="仿宋_GB2312" w:cs="仿宋_GB2312"/>
          <w:color w:val="000000"/>
          <w:sz w:val="32"/>
          <w:szCs w:val="32"/>
        </w:rPr>
        <w:t>乐山市五通桥区牛华镇文化旅游服务中心</w:t>
      </w:r>
      <w:r>
        <w:rPr>
          <w:rFonts w:ascii="Times New Roman" w:hAnsi="Times New Roman" w:eastAsia="仿宋"/>
          <w:color w:val="auto"/>
          <w:sz w:val="32"/>
          <w:szCs w:val="32"/>
          <w:highlight w:val="none"/>
        </w:rPr>
        <w:br w:type="page"/>
      </w:r>
    </w:p>
    <w:p w14:paraId="15CA1CF9">
      <w:pPr>
        <w:pStyle w:val="5"/>
        <w:jc w:val="center"/>
        <w:rPr>
          <w:rFonts w:hint="eastAsia" w:ascii="Times New Roman" w:hAnsi="Times New Roman" w:eastAsia="方正小标宋简体" w:cs="方正小标宋简体"/>
          <w:b w:val="0"/>
          <w:color w:val="auto"/>
          <w:highlight w:val="none"/>
        </w:rPr>
      </w:pPr>
      <w:bookmarkStart w:id="24" w:name="_Toc15396602"/>
      <w:bookmarkStart w:id="25" w:name="_Toc15377204"/>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24"/>
      <w:bookmarkEnd w:id="25"/>
    </w:p>
    <w:p w14:paraId="27630A54">
      <w:pPr>
        <w:rPr>
          <w:rFonts w:ascii="Times New Roman" w:hAnsi="Times New Roman"/>
          <w:color w:val="auto"/>
          <w:highlight w:val="none"/>
        </w:rPr>
      </w:pPr>
    </w:p>
    <w:p w14:paraId="42FD17E5">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4"/>
          <w:rFonts w:hint="eastAsia" w:ascii="Times New Roman" w:hAnsi="Times New Roman" w:eastAsia="黑体"/>
          <w:b w:val="0"/>
          <w:color w:val="auto"/>
          <w:highlight w:val="none"/>
        </w:rPr>
      </w:pPr>
      <w:bookmarkStart w:id="26" w:name="_Toc15377205"/>
      <w:bookmarkStart w:id="27"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4"/>
          <w:rFonts w:hint="eastAsia" w:ascii="Times New Roman" w:hAnsi="Times New Roman" w:eastAsia="黑体"/>
          <w:b w:val="0"/>
          <w:color w:val="auto"/>
          <w:highlight w:val="none"/>
        </w:rPr>
        <w:t>入支出决算总体情况说明</w:t>
      </w:r>
      <w:bookmarkEnd w:id="26"/>
      <w:bookmarkEnd w:id="27"/>
    </w:p>
    <w:p w14:paraId="036E4A46">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2511.26</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总计减少</w:t>
      </w:r>
      <w:r>
        <w:rPr>
          <w:rFonts w:hint="eastAsia" w:eastAsia="仿宋_GB2312" w:cs="仿宋_GB2312"/>
          <w:color w:val="auto"/>
          <w:sz w:val="32"/>
          <w:szCs w:val="32"/>
          <w:highlight w:val="none"/>
          <w:lang w:val="en-US" w:eastAsia="zh-CN"/>
        </w:rPr>
        <w:t>509.11</w:t>
      </w:r>
      <w:r>
        <w:rPr>
          <w:rFonts w:hint="eastAsia" w:ascii="Times New Roman" w:hAnsi="Times New Roman" w:eastAsia="仿宋_GB2312" w:cs="仿宋_GB2312"/>
          <w:color w:val="auto"/>
          <w:sz w:val="32"/>
          <w:szCs w:val="32"/>
          <w:highlight w:val="none"/>
        </w:rPr>
        <w:t>万元，下降</w:t>
      </w:r>
      <w:r>
        <w:rPr>
          <w:rFonts w:hint="eastAsia" w:eastAsia="仿宋_GB2312" w:cs="仿宋_GB2312"/>
          <w:color w:val="auto"/>
          <w:sz w:val="32"/>
          <w:szCs w:val="32"/>
          <w:highlight w:val="none"/>
          <w:lang w:val="en-US" w:eastAsia="zh-CN"/>
        </w:rPr>
        <w:t>16.86</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val="en-US" w:eastAsia="zh-CN"/>
        </w:rPr>
        <w:t>政府性基金收支减少。</w:t>
      </w:r>
    </w:p>
    <w:p w14:paraId="1B17A809">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eastAsia="仿宋_GB2312" w:cs="仿宋_GB2312"/>
          <w:color w:val="auto"/>
          <w:sz w:val="32"/>
          <w:szCs w:val="32"/>
          <w:highlight w:val="none"/>
          <w:lang w:val="en-US" w:eastAsia="zh-CN"/>
        </w:rPr>
      </w:pPr>
      <w:r>
        <w:rPr>
          <w:rFonts w:hint="eastAsia" w:eastAsia="仿宋_GB2312" w:cs="仿宋_GB2312"/>
          <w:color w:val="auto"/>
          <w:sz w:val="32"/>
          <w:szCs w:val="32"/>
          <w:highlight w:val="none"/>
          <w:lang w:val="en-US" w:eastAsia="zh-CN"/>
        </w:rPr>
        <w:drawing>
          <wp:anchor distT="0" distB="0" distL="114300" distR="114300" simplePos="0" relativeHeight="251660288" behindDoc="1" locked="0" layoutInCell="1" allowOverlap="1">
            <wp:simplePos x="0" y="0"/>
            <wp:positionH relativeFrom="column">
              <wp:posOffset>220345</wp:posOffset>
            </wp:positionH>
            <wp:positionV relativeFrom="paragraph">
              <wp:posOffset>185420</wp:posOffset>
            </wp:positionV>
            <wp:extent cx="4628515" cy="2160270"/>
            <wp:effectExtent l="4445" t="4445" r="15240" b="6985"/>
            <wp:wrapTight wrapText="bothSides">
              <wp:wrapPolygon>
                <wp:start x="-21" y="-44"/>
                <wp:lineTo x="-21" y="21479"/>
                <wp:lineTo x="21493" y="21479"/>
                <wp:lineTo x="21493" y="-44"/>
                <wp:lineTo x="-21" y="-44"/>
              </wp:wrapPolygon>
            </wp:wrapTight>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79789937">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eastAsia="仿宋_GB2312" w:cs="仿宋_GB2312"/>
          <w:color w:val="auto"/>
          <w:sz w:val="32"/>
          <w:szCs w:val="32"/>
          <w:highlight w:val="none"/>
          <w:lang w:val="en-US" w:eastAsia="zh-CN"/>
        </w:rPr>
      </w:pPr>
    </w:p>
    <w:p w14:paraId="41CC6B2C">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eastAsia="仿宋_GB2312" w:cs="仿宋_GB2312"/>
          <w:color w:val="auto"/>
          <w:sz w:val="32"/>
          <w:szCs w:val="32"/>
          <w:highlight w:val="none"/>
          <w:lang w:val="en-US" w:eastAsia="zh-CN"/>
        </w:rPr>
      </w:pPr>
    </w:p>
    <w:p w14:paraId="1BB372B2">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eastAsia="仿宋_GB2312" w:cs="仿宋_GB2312"/>
          <w:color w:val="auto"/>
          <w:sz w:val="32"/>
          <w:szCs w:val="32"/>
          <w:highlight w:val="none"/>
          <w:lang w:val="en-US" w:eastAsia="zh-CN"/>
        </w:rPr>
      </w:pPr>
    </w:p>
    <w:p w14:paraId="1E5AD08F">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default" w:eastAsia="仿宋_GB2312" w:cs="仿宋_GB2312"/>
          <w:color w:val="auto"/>
          <w:sz w:val="32"/>
          <w:szCs w:val="32"/>
          <w:highlight w:val="none"/>
          <w:lang w:val="en-US" w:eastAsia="zh-CN"/>
        </w:rPr>
      </w:pPr>
    </w:p>
    <w:p w14:paraId="6D6E5804">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default" w:eastAsia="仿宋_GB2312" w:cs="仿宋_GB2312"/>
          <w:color w:val="auto"/>
          <w:sz w:val="32"/>
          <w:szCs w:val="32"/>
          <w:highlight w:val="none"/>
          <w:lang w:val="en-US" w:eastAsia="zh-CN"/>
        </w:rPr>
      </w:pPr>
    </w:p>
    <w:p w14:paraId="52D6C443">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default" w:eastAsia="仿宋_GB2312" w:cs="仿宋_GB2312"/>
          <w:color w:val="auto"/>
          <w:sz w:val="32"/>
          <w:szCs w:val="32"/>
          <w:highlight w:val="none"/>
          <w:lang w:val="en-US" w:eastAsia="zh-CN"/>
        </w:rPr>
      </w:pPr>
    </w:p>
    <w:p w14:paraId="792445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14:paraId="77B58E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14:paraId="54815E4A">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8" w:name="_Toc15396604"/>
      <w:bookmarkStart w:id="29" w:name="_Toc15377206"/>
      <w:r>
        <w:rPr>
          <w:rFonts w:hint="eastAsia" w:ascii="Times New Roman" w:hAnsi="Times New Roman" w:eastAsia="黑体"/>
          <w:color w:val="auto"/>
          <w:sz w:val="32"/>
          <w:szCs w:val="32"/>
          <w:highlight w:val="none"/>
          <w:lang w:eastAsia="zh-CN"/>
        </w:rPr>
        <w:t>二、收入决算情况说明</w:t>
      </w:r>
      <w:bookmarkEnd w:id="28"/>
      <w:bookmarkEnd w:id="29"/>
    </w:p>
    <w:p w14:paraId="293272A3">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2511.26万元，其中：一般公共预算财政拨款收入2248.43</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89.53</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262.83</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10.46%</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2C3B51FD">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drawing>
          <wp:anchor distT="0" distB="0" distL="114300" distR="114300" simplePos="0" relativeHeight="251661312" behindDoc="0" locked="0" layoutInCell="1" allowOverlap="1">
            <wp:simplePos x="0" y="0"/>
            <wp:positionH relativeFrom="column">
              <wp:posOffset>410845</wp:posOffset>
            </wp:positionH>
            <wp:positionV relativeFrom="paragraph">
              <wp:posOffset>260985</wp:posOffset>
            </wp:positionV>
            <wp:extent cx="4570730" cy="3617595"/>
            <wp:effectExtent l="4445" t="4445" r="15875" b="1651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hAnsi="仿宋_GB2312" w:eastAsia="仿宋_GB2312" w:cs="仿宋_GB2312"/>
          <w:color w:val="auto"/>
          <w:sz w:val="32"/>
          <w:szCs w:val="32"/>
          <w:highlight w:val="none"/>
          <w:lang w:val="en-US" w:eastAsia="zh-CN"/>
        </w:rPr>
        <w:t xml:space="preserve">       </w:t>
      </w:r>
      <w:r>
        <w:rPr>
          <w:rFonts w:hint="eastAsia" w:ascii="Times New Roman" w:hAnsi="Times New Roman" w:eastAsia="仿宋_GB2312" w:cs="仿宋_GB2312"/>
          <w:color w:val="auto"/>
          <w:sz w:val="32"/>
          <w:szCs w:val="32"/>
          <w:highlight w:val="none"/>
          <w:lang w:eastAsia="zh-CN"/>
        </w:rPr>
        <w:t>（图2：收入决算结构图）（饼状图）</w:t>
      </w:r>
    </w:p>
    <w:p w14:paraId="6484CB74">
      <w:pPr>
        <w:ind w:firstLine="800" w:firstLineChars="250"/>
        <w:rPr>
          <w:rFonts w:hint="eastAsia" w:ascii="Times New Roman" w:hAnsi="Times New Roman" w:eastAsia="仿宋_GB2312" w:cs="仿宋_GB2312"/>
          <w:color w:val="auto"/>
          <w:sz w:val="32"/>
          <w:szCs w:val="32"/>
          <w:highlight w:val="none"/>
          <w:lang w:eastAsia="zh-CN"/>
        </w:rPr>
      </w:pPr>
    </w:p>
    <w:p w14:paraId="1459F470">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4"/>
          <w:rFonts w:hint="eastAsia" w:ascii="Times New Roman" w:hAnsi="Times New Roman" w:eastAsia="黑体"/>
          <w:b w:val="0"/>
          <w:color w:val="auto"/>
          <w:highlight w:val="none"/>
        </w:rPr>
      </w:pPr>
      <w:bookmarkStart w:id="30" w:name="_Toc15377207"/>
      <w:bookmarkStart w:id="31"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4"/>
          <w:rFonts w:hint="eastAsia" w:ascii="Times New Roman" w:hAnsi="Times New Roman" w:eastAsia="黑体"/>
          <w:b w:val="0"/>
          <w:color w:val="auto"/>
          <w:highlight w:val="none"/>
        </w:rPr>
        <w:t>出决算情况说明</w:t>
      </w:r>
      <w:bookmarkEnd w:id="30"/>
      <w:bookmarkEnd w:id="31"/>
    </w:p>
    <w:p w14:paraId="05C84E23">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2511.26</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1907.17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75.94</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604.09</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24.0</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eastAsia="zh-CN"/>
        </w:rPr>
        <w:t>。</w:t>
      </w:r>
    </w:p>
    <w:p w14:paraId="1D39C5B6">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575D2968">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4DFD4D16">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01114633">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01A2FEEC">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sz w:val="32"/>
          <w:szCs w:val="32"/>
          <w:lang w:eastAsia="zh-CN"/>
        </w:rPr>
      </w:pPr>
    </w:p>
    <w:p w14:paraId="00323656">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sz w:val="32"/>
          <w:szCs w:val="32"/>
          <w:lang w:eastAsia="zh-CN"/>
        </w:rPr>
        <w:drawing>
          <wp:anchor distT="0" distB="0" distL="114300" distR="114300" simplePos="0" relativeHeight="251662336" behindDoc="0" locked="0" layoutInCell="1" allowOverlap="1">
            <wp:simplePos x="0" y="0"/>
            <wp:positionH relativeFrom="column">
              <wp:posOffset>-6985</wp:posOffset>
            </wp:positionH>
            <wp:positionV relativeFrom="paragraph">
              <wp:posOffset>90805</wp:posOffset>
            </wp:positionV>
            <wp:extent cx="5123180" cy="3101975"/>
            <wp:effectExtent l="4445" t="4445" r="15875" b="1778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Times New Roman" w:hAnsi="Times New Roman" w:eastAsia="仿宋_GB2312" w:cs="仿宋_GB2312"/>
          <w:color w:val="auto"/>
          <w:sz w:val="32"/>
          <w:szCs w:val="32"/>
          <w:highlight w:val="none"/>
          <w:lang w:eastAsia="zh-CN"/>
        </w:rPr>
        <w:t>（图3：支出决算结构图）（饼状图）</w:t>
      </w:r>
    </w:p>
    <w:p w14:paraId="0A6E9450">
      <w:pPr>
        <w:spacing w:line="600" w:lineRule="exact"/>
        <w:ind w:firstLine="640" w:firstLineChars="200"/>
        <w:outlineLvl w:val="1"/>
        <w:rPr>
          <w:rStyle w:val="34"/>
          <w:rFonts w:ascii="Times New Roman" w:hAnsi="Times New Roman" w:eastAsia="黑体"/>
          <w:b w:val="0"/>
          <w:color w:val="auto"/>
          <w:highlight w:val="none"/>
        </w:rPr>
      </w:pPr>
      <w:bookmarkStart w:id="32" w:name="_Toc15396606"/>
      <w:bookmarkStart w:id="33" w:name="_Toc15377208"/>
      <w:r>
        <w:rPr>
          <w:rFonts w:hint="eastAsia" w:ascii="Times New Roman" w:hAnsi="Times New Roman" w:eastAsia="黑体"/>
          <w:color w:val="auto"/>
          <w:sz w:val="32"/>
          <w:szCs w:val="32"/>
          <w:highlight w:val="none"/>
        </w:rPr>
        <w:t>四、财</w:t>
      </w:r>
      <w:r>
        <w:rPr>
          <w:rStyle w:val="34"/>
          <w:rFonts w:hint="eastAsia" w:ascii="Times New Roman" w:hAnsi="Times New Roman" w:eastAsia="黑体"/>
          <w:b w:val="0"/>
          <w:color w:val="auto"/>
          <w:highlight w:val="none"/>
        </w:rPr>
        <w:t>政拨款收入支出决算总体情况说明</w:t>
      </w:r>
      <w:bookmarkEnd w:id="32"/>
      <w:bookmarkEnd w:id="33"/>
    </w:p>
    <w:p w14:paraId="7F2DC6E0">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eastAsia="仿宋_GB2312" w:cs="仿宋_GB2312"/>
          <w:color w:val="auto"/>
          <w:sz w:val="32"/>
          <w:szCs w:val="32"/>
          <w:highlight w:val="none"/>
          <w:lang w:val="en-US" w:eastAsia="zh-CN"/>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2511.26</w:t>
      </w:r>
      <w:r>
        <w:rPr>
          <w:rFonts w:hint="eastAsia" w:ascii="Times New Roman" w:hAnsi="Times New Roman" w:eastAsia="仿宋_GB2312" w:cs="仿宋_GB2312"/>
          <w:color w:val="auto"/>
          <w:kern w:val="2"/>
          <w:sz w:val="32"/>
          <w:szCs w:val="32"/>
          <w:highlight w:val="none"/>
          <w:lang w:val="en-US" w:eastAsia="zh-CN" w:bidi="ar-SA"/>
        </w:rPr>
        <w:t>万元。与2023年度相比，财政拨款</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总计减少</w:t>
      </w:r>
      <w:r>
        <w:rPr>
          <w:rFonts w:hint="eastAsia" w:eastAsia="仿宋_GB2312" w:cs="仿宋_GB2312"/>
          <w:color w:val="auto"/>
          <w:sz w:val="32"/>
          <w:szCs w:val="32"/>
          <w:highlight w:val="none"/>
          <w:lang w:val="en-US" w:eastAsia="zh-CN"/>
        </w:rPr>
        <w:t>509.11</w:t>
      </w:r>
      <w:r>
        <w:rPr>
          <w:rFonts w:hint="eastAsia" w:ascii="Times New Roman" w:hAnsi="Times New Roman" w:eastAsia="仿宋_GB2312" w:cs="仿宋_GB2312"/>
          <w:color w:val="auto"/>
          <w:sz w:val="32"/>
          <w:szCs w:val="32"/>
          <w:highlight w:val="none"/>
        </w:rPr>
        <w:t>万元，下降</w:t>
      </w:r>
      <w:r>
        <w:rPr>
          <w:rFonts w:hint="eastAsia" w:eastAsia="仿宋_GB2312" w:cs="仿宋_GB2312"/>
          <w:color w:val="auto"/>
          <w:sz w:val="32"/>
          <w:szCs w:val="32"/>
          <w:highlight w:val="none"/>
          <w:lang w:val="en-US" w:eastAsia="zh-CN"/>
        </w:rPr>
        <w:t>16.86</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val="en-US" w:eastAsia="zh-CN"/>
        </w:rPr>
        <w:t>政府性基金收支减少。</w:t>
      </w:r>
    </w:p>
    <w:p w14:paraId="1A7E868C">
      <w:pPr>
        <w:pStyle w:val="3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eastAsia="仿宋_GB2312" w:cs="仿宋_GB2312"/>
          <w:color w:val="auto"/>
          <w:sz w:val="32"/>
          <w:szCs w:val="32"/>
          <w:highlight w:val="none"/>
          <w:lang w:val="en-US" w:eastAsia="zh-CN"/>
        </w:rPr>
      </w:pPr>
      <w:r>
        <w:rPr>
          <w:rFonts w:hint="eastAsia" w:eastAsia="仿宋_GB2312" w:cs="仿宋_GB2312"/>
          <w:color w:val="auto"/>
          <w:sz w:val="32"/>
          <w:szCs w:val="32"/>
          <w:highlight w:val="none"/>
          <w:lang w:val="en-US" w:eastAsia="zh-CN"/>
        </w:rPr>
        <w:drawing>
          <wp:anchor distT="0" distB="0" distL="114300" distR="114300" simplePos="0" relativeHeight="251663360" behindDoc="1" locked="0" layoutInCell="1" allowOverlap="1">
            <wp:simplePos x="0" y="0"/>
            <wp:positionH relativeFrom="column">
              <wp:posOffset>318770</wp:posOffset>
            </wp:positionH>
            <wp:positionV relativeFrom="paragraph">
              <wp:posOffset>45720</wp:posOffset>
            </wp:positionV>
            <wp:extent cx="4628515" cy="2160270"/>
            <wp:effectExtent l="4445" t="4445" r="15240" b="6985"/>
            <wp:wrapTight wrapText="bothSides">
              <wp:wrapPolygon>
                <wp:start x="-21" y="-44"/>
                <wp:lineTo x="-21" y="21479"/>
                <wp:lineTo x="21493" y="21479"/>
                <wp:lineTo x="21493" y="-44"/>
                <wp:lineTo x="-21" y="-44"/>
              </wp:wrapPolygon>
            </wp:wrapTight>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14D9D4A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47DDDD34">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14:paraId="15E416B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7D2DBB4E">
      <w:pPr>
        <w:spacing w:line="600" w:lineRule="exact"/>
        <w:ind w:firstLine="640" w:firstLineChars="200"/>
        <w:outlineLvl w:val="1"/>
        <w:rPr>
          <w:rStyle w:val="34"/>
          <w:rFonts w:ascii="Times New Roman" w:hAnsi="Times New Roman" w:eastAsia="黑体"/>
          <w:b w:val="0"/>
          <w:color w:val="auto"/>
          <w:highlight w:val="none"/>
        </w:rPr>
      </w:pPr>
      <w:bookmarkStart w:id="34" w:name="_Toc15396607"/>
      <w:bookmarkStart w:id="35" w:name="_Toc15377209"/>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4"/>
          <w:rFonts w:hint="eastAsia" w:ascii="Times New Roman" w:hAnsi="Times New Roman" w:eastAsia="黑体"/>
          <w:b w:val="0"/>
          <w:color w:val="auto"/>
          <w:highlight w:val="none"/>
        </w:rPr>
        <w:t>般公共预算财政拨款支出决算情况说明</w:t>
      </w:r>
      <w:bookmarkEnd w:id="34"/>
      <w:bookmarkEnd w:id="35"/>
    </w:p>
    <w:p w14:paraId="7949C29D">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6"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6"/>
    </w:p>
    <w:p w14:paraId="1FDD1C32">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2248.43</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89.53</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%。与2023年度相比，一般公共预算财政拨款支出减少473.62万元，下降17.4%。主要变动原因是项目支出减少，如减少农村生活垃圾处理经费、基层思想文化工作等项目支出减少。</w:t>
      </w:r>
    </w:p>
    <w:p w14:paraId="5A62BFD0">
      <w:pPr>
        <w:pStyle w:val="9"/>
        <w:rPr>
          <w:rFonts w:hint="default"/>
          <w:lang w:val="en-US" w:eastAsia="zh-CN"/>
        </w:rPr>
      </w:pPr>
      <w:r>
        <w:rPr>
          <w:rFonts w:hint="default"/>
          <w:lang w:val="en-US" w:eastAsia="zh-CN"/>
        </w:rPr>
        <w:drawing>
          <wp:inline distT="0" distB="0" distL="114300" distR="114300">
            <wp:extent cx="5256530" cy="2988310"/>
            <wp:effectExtent l="5080" t="4445" r="15240" b="1714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423BAC5">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14:paraId="3E83452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09FE0382">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7"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37"/>
    </w:p>
    <w:p w14:paraId="30864FCB">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2248.43</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w:t>
      </w:r>
      <w:r>
        <w:rPr>
          <w:rFonts w:hint="eastAsia" w:eastAsia="仿宋_GB2312" w:cs="仿宋_GB2312"/>
          <w:color w:val="auto"/>
          <w:kern w:val="2"/>
          <w:sz w:val="32"/>
          <w:szCs w:val="32"/>
          <w:highlight w:val="none"/>
          <w:lang w:val="en-US" w:eastAsia="zh-CN" w:bidi="ar-SA"/>
        </w:rPr>
        <w:t>586.11</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26.07</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公共安全支出9.88万元，占0.44%；</w:t>
      </w:r>
      <w:r>
        <w:rPr>
          <w:rFonts w:hint="eastAsia" w:ascii="Times New Roman" w:hAnsi="Times New Roman" w:eastAsia="仿宋_GB2312" w:cs="仿宋_GB2312"/>
          <w:color w:val="auto"/>
          <w:kern w:val="2"/>
          <w:sz w:val="32"/>
          <w:szCs w:val="32"/>
          <w:highlight w:val="none"/>
          <w:lang w:val="en-US" w:eastAsia="zh-CN" w:bidi="ar-SA"/>
        </w:rPr>
        <w:t>教育支出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%；科学技术支出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%；文化旅游体育与传媒支出</w:t>
      </w:r>
      <w:r>
        <w:rPr>
          <w:rFonts w:hint="eastAsia" w:eastAsia="仿宋_GB2312" w:cs="仿宋_GB2312"/>
          <w:color w:val="auto"/>
          <w:kern w:val="2"/>
          <w:sz w:val="32"/>
          <w:szCs w:val="32"/>
          <w:highlight w:val="none"/>
          <w:lang w:val="en-US" w:eastAsia="zh-CN" w:bidi="ar-SA"/>
        </w:rPr>
        <w:t>39.62</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1.76</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610.03</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27.13</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47.67</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节能环保支出22.23万元，占0.99%；城乡社区支出28.87万元，占1.28%；农林水支出824.71万元，占36.68%；资源勘探工业信息等支出2.25万元，占0.1%；</w:t>
      </w:r>
      <w:r>
        <w:rPr>
          <w:rFonts w:hint="eastAsia" w:ascii="Times New Roman" w:hAnsi="Times New Roman" w:eastAsia="仿宋_GB2312" w:cs="仿宋_GB2312"/>
          <w:color w:val="auto"/>
          <w:kern w:val="2"/>
          <w:sz w:val="32"/>
          <w:szCs w:val="32"/>
          <w:highlight w:val="none"/>
          <w:lang w:val="en-US" w:eastAsia="zh-CN" w:bidi="ar-SA"/>
        </w:rPr>
        <w:t>住房保障支出</w:t>
      </w:r>
      <w:r>
        <w:rPr>
          <w:rFonts w:hint="eastAsia" w:eastAsia="仿宋_GB2312" w:cs="仿宋_GB2312"/>
          <w:color w:val="auto"/>
          <w:kern w:val="2"/>
          <w:sz w:val="32"/>
          <w:szCs w:val="32"/>
          <w:highlight w:val="none"/>
          <w:lang w:val="en-US" w:eastAsia="zh-CN" w:bidi="ar-SA"/>
        </w:rPr>
        <w:t>76.6</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3.41</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灾害防治及应急管理支出0.46万元，占0.02%。</w:t>
      </w:r>
    </w:p>
    <w:p w14:paraId="5F90113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drawing>
          <wp:anchor distT="0" distB="0" distL="114300" distR="114300" simplePos="0" relativeHeight="251664384" behindDoc="0" locked="0" layoutInCell="1" allowOverlap="1">
            <wp:simplePos x="0" y="0"/>
            <wp:positionH relativeFrom="column">
              <wp:posOffset>30480</wp:posOffset>
            </wp:positionH>
            <wp:positionV relativeFrom="paragraph">
              <wp:posOffset>233045</wp:posOffset>
            </wp:positionV>
            <wp:extent cx="5256530" cy="3302000"/>
            <wp:effectExtent l="4445" t="4445" r="15875" b="825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14:paraId="78F380E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04DF71B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8"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8"/>
    </w:p>
    <w:p w14:paraId="32EFF2A9">
      <w:pPr>
        <w:tabs>
          <w:tab w:val="left" w:pos="312"/>
        </w:tabs>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bookmarkStart w:id="39" w:name="_Toc15378460"/>
      <w:bookmarkStart w:id="40" w:name="_Toc15377444"/>
      <w:bookmarkStart w:id="41" w:name="_Toc15377213"/>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2248.43</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39"/>
      <w:bookmarkEnd w:id="40"/>
      <w:bookmarkEnd w:id="41"/>
    </w:p>
    <w:p w14:paraId="4DCABA3F">
      <w:pPr>
        <w:tabs>
          <w:tab w:val="left" w:pos="312"/>
        </w:tabs>
        <w:spacing w:line="600" w:lineRule="exact"/>
        <w:ind w:firstLine="643" w:firstLineChars="200"/>
        <w:rPr>
          <w:rFonts w:hint="eastAsia" w:ascii="Times New Roman" w:hAnsi="Times New Roman" w:eastAsia="仿宋_GB2312" w:cs="仿宋_GB2312"/>
          <w:color w:val="auto"/>
          <w:kern w:val="2"/>
          <w:sz w:val="32"/>
          <w:szCs w:val="32"/>
          <w:highlight w:val="none"/>
          <w:lang w:val="en-US" w:eastAsia="zh-CN" w:bidi="ar-SA"/>
        </w:rPr>
      </w:pPr>
      <w:r>
        <w:rPr>
          <w:rStyle w:val="22"/>
          <w:rFonts w:hint="eastAsia" w:ascii="仿宋_GB2312" w:hAnsi="仿宋_GB2312" w:eastAsia="仿宋_GB2312" w:cs="仿宋_GB2312"/>
          <w:bCs/>
          <w:sz w:val="32"/>
          <w:szCs w:val="32"/>
        </w:rPr>
        <w:t>201： 一般公共服务（类）支出，支出决算为</w:t>
      </w:r>
      <w:r>
        <w:rPr>
          <w:rStyle w:val="22"/>
          <w:rFonts w:hint="eastAsia" w:ascii="仿宋_GB2312" w:hAnsi="仿宋_GB2312" w:eastAsia="仿宋_GB2312" w:cs="仿宋_GB2312"/>
          <w:bCs/>
          <w:sz w:val="32"/>
          <w:szCs w:val="32"/>
          <w:lang w:val="en-US" w:eastAsia="zh-CN"/>
        </w:rPr>
        <w:t>586.11</w:t>
      </w:r>
      <w:r>
        <w:rPr>
          <w:rStyle w:val="22"/>
          <w:rFonts w:hint="eastAsia" w:ascii="仿宋_GB2312" w:hAnsi="仿宋_GB2312" w:eastAsia="仿宋_GB2312" w:cs="仿宋_GB2312"/>
          <w:bCs/>
          <w:sz w:val="32"/>
          <w:szCs w:val="32"/>
        </w:rPr>
        <w:t>万元，完成预算100%，支出明细如下：</w:t>
      </w:r>
    </w:p>
    <w:p w14:paraId="7466F191">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人大事务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其他人大事务支出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4.15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8224886">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政府办公厅（室）及相关机构事务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行政运行</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563.27</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3CA5385">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政府办公厅（室）及相关机构事务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其他政府办公厅（室）及相关机构事务支出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11.01</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69A9D869">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党委办公厅（室）及相关机构事务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一般行政管理事务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64686A43">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市场监督管理事务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食品安全监管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0.93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D1F4D79">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市场监督管理事务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其他市场监督管理事务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1.76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405192F">
      <w:pPr>
        <w:tabs>
          <w:tab w:val="left" w:pos="312"/>
        </w:tabs>
        <w:spacing w:line="600" w:lineRule="exact"/>
        <w:ind w:firstLine="643"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sz w:val="32"/>
          <w:szCs w:val="32"/>
          <w:lang w:val="en-US" w:eastAsia="zh-CN"/>
        </w:rPr>
        <w:t>204：</w:t>
      </w:r>
      <w:r>
        <w:rPr>
          <w:rStyle w:val="22"/>
          <w:rFonts w:hint="eastAsia" w:ascii="仿宋_GB2312" w:hAnsi="仿宋_GB2312" w:eastAsia="仿宋_GB2312" w:cs="仿宋_GB2312"/>
          <w:bCs/>
          <w:sz w:val="32"/>
          <w:szCs w:val="32"/>
          <w:lang w:val="en-US" w:eastAsia="zh-CN"/>
        </w:rPr>
        <w:t>公共安全</w:t>
      </w:r>
      <w:r>
        <w:rPr>
          <w:rStyle w:val="22"/>
          <w:rFonts w:hint="eastAsia" w:ascii="仿宋_GB2312" w:hAnsi="仿宋_GB2312" w:eastAsia="仿宋_GB2312" w:cs="仿宋_GB2312"/>
          <w:bCs/>
          <w:sz w:val="32"/>
          <w:szCs w:val="32"/>
        </w:rPr>
        <w:t>（类）支出，支出决算为</w:t>
      </w:r>
      <w:r>
        <w:rPr>
          <w:rStyle w:val="22"/>
          <w:rFonts w:hint="eastAsia" w:ascii="仿宋_GB2312" w:hAnsi="仿宋_GB2312" w:eastAsia="仿宋_GB2312" w:cs="仿宋_GB2312"/>
          <w:bCs/>
          <w:sz w:val="32"/>
          <w:szCs w:val="32"/>
          <w:lang w:val="en-US" w:eastAsia="zh-CN"/>
        </w:rPr>
        <w:t>9.88</w:t>
      </w:r>
      <w:r>
        <w:rPr>
          <w:rStyle w:val="22"/>
          <w:rFonts w:hint="eastAsia" w:ascii="仿宋_GB2312" w:hAnsi="仿宋_GB2312" w:eastAsia="仿宋_GB2312" w:cs="仿宋_GB2312"/>
          <w:bCs/>
          <w:sz w:val="32"/>
          <w:szCs w:val="32"/>
        </w:rPr>
        <w:t>万元，完成预算100%，支出明细如下：</w:t>
      </w:r>
    </w:p>
    <w:p w14:paraId="00084D3C">
      <w:pPr>
        <w:pStyle w:val="9"/>
        <w:numPr>
          <w:ilvl w:val="0"/>
          <w:numId w:val="3"/>
        </w:numPr>
        <w:ind w:firstLine="640" w:firstLineChars="200"/>
        <w:rPr>
          <w:rFonts w:hint="default"/>
          <w:lang w:val="en-US" w:eastAsia="zh-CN"/>
        </w:rPr>
      </w:pPr>
      <w:r>
        <w:rPr>
          <w:rFonts w:hint="eastAsia" w:ascii="Times New Roman" w:cs="仿宋_GB2312"/>
          <w:color w:val="auto"/>
          <w:kern w:val="2"/>
          <w:sz w:val="32"/>
          <w:szCs w:val="32"/>
          <w:highlight w:val="none"/>
          <w:lang w:val="en-US" w:eastAsia="zh-CN" w:bidi="ar-SA"/>
        </w:rPr>
        <w:t>公共安全支出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公安</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行政运行</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9.88</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869FDA9">
      <w:pPr>
        <w:tabs>
          <w:tab w:val="left" w:pos="312"/>
        </w:tabs>
        <w:spacing w:line="600" w:lineRule="exact"/>
        <w:ind w:firstLine="643"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b/>
          <w:bCs/>
          <w:sz w:val="32"/>
          <w:szCs w:val="32"/>
          <w:lang w:val="en-US" w:eastAsia="zh-CN"/>
        </w:rPr>
        <w:t>207：</w:t>
      </w:r>
      <w:r>
        <w:rPr>
          <w:rStyle w:val="22"/>
          <w:rFonts w:hint="eastAsia" w:ascii="仿宋_GB2312" w:hAnsi="仿宋_GB2312" w:eastAsia="仿宋_GB2312" w:cs="仿宋_GB2312"/>
          <w:bCs/>
          <w:sz w:val="32"/>
          <w:szCs w:val="32"/>
          <w:lang w:val="en-US" w:eastAsia="zh-CN"/>
        </w:rPr>
        <w:t>文化旅游体育与传媒</w:t>
      </w:r>
      <w:r>
        <w:rPr>
          <w:rStyle w:val="22"/>
          <w:rFonts w:hint="eastAsia" w:ascii="仿宋_GB2312" w:hAnsi="仿宋_GB2312" w:eastAsia="仿宋_GB2312" w:cs="仿宋_GB2312"/>
          <w:bCs/>
          <w:sz w:val="32"/>
          <w:szCs w:val="32"/>
        </w:rPr>
        <w:t>（类）支出，支出决算为</w:t>
      </w:r>
      <w:r>
        <w:rPr>
          <w:rStyle w:val="22"/>
          <w:rFonts w:hint="eastAsia" w:ascii="仿宋_GB2312" w:hAnsi="仿宋_GB2312" w:eastAsia="仿宋_GB2312" w:cs="仿宋_GB2312"/>
          <w:bCs/>
          <w:sz w:val="32"/>
          <w:szCs w:val="32"/>
          <w:lang w:val="en-US" w:eastAsia="zh-CN"/>
        </w:rPr>
        <w:t>39.62</w:t>
      </w:r>
      <w:r>
        <w:rPr>
          <w:rStyle w:val="22"/>
          <w:rFonts w:hint="eastAsia" w:ascii="仿宋_GB2312" w:hAnsi="仿宋_GB2312" w:eastAsia="仿宋_GB2312" w:cs="仿宋_GB2312"/>
          <w:bCs/>
          <w:sz w:val="32"/>
          <w:szCs w:val="32"/>
        </w:rPr>
        <w:t>万元，完成预算100%，支出明细如下：</w:t>
      </w:r>
    </w:p>
    <w:p w14:paraId="2AD56E94">
      <w:pPr>
        <w:pStyle w:val="9"/>
        <w:numPr>
          <w:ilvl w:val="0"/>
          <w:numId w:val="4"/>
        </w:numPr>
        <w:ind w:firstLine="640" w:firstLineChars="200"/>
        <w:rPr>
          <w:rFonts w:hint="default"/>
          <w:lang w:val="en-US" w:eastAsia="zh-CN"/>
        </w:rPr>
      </w:pPr>
      <w:r>
        <w:rPr>
          <w:rFonts w:hint="eastAsia" w:ascii="Times New Roman" w:cs="仿宋_GB2312"/>
          <w:color w:val="auto"/>
          <w:kern w:val="2"/>
          <w:sz w:val="32"/>
          <w:szCs w:val="32"/>
          <w:highlight w:val="none"/>
          <w:lang w:val="en-US" w:eastAsia="zh-CN" w:bidi="ar-SA"/>
        </w:rPr>
        <w:t>文化旅游体育与传媒支出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文化和旅游</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群众文化</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34.39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612CBDE">
      <w:pPr>
        <w:pStyle w:val="9"/>
        <w:numPr>
          <w:ilvl w:val="0"/>
          <w:numId w:val="4"/>
        </w:numPr>
        <w:ind w:firstLine="640" w:firstLineChars="200"/>
        <w:rPr>
          <w:rFonts w:hint="default"/>
          <w:lang w:val="en-US" w:eastAsia="zh-CN"/>
        </w:rPr>
      </w:pPr>
      <w:r>
        <w:rPr>
          <w:rFonts w:hint="eastAsia" w:ascii="Times New Roman" w:cs="仿宋_GB2312"/>
          <w:color w:val="auto"/>
          <w:kern w:val="2"/>
          <w:sz w:val="32"/>
          <w:szCs w:val="32"/>
          <w:highlight w:val="none"/>
          <w:lang w:val="en-US" w:eastAsia="zh-CN" w:bidi="ar-SA"/>
        </w:rPr>
        <w:t>文化旅游体育与传媒支出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文化和旅游</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其他文化和旅游支出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5.23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F062350">
      <w:pPr>
        <w:tabs>
          <w:tab w:val="left" w:pos="312"/>
        </w:tabs>
        <w:spacing w:line="600" w:lineRule="exact"/>
        <w:ind w:firstLine="643" w:firstLineChars="200"/>
        <w:rPr>
          <w:rStyle w:val="22"/>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lang w:val="en-US" w:eastAsia="zh-CN"/>
        </w:rPr>
        <w:t>208：</w:t>
      </w:r>
      <w:r>
        <w:rPr>
          <w:rStyle w:val="22"/>
          <w:rFonts w:hint="eastAsia" w:ascii="仿宋_GB2312" w:hAnsi="仿宋_GB2312" w:eastAsia="仿宋_GB2312" w:cs="仿宋_GB2312"/>
          <w:bCs/>
          <w:sz w:val="32"/>
          <w:szCs w:val="32"/>
          <w:lang w:val="en-US" w:eastAsia="zh-CN"/>
        </w:rPr>
        <w:t>社会保障和就业</w:t>
      </w:r>
      <w:r>
        <w:rPr>
          <w:rStyle w:val="22"/>
          <w:rFonts w:hint="eastAsia" w:ascii="仿宋_GB2312" w:hAnsi="仿宋_GB2312" w:eastAsia="仿宋_GB2312" w:cs="仿宋_GB2312"/>
          <w:bCs/>
          <w:sz w:val="32"/>
          <w:szCs w:val="32"/>
        </w:rPr>
        <w:t>（类）支出，支出决算为</w:t>
      </w:r>
      <w:r>
        <w:rPr>
          <w:rStyle w:val="22"/>
          <w:rFonts w:hint="eastAsia" w:ascii="仿宋_GB2312" w:hAnsi="仿宋_GB2312" w:eastAsia="仿宋_GB2312" w:cs="仿宋_GB2312"/>
          <w:bCs/>
          <w:sz w:val="32"/>
          <w:szCs w:val="32"/>
          <w:lang w:val="en-US" w:eastAsia="zh-CN"/>
        </w:rPr>
        <w:t>610.03</w:t>
      </w:r>
      <w:r>
        <w:rPr>
          <w:rStyle w:val="22"/>
          <w:rFonts w:hint="eastAsia" w:ascii="仿宋_GB2312" w:hAnsi="仿宋_GB2312" w:eastAsia="仿宋_GB2312" w:cs="仿宋_GB2312"/>
          <w:bCs/>
          <w:sz w:val="32"/>
          <w:szCs w:val="32"/>
        </w:rPr>
        <w:t>万元，完成预算100%，支出明细如下：</w:t>
      </w:r>
    </w:p>
    <w:p w14:paraId="2ED41B2E">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人力资源和社会保障管理事务支出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其他人力资源和社会保障管理事务支出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131.03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38B3D05">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民政管理事务支出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基层政权建设和社区治理</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259.36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C167BE4">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民政管理事务支出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其他民政管理事务支出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2.7</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023D1F55">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行政事业单位养老支出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机关事业单位基本养老保险缴费支出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88.45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3561321E">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行政事业单位养老支出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机关事业单位职业年金缴费支出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44.23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3AD647F2">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行政事业单位养老支出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其他行政事业单位养老支出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36.34</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84A1E22">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就业补助</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公益性岗位补贴</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28.72</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3C26136D">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就业补助</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其他就业补助支出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4.03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3061085B">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抚恤</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其他优抚支出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5.2</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6FB0FD5">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残疾人事业</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其他残疾人事业支出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1.95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0F46635A">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临时救助</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临时救助支出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0.56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DCDCCD5">
      <w:pPr>
        <w:pStyle w:val="9"/>
        <w:numPr>
          <w:ilvl w:val="0"/>
          <w:numId w:val="5"/>
        </w:numPr>
        <w:ind w:left="-10" w:leftChars="0" w:firstLine="640" w:firstLineChars="0"/>
        <w:rPr>
          <w:rFonts w:hint="eastAsia"/>
          <w:lang w:val="en-US" w:eastAsia="zh-CN"/>
        </w:rPr>
      </w:pPr>
      <w:r>
        <w:rPr>
          <w:rFonts w:hint="eastAsia" w:ascii="Times New Roman" w:cs="仿宋_GB2312"/>
          <w:color w:val="auto"/>
          <w:kern w:val="2"/>
          <w:sz w:val="32"/>
          <w:szCs w:val="32"/>
          <w:highlight w:val="none"/>
          <w:lang w:val="en-US" w:eastAsia="zh-CN" w:bidi="ar-SA"/>
        </w:rPr>
        <w:t>社会保障和就业支出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其他社会保障和就业支出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其他社会保障和就业支出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7.46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0A38440">
      <w:pPr>
        <w:tabs>
          <w:tab w:val="left" w:pos="312"/>
        </w:tabs>
        <w:spacing w:line="600" w:lineRule="exact"/>
        <w:ind w:firstLine="643" w:firstLineChars="200"/>
        <w:rPr>
          <w:rStyle w:val="22"/>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lang w:val="en-US" w:eastAsia="zh-CN"/>
        </w:rPr>
        <w:t>210：</w:t>
      </w:r>
      <w:r>
        <w:rPr>
          <w:rStyle w:val="22"/>
          <w:rFonts w:hint="eastAsia" w:ascii="仿宋_GB2312" w:hAnsi="仿宋_GB2312" w:eastAsia="仿宋_GB2312" w:cs="仿宋_GB2312"/>
          <w:bCs/>
          <w:sz w:val="32"/>
          <w:szCs w:val="32"/>
          <w:lang w:val="en-US" w:eastAsia="zh-CN"/>
        </w:rPr>
        <w:t>卫生健康</w:t>
      </w:r>
      <w:r>
        <w:rPr>
          <w:rStyle w:val="22"/>
          <w:rFonts w:hint="eastAsia" w:ascii="仿宋_GB2312" w:hAnsi="仿宋_GB2312" w:eastAsia="仿宋_GB2312" w:cs="仿宋_GB2312"/>
          <w:bCs/>
          <w:sz w:val="32"/>
          <w:szCs w:val="32"/>
        </w:rPr>
        <w:t>（类）支出，支出决算为</w:t>
      </w:r>
      <w:r>
        <w:rPr>
          <w:rStyle w:val="22"/>
          <w:rFonts w:hint="eastAsia" w:ascii="仿宋_GB2312" w:hAnsi="仿宋_GB2312" w:eastAsia="仿宋_GB2312" w:cs="仿宋_GB2312"/>
          <w:bCs/>
          <w:sz w:val="32"/>
          <w:szCs w:val="32"/>
          <w:lang w:val="en-US" w:eastAsia="zh-CN"/>
        </w:rPr>
        <w:t>47.67</w:t>
      </w:r>
      <w:r>
        <w:rPr>
          <w:rStyle w:val="22"/>
          <w:rFonts w:hint="eastAsia" w:ascii="仿宋_GB2312" w:hAnsi="仿宋_GB2312" w:eastAsia="仿宋_GB2312" w:cs="仿宋_GB2312"/>
          <w:bCs/>
          <w:sz w:val="32"/>
          <w:szCs w:val="32"/>
        </w:rPr>
        <w:t>万元，完成预算100%，支出明细如下：</w:t>
      </w:r>
    </w:p>
    <w:p w14:paraId="4AEE5936">
      <w:pPr>
        <w:pStyle w:val="9"/>
        <w:numPr>
          <w:ilvl w:val="0"/>
          <w:numId w:val="6"/>
        </w:numPr>
        <w:ind w:firstLine="640" w:firstLineChars="200"/>
        <w:rPr>
          <w:rFonts w:hint="eastAsia"/>
          <w:lang w:val="en-US" w:eastAsia="zh-CN"/>
        </w:rPr>
      </w:pPr>
      <w:r>
        <w:rPr>
          <w:rFonts w:hint="eastAsia" w:ascii="Times New Roman" w:cs="仿宋_GB2312"/>
          <w:color w:val="auto"/>
          <w:kern w:val="2"/>
          <w:sz w:val="32"/>
          <w:szCs w:val="32"/>
          <w:highlight w:val="none"/>
          <w:lang w:val="en-US"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公共卫生</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采供血机构</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11.06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5560EFC">
      <w:pPr>
        <w:pStyle w:val="9"/>
        <w:numPr>
          <w:ilvl w:val="0"/>
          <w:numId w:val="6"/>
        </w:numPr>
        <w:ind w:firstLine="640" w:firstLineChars="200"/>
        <w:rPr>
          <w:rFonts w:hint="eastAsia"/>
          <w:lang w:val="en-US" w:eastAsia="zh-CN"/>
        </w:rPr>
      </w:pPr>
      <w:r>
        <w:rPr>
          <w:rFonts w:hint="eastAsia" w:ascii="Times New Roman" w:cs="仿宋_GB2312"/>
          <w:color w:val="auto"/>
          <w:kern w:val="2"/>
          <w:sz w:val="32"/>
          <w:szCs w:val="32"/>
          <w:highlight w:val="none"/>
          <w:lang w:val="en-US"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行政单位医疗</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15.52</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64A981E">
      <w:pPr>
        <w:pStyle w:val="9"/>
        <w:numPr>
          <w:ilvl w:val="0"/>
          <w:numId w:val="6"/>
        </w:numPr>
        <w:ind w:firstLine="640" w:firstLineChars="200"/>
        <w:rPr>
          <w:rFonts w:hint="eastAsia"/>
          <w:lang w:val="en-US" w:eastAsia="zh-CN"/>
        </w:rPr>
      </w:pPr>
      <w:r>
        <w:rPr>
          <w:rFonts w:hint="eastAsia" w:ascii="Times New Roman" w:cs="仿宋_GB2312"/>
          <w:color w:val="auto"/>
          <w:kern w:val="2"/>
          <w:sz w:val="32"/>
          <w:szCs w:val="32"/>
          <w:highlight w:val="none"/>
          <w:lang w:val="en-US"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事业</w:t>
      </w:r>
      <w:r>
        <w:rPr>
          <w:rFonts w:hint="eastAsia" w:cs="仿宋_GB2312"/>
          <w:color w:val="auto"/>
          <w:kern w:val="2"/>
          <w:sz w:val="32"/>
          <w:szCs w:val="32"/>
          <w:highlight w:val="none"/>
          <w:lang w:val="en-US" w:eastAsia="zh-CN" w:bidi="ar-SA"/>
        </w:rPr>
        <w:t>单位医疗</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11.2</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614A065D">
      <w:pPr>
        <w:pStyle w:val="9"/>
        <w:numPr>
          <w:ilvl w:val="0"/>
          <w:numId w:val="6"/>
        </w:numPr>
        <w:ind w:firstLine="640" w:firstLineChars="200"/>
        <w:rPr>
          <w:rFonts w:hint="eastAsia"/>
          <w:lang w:val="en-US" w:eastAsia="zh-CN"/>
        </w:rPr>
      </w:pPr>
      <w:r>
        <w:rPr>
          <w:rFonts w:hint="eastAsia" w:ascii="Times New Roman" w:cs="仿宋_GB2312"/>
          <w:color w:val="auto"/>
          <w:kern w:val="2"/>
          <w:sz w:val="32"/>
          <w:szCs w:val="32"/>
          <w:highlight w:val="none"/>
          <w:lang w:val="en-US"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公务员医疗补助</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0D4406D9">
      <w:pPr>
        <w:pStyle w:val="9"/>
        <w:numPr>
          <w:ilvl w:val="0"/>
          <w:numId w:val="0"/>
        </w:numPr>
        <w:ind w:firstLine="643" w:firstLineChars="200"/>
        <w:rPr>
          <w:rStyle w:val="22"/>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lang w:val="en-US" w:eastAsia="zh-CN"/>
        </w:rPr>
        <w:t>21</w:t>
      </w:r>
      <w:r>
        <w:rPr>
          <w:rFonts w:hint="eastAsia"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w:t>
      </w:r>
      <w:r>
        <w:rPr>
          <w:rStyle w:val="22"/>
          <w:rFonts w:hint="eastAsia" w:hAnsi="仿宋_GB2312" w:cs="仿宋_GB2312"/>
          <w:bCs/>
          <w:sz w:val="32"/>
          <w:szCs w:val="32"/>
          <w:lang w:val="en-US" w:eastAsia="zh-CN"/>
        </w:rPr>
        <w:t>节能环保</w:t>
      </w:r>
      <w:r>
        <w:rPr>
          <w:rStyle w:val="22"/>
          <w:rFonts w:hint="eastAsia" w:ascii="仿宋_GB2312" w:hAnsi="仿宋_GB2312" w:eastAsia="仿宋_GB2312" w:cs="仿宋_GB2312"/>
          <w:bCs/>
          <w:sz w:val="32"/>
          <w:szCs w:val="32"/>
        </w:rPr>
        <w:t>（类）支出，支出决算为</w:t>
      </w:r>
      <w:r>
        <w:rPr>
          <w:rStyle w:val="22"/>
          <w:rFonts w:hint="eastAsia" w:hAnsi="仿宋_GB2312" w:cs="仿宋_GB2312"/>
          <w:bCs/>
          <w:sz w:val="32"/>
          <w:szCs w:val="32"/>
          <w:lang w:val="en-US" w:eastAsia="zh-CN"/>
        </w:rPr>
        <w:t>22.23</w:t>
      </w:r>
      <w:r>
        <w:rPr>
          <w:rStyle w:val="22"/>
          <w:rFonts w:hint="eastAsia" w:ascii="仿宋_GB2312" w:hAnsi="仿宋_GB2312" w:eastAsia="仿宋_GB2312" w:cs="仿宋_GB2312"/>
          <w:bCs/>
          <w:sz w:val="32"/>
          <w:szCs w:val="32"/>
        </w:rPr>
        <w:t>万元，完成预算100%，支出明细如下：</w:t>
      </w:r>
    </w:p>
    <w:p w14:paraId="57B9D221">
      <w:pPr>
        <w:pStyle w:val="9"/>
        <w:numPr>
          <w:ilvl w:val="0"/>
          <w:numId w:val="7"/>
        </w:numPr>
        <w:ind w:firstLine="640" w:firstLineChars="200"/>
        <w:rPr>
          <w:rFonts w:hint="eastAsia"/>
          <w:lang w:val="en-US" w:eastAsia="zh-CN"/>
        </w:rPr>
      </w:pPr>
      <w:r>
        <w:rPr>
          <w:rFonts w:hint="eastAsia" w:ascii="Times New Roman" w:cs="仿宋_GB2312"/>
          <w:color w:val="auto"/>
          <w:kern w:val="2"/>
          <w:sz w:val="32"/>
          <w:szCs w:val="32"/>
          <w:highlight w:val="none"/>
          <w:lang w:val="en-US" w:eastAsia="zh-CN" w:bidi="ar-SA"/>
        </w:rPr>
        <w:t>节能环保支出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自然生态保护</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农村环境保护</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22.23</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0CBFB73D">
      <w:pPr>
        <w:pStyle w:val="9"/>
        <w:numPr>
          <w:ilvl w:val="0"/>
          <w:numId w:val="0"/>
        </w:numPr>
        <w:ind w:firstLine="643" w:firstLineChars="200"/>
        <w:rPr>
          <w:rStyle w:val="22"/>
          <w:rFonts w:hint="eastAsia" w:ascii="仿宋_GB2312" w:hAnsi="仿宋_GB2312" w:eastAsia="仿宋_GB2312" w:cs="仿宋_GB2312"/>
          <w:bCs/>
          <w:sz w:val="32"/>
          <w:szCs w:val="32"/>
        </w:rPr>
      </w:pPr>
      <w:r>
        <w:rPr>
          <w:rFonts w:hint="eastAsia" w:hAnsi="仿宋_GB2312" w:cs="仿宋_GB2312"/>
          <w:b/>
          <w:bCs/>
          <w:sz w:val="32"/>
          <w:szCs w:val="32"/>
          <w:lang w:val="en-US" w:eastAsia="zh-CN"/>
        </w:rPr>
        <w:t>212</w:t>
      </w:r>
      <w:r>
        <w:rPr>
          <w:rFonts w:hint="eastAsia" w:ascii="仿宋_GB2312" w:hAnsi="仿宋_GB2312" w:eastAsia="仿宋_GB2312" w:cs="仿宋_GB2312"/>
          <w:b/>
          <w:bCs/>
          <w:sz w:val="32"/>
          <w:szCs w:val="32"/>
          <w:lang w:val="en-US" w:eastAsia="zh-CN"/>
        </w:rPr>
        <w:t>：</w:t>
      </w:r>
      <w:r>
        <w:rPr>
          <w:rStyle w:val="22"/>
          <w:rFonts w:hint="eastAsia" w:hAnsi="仿宋_GB2312" w:cs="仿宋_GB2312"/>
          <w:bCs/>
          <w:sz w:val="32"/>
          <w:szCs w:val="32"/>
          <w:lang w:val="en-US" w:eastAsia="zh-CN"/>
        </w:rPr>
        <w:t>城乡社区</w:t>
      </w:r>
      <w:r>
        <w:rPr>
          <w:rStyle w:val="22"/>
          <w:rFonts w:hint="eastAsia" w:ascii="仿宋_GB2312" w:hAnsi="仿宋_GB2312" w:eastAsia="仿宋_GB2312" w:cs="仿宋_GB2312"/>
          <w:bCs/>
          <w:sz w:val="32"/>
          <w:szCs w:val="32"/>
        </w:rPr>
        <w:t>（类）支出，支出决算为</w:t>
      </w:r>
      <w:r>
        <w:rPr>
          <w:rStyle w:val="22"/>
          <w:rFonts w:hint="eastAsia" w:hAnsi="仿宋_GB2312" w:cs="仿宋_GB2312"/>
          <w:bCs/>
          <w:sz w:val="32"/>
          <w:szCs w:val="32"/>
          <w:lang w:val="en-US" w:eastAsia="zh-CN"/>
        </w:rPr>
        <w:t>28.87</w:t>
      </w:r>
      <w:r>
        <w:rPr>
          <w:rStyle w:val="22"/>
          <w:rFonts w:hint="eastAsia" w:ascii="仿宋_GB2312" w:hAnsi="仿宋_GB2312" w:eastAsia="仿宋_GB2312" w:cs="仿宋_GB2312"/>
          <w:bCs/>
          <w:sz w:val="32"/>
          <w:szCs w:val="32"/>
        </w:rPr>
        <w:t>万元，完成预算100%，支出明细如下：</w:t>
      </w:r>
    </w:p>
    <w:p w14:paraId="0D746B89">
      <w:pPr>
        <w:pStyle w:val="9"/>
        <w:numPr>
          <w:ilvl w:val="0"/>
          <w:numId w:val="8"/>
        </w:numPr>
        <w:ind w:firstLine="640" w:firstLineChars="200"/>
        <w:rPr>
          <w:rStyle w:val="22"/>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城乡社区支出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城乡社区公共设施</w:t>
      </w:r>
      <w:r>
        <w:rPr>
          <w:rFonts w:hint="eastAsia" w:ascii="Times New Roman" w:hAnsi="Times New Roman" w:eastAsia="仿宋_GB2312" w:cs="仿宋_GB2312"/>
          <w:color w:val="auto"/>
          <w:kern w:val="2"/>
          <w:sz w:val="32"/>
          <w:szCs w:val="32"/>
          <w:highlight w:val="none"/>
          <w:lang w:val="en-US" w:eastAsia="zh-CN" w:bidi="ar-SA"/>
        </w:rPr>
        <w:t>（款）</w:t>
      </w:r>
      <w:r>
        <w:rPr>
          <w:rFonts w:hint="eastAsia" w:cs="仿宋_GB2312"/>
          <w:color w:val="auto"/>
          <w:kern w:val="2"/>
          <w:sz w:val="32"/>
          <w:szCs w:val="32"/>
          <w:highlight w:val="none"/>
          <w:lang w:val="en-US" w:eastAsia="zh-CN" w:bidi="ar-SA"/>
        </w:rPr>
        <w:t>其他城乡社区公共设施支出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28.87</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158D0B4B">
      <w:pPr>
        <w:pStyle w:val="9"/>
        <w:numPr>
          <w:ilvl w:val="0"/>
          <w:numId w:val="0"/>
        </w:numPr>
        <w:ind w:firstLine="643" w:firstLineChars="200"/>
        <w:rPr>
          <w:rStyle w:val="22"/>
          <w:rFonts w:hint="eastAsia" w:ascii="仿宋_GB2312" w:hAnsi="仿宋_GB2312" w:eastAsia="仿宋_GB2312" w:cs="仿宋_GB2312"/>
          <w:bCs/>
          <w:sz w:val="32"/>
          <w:szCs w:val="32"/>
        </w:rPr>
      </w:pPr>
      <w:r>
        <w:rPr>
          <w:rFonts w:hint="eastAsia" w:hAnsi="仿宋_GB2312" w:cs="仿宋_GB2312"/>
          <w:b/>
          <w:bCs/>
          <w:sz w:val="32"/>
          <w:szCs w:val="32"/>
          <w:lang w:val="en-US" w:eastAsia="zh-CN"/>
        </w:rPr>
        <w:t>213</w:t>
      </w:r>
      <w:r>
        <w:rPr>
          <w:rFonts w:hint="eastAsia" w:ascii="仿宋_GB2312" w:hAnsi="仿宋_GB2312" w:eastAsia="仿宋_GB2312" w:cs="仿宋_GB2312"/>
          <w:b/>
          <w:bCs/>
          <w:sz w:val="32"/>
          <w:szCs w:val="32"/>
          <w:lang w:val="en-US" w:eastAsia="zh-CN"/>
        </w:rPr>
        <w:t>：</w:t>
      </w:r>
      <w:r>
        <w:rPr>
          <w:rStyle w:val="22"/>
          <w:rFonts w:hint="eastAsia" w:hAnsi="仿宋_GB2312" w:cs="仿宋_GB2312"/>
          <w:bCs/>
          <w:sz w:val="32"/>
          <w:szCs w:val="32"/>
          <w:lang w:val="en-US" w:eastAsia="zh-CN"/>
        </w:rPr>
        <w:t>农林水</w:t>
      </w:r>
      <w:r>
        <w:rPr>
          <w:rStyle w:val="22"/>
          <w:rFonts w:hint="eastAsia" w:ascii="仿宋_GB2312" w:hAnsi="仿宋_GB2312" w:eastAsia="仿宋_GB2312" w:cs="仿宋_GB2312"/>
          <w:bCs/>
          <w:sz w:val="32"/>
          <w:szCs w:val="32"/>
        </w:rPr>
        <w:t>（类）支出，支出决算为</w:t>
      </w:r>
      <w:r>
        <w:rPr>
          <w:rStyle w:val="22"/>
          <w:rFonts w:hint="eastAsia" w:hAnsi="仿宋_GB2312" w:cs="仿宋_GB2312"/>
          <w:bCs/>
          <w:color w:val="FF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824.71</w:t>
      </w:r>
      <w:r>
        <w:rPr>
          <w:rStyle w:val="22"/>
          <w:rFonts w:hint="eastAsia" w:ascii="仿宋_GB2312" w:hAnsi="仿宋_GB2312" w:eastAsia="仿宋_GB2312" w:cs="仿宋_GB2312"/>
          <w:bCs/>
          <w:sz w:val="32"/>
          <w:szCs w:val="32"/>
        </w:rPr>
        <w:t>万元，完成预算100%，支出明细如下：</w:t>
      </w:r>
    </w:p>
    <w:p w14:paraId="31B7E53D">
      <w:pPr>
        <w:pStyle w:val="9"/>
        <w:numPr>
          <w:ilvl w:val="0"/>
          <w:numId w:val="9"/>
        </w:numPr>
        <w:ind w:firstLine="640" w:firstLineChars="200"/>
        <w:rPr>
          <w:rStyle w:val="22"/>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农业农村</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事业运行</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168.29</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8EDA4C3">
      <w:pPr>
        <w:pStyle w:val="9"/>
        <w:numPr>
          <w:ilvl w:val="0"/>
          <w:numId w:val="9"/>
        </w:numPr>
        <w:ind w:firstLine="640" w:firstLineChars="200"/>
        <w:rPr>
          <w:rStyle w:val="22"/>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农业农村</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乡村道路建设</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70.05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6732378">
      <w:pPr>
        <w:pStyle w:val="9"/>
        <w:numPr>
          <w:ilvl w:val="0"/>
          <w:numId w:val="9"/>
        </w:numPr>
        <w:ind w:firstLine="640" w:firstLineChars="200"/>
        <w:rPr>
          <w:rStyle w:val="22"/>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农业农村</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其他农业农村支出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1.76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15287CA">
      <w:pPr>
        <w:pStyle w:val="9"/>
        <w:numPr>
          <w:ilvl w:val="0"/>
          <w:numId w:val="9"/>
        </w:numPr>
        <w:ind w:firstLine="640" w:firstLineChars="200"/>
        <w:rPr>
          <w:rStyle w:val="22"/>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林业和草原</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森林资源培育</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E90BC8E">
      <w:pPr>
        <w:pStyle w:val="9"/>
        <w:numPr>
          <w:ilvl w:val="0"/>
          <w:numId w:val="9"/>
        </w:numPr>
        <w:ind w:firstLine="640" w:firstLineChars="200"/>
        <w:rPr>
          <w:rStyle w:val="22"/>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巩固脱贫攻坚成果衔接乡村振兴</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其他巩固脱贫攻坚成果衔接乡村振兴支出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cs="仿宋_GB2312"/>
          <w:color w:val="auto"/>
          <w:kern w:val="2"/>
          <w:sz w:val="32"/>
          <w:szCs w:val="32"/>
          <w:highlight w:val="none"/>
          <w:lang w:val="en-US" w:eastAsia="zh-CN" w:bidi="ar-SA"/>
        </w:rPr>
        <w:t>41.85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65139091">
      <w:pPr>
        <w:pStyle w:val="9"/>
        <w:numPr>
          <w:ilvl w:val="0"/>
          <w:numId w:val="9"/>
        </w:numPr>
        <w:ind w:firstLine="640" w:firstLineChars="200"/>
        <w:rPr>
          <w:rStyle w:val="22"/>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农村综合改革</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对村民委员会和村党支部的补助</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Times New Roman" w:cs="仿宋_GB2312"/>
          <w:color w:val="auto"/>
          <w:kern w:val="2"/>
          <w:sz w:val="32"/>
          <w:szCs w:val="32"/>
          <w:highlight w:val="none"/>
          <w:lang w:val="en-US" w:eastAsia="zh-CN" w:bidi="ar-SA"/>
        </w:rPr>
        <w:t>507.5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08E988BA">
      <w:pPr>
        <w:pStyle w:val="9"/>
        <w:numPr>
          <w:ilvl w:val="0"/>
          <w:numId w:val="9"/>
        </w:numPr>
        <w:ind w:firstLine="640" w:firstLineChars="200"/>
        <w:rPr>
          <w:rStyle w:val="22"/>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农林水支出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农村综合改革</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农村综合改革示范试点补助</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Times New Roman" w:cs="仿宋_GB2312"/>
          <w:color w:val="auto"/>
          <w:kern w:val="2"/>
          <w:sz w:val="32"/>
          <w:szCs w:val="32"/>
          <w:highlight w:val="none"/>
          <w:lang w:val="en-US" w:eastAsia="zh-CN" w:bidi="ar-SA"/>
        </w:rPr>
        <w:t>31.25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2E8FFE4D">
      <w:pPr>
        <w:pStyle w:val="9"/>
        <w:numPr>
          <w:ilvl w:val="0"/>
          <w:numId w:val="0"/>
        </w:numPr>
        <w:ind w:firstLine="643" w:firstLineChars="200"/>
        <w:rPr>
          <w:rStyle w:val="22"/>
          <w:rFonts w:hint="eastAsia" w:ascii="仿宋_GB2312" w:hAnsi="仿宋_GB2312" w:eastAsia="仿宋_GB2312" w:cs="仿宋_GB2312"/>
          <w:bCs/>
          <w:sz w:val="32"/>
          <w:szCs w:val="32"/>
        </w:rPr>
      </w:pPr>
      <w:r>
        <w:rPr>
          <w:rFonts w:hint="eastAsia" w:hAnsi="仿宋_GB2312" w:cs="仿宋_GB2312"/>
          <w:b/>
          <w:bCs/>
          <w:sz w:val="32"/>
          <w:szCs w:val="32"/>
          <w:lang w:val="en-US" w:eastAsia="zh-CN"/>
        </w:rPr>
        <w:t>213</w:t>
      </w:r>
      <w:r>
        <w:rPr>
          <w:rFonts w:hint="eastAsia" w:ascii="仿宋_GB2312" w:hAnsi="仿宋_GB2312" w:eastAsia="仿宋_GB2312" w:cs="仿宋_GB2312"/>
          <w:b/>
          <w:bCs/>
          <w:sz w:val="32"/>
          <w:szCs w:val="32"/>
          <w:lang w:val="en-US" w:eastAsia="zh-CN"/>
        </w:rPr>
        <w:t>：</w:t>
      </w:r>
      <w:r>
        <w:rPr>
          <w:rFonts w:hint="eastAsia" w:hAnsi="仿宋_GB2312" w:cs="仿宋_GB2312"/>
          <w:b/>
          <w:bCs/>
          <w:sz w:val="32"/>
          <w:szCs w:val="32"/>
          <w:lang w:val="en-US" w:eastAsia="zh-CN"/>
        </w:rPr>
        <w:t xml:space="preserve"> </w:t>
      </w:r>
      <w:r>
        <w:rPr>
          <w:rStyle w:val="22"/>
          <w:rFonts w:hint="eastAsia" w:hAnsi="仿宋_GB2312" w:cs="仿宋_GB2312"/>
          <w:bCs/>
          <w:sz w:val="32"/>
          <w:szCs w:val="32"/>
          <w:lang w:val="en-US" w:eastAsia="zh-CN"/>
        </w:rPr>
        <w:t>资源勘探工业信息等</w:t>
      </w:r>
      <w:r>
        <w:rPr>
          <w:rStyle w:val="22"/>
          <w:rFonts w:hint="eastAsia" w:ascii="仿宋_GB2312" w:hAnsi="仿宋_GB2312" w:eastAsia="仿宋_GB2312" w:cs="仿宋_GB2312"/>
          <w:bCs/>
          <w:sz w:val="32"/>
          <w:szCs w:val="32"/>
        </w:rPr>
        <w:t>（类）支出，支出决算为</w:t>
      </w:r>
      <w:r>
        <w:rPr>
          <w:rStyle w:val="22"/>
          <w:rFonts w:hint="eastAsia" w:hAnsi="仿宋_GB2312" w:cs="仿宋_GB2312"/>
          <w:bCs/>
          <w:sz w:val="32"/>
          <w:szCs w:val="32"/>
          <w:lang w:val="en-US" w:eastAsia="zh-CN"/>
        </w:rPr>
        <w:t>2.25</w:t>
      </w:r>
      <w:r>
        <w:rPr>
          <w:rStyle w:val="22"/>
          <w:rFonts w:hint="eastAsia" w:ascii="仿宋_GB2312" w:hAnsi="仿宋_GB2312" w:eastAsia="仿宋_GB2312" w:cs="仿宋_GB2312"/>
          <w:bCs/>
          <w:sz w:val="32"/>
          <w:szCs w:val="32"/>
        </w:rPr>
        <w:t>万元，完成预算100%，支出明细如下：</w:t>
      </w:r>
    </w:p>
    <w:p w14:paraId="52BF8A00">
      <w:pPr>
        <w:pStyle w:val="9"/>
        <w:numPr>
          <w:ilvl w:val="0"/>
          <w:numId w:val="10"/>
        </w:numPr>
        <w:ind w:firstLine="640" w:firstLineChars="200"/>
        <w:rPr>
          <w:rStyle w:val="22"/>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资源勘探工业信息等支出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工业和信息产业监管</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一般行政管理事务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Times New Roman" w:cs="仿宋_GB2312"/>
          <w:color w:val="auto"/>
          <w:kern w:val="2"/>
          <w:sz w:val="32"/>
          <w:szCs w:val="32"/>
          <w:highlight w:val="none"/>
          <w:lang w:val="en-US" w:eastAsia="zh-CN" w:bidi="ar-SA"/>
        </w:rPr>
        <w:t>2.25</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7826A7BF">
      <w:pPr>
        <w:pStyle w:val="9"/>
        <w:numPr>
          <w:ilvl w:val="0"/>
          <w:numId w:val="0"/>
        </w:numPr>
        <w:ind w:firstLine="643" w:firstLineChars="200"/>
        <w:rPr>
          <w:rStyle w:val="22"/>
          <w:rFonts w:hint="eastAsia" w:ascii="仿宋_GB2312" w:hAnsi="仿宋_GB2312" w:eastAsia="仿宋_GB2312" w:cs="仿宋_GB2312"/>
          <w:bCs/>
          <w:sz w:val="32"/>
          <w:szCs w:val="32"/>
        </w:rPr>
      </w:pPr>
      <w:r>
        <w:rPr>
          <w:rFonts w:hint="eastAsia" w:hAnsi="仿宋_GB2312" w:cs="仿宋_GB2312"/>
          <w:b/>
          <w:bCs/>
          <w:sz w:val="32"/>
          <w:szCs w:val="32"/>
          <w:lang w:val="en-US" w:eastAsia="zh-CN"/>
        </w:rPr>
        <w:t>221</w:t>
      </w:r>
      <w:r>
        <w:rPr>
          <w:rFonts w:hint="eastAsia" w:ascii="仿宋_GB2312" w:hAnsi="仿宋_GB2312" w:eastAsia="仿宋_GB2312" w:cs="仿宋_GB2312"/>
          <w:b/>
          <w:bCs/>
          <w:sz w:val="32"/>
          <w:szCs w:val="32"/>
          <w:lang w:val="en-US" w:eastAsia="zh-CN"/>
        </w:rPr>
        <w:t>：</w:t>
      </w:r>
      <w:r>
        <w:rPr>
          <w:rFonts w:hint="eastAsia" w:hAnsi="仿宋_GB2312" w:cs="仿宋_GB2312"/>
          <w:b/>
          <w:bCs/>
          <w:sz w:val="32"/>
          <w:szCs w:val="32"/>
          <w:lang w:val="en-US" w:eastAsia="zh-CN"/>
        </w:rPr>
        <w:t xml:space="preserve"> </w:t>
      </w:r>
      <w:r>
        <w:rPr>
          <w:rStyle w:val="22"/>
          <w:rFonts w:hint="eastAsia" w:hAnsi="仿宋_GB2312" w:cs="仿宋_GB2312"/>
          <w:bCs/>
          <w:sz w:val="32"/>
          <w:szCs w:val="32"/>
          <w:lang w:val="en-US" w:eastAsia="zh-CN"/>
        </w:rPr>
        <w:t>住房保障</w:t>
      </w:r>
      <w:r>
        <w:rPr>
          <w:rStyle w:val="22"/>
          <w:rFonts w:hint="eastAsia" w:ascii="仿宋_GB2312" w:hAnsi="仿宋_GB2312" w:eastAsia="仿宋_GB2312" w:cs="仿宋_GB2312"/>
          <w:bCs/>
          <w:sz w:val="32"/>
          <w:szCs w:val="32"/>
        </w:rPr>
        <w:t>（类）支出，支出决算为</w:t>
      </w:r>
      <w:r>
        <w:rPr>
          <w:rStyle w:val="22"/>
          <w:rFonts w:hint="eastAsia" w:hAnsi="仿宋_GB2312" w:cs="仿宋_GB2312"/>
          <w:bCs/>
          <w:sz w:val="32"/>
          <w:szCs w:val="32"/>
          <w:lang w:val="en-US" w:eastAsia="zh-CN"/>
        </w:rPr>
        <w:t>76.6</w:t>
      </w:r>
      <w:r>
        <w:rPr>
          <w:rStyle w:val="22"/>
          <w:rFonts w:hint="eastAsia" w:ascii="仿宋_GB2312" w:hAnsi="仿宋_GB2312" w:eastAsia="仿宋_GB2312" w:cs="仿宋_GB2312"/>
          <w:bCs/>
          <w:sz w:val="32"/>
          <w:szCs w:val="32"/>
        </w:rPr>
        <w:t>万元，完成预算100%，支出明细如下：</w:t>
      </w:r>
    </w:p>
    <w:p w14:paraId="578BACF4">
      <w:pPr>
        <w:pStyle w:val="9"/>
        <w:numPr>
          <w:ilvl w:val="0"/>
          <w:numId w:val="11"/>
        </w:numPr>
        <w:ind w:firstLine="640" w:firstLineChars="200"/>
        <w:rPr>
          <w:rStyle w:val="22"/>
          <w:rFonts w:hint="eastAsia" w:ascii="仿宋_GB2312" w:hAnsi="仿宋_GB2312" w:eastAsia="仿宋_GB2312" w:cs="仿宋_GB2312"/>
          <w:bCs/>
          <w:sz w:val="32"/>
          <w:szCs w:val="32"/>
        </w:rPr>
      </w:pPr>
      <w:r>
        <w:rPr>
          <w:rFonts w:hint="eastAsia" w:ascii="Times New Roman" w:cs="仿宋_GB2312"/>
          <w:color w:val="auto"/>
          <w:kern w:val="2"/>
          <w:sz w:val="32"/>
          <w:szCs w:val="32"/>
          <w:highlight w:val="none"/>
          <w:lang w:val="en-US" w:eastAsia="zh-CN" w:bidi="ar-SA"/>
        </w:rPr>
        <w:t>住房保障支出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住房改革支出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住房公积金</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Times New Roman" w:cs="仿宋_GB2312"/>
          <w:color w:val="auto"/>
          <w:kern w:val="2"/>
          <w:sz w:val="32"/>
          <w:szCs w:val="32"/>
          <w:highlight w:val="none"/>
          <w:lang w:val="en-US" w:eastAsia="zh-CN" w:bidi="ar-SA"/>
        </w:rPr>
        <w:t>76.6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5A4AAD99">
      <w:pPr>
        <w:pStyle w:val="9"/>
        <w:numPr>
          <w:ilvl w:val="0"/>
          <w:numId w:val="0"/>
        </w:numPr>
        <w:ind w:firstLine="643" w:firstLineChars="200"/>
        <w:rPr>
          <w:rStyle w:val="22"/>
          <w:rFonts w:hint="eastAsia" w:ascii="仿宋_GB2312" w:hAnsi="仿宋_GB2312" w:eastAsia="仿宋_GB2312" w:cs="仿宋_GB2312"/>
          <w:bCs/>
          <w:sz w:val="32"/>
          <w:szCs w:val="32"/>
        </w:rPr>
      </w:pPr>
      <w:r>
        <w:rPr>
          <w:rFonts w:hint="eastAsia" w:hAnsi="仿宋_GB2312" w:cs="仿宋_GB2312"/>
          <w:b/>
          <w:bCs/>
          <w:sz w:val="32"/>
          <w:szCs w:val="32"/>
          <w:lang w:val="en-US" w:eastAsia="zh-CN"/>
        </w:rPr>
        <w:t>224</w:t>
      </w:r>
      <w:r>
        <w:rPr>
          <w:rFonts w:hint="eastAsia" w:ascii="仿宋_GB2312" w:hAnsi="仿宋_GB2312" w:eastAsia="仿宋_GB2312" w:cs="仿宋_GB2312"/>
          <w:b/>
          <w:bCs/>
          <w:sz w:val="32"/>
          <w:szCs w:val="32"/>
          <w:lang w:val="en-US" w:eastAsia="zh-CN"/>
        </w:rPr>
        <w:t>：</w:t>
      </w:r>
      <w:r>
        <w:rPr>
          <w:rFonts w:hint="eastAsia" w:hAnsi="仿宋_GB2312" w:cs="仿宋_GB2312"/>
          <w:b/>
          <w:bCs/>
          <w:sz w:val="32"/>
          <w:szCs w:val="32"/>
          <w:lang w:val="en-US" w:eastAsia="zh-CN"/>
        </w:rPr>
        <w:t xml:space="preserve"> </w:t>
      </w:r>
      <w:r>
        <w:rPr>
          <w:rStyle w:val="22"/>
          <w:rFonts w:hint="eastAsia" w:hAnsi="仿宋_GB2312" w:cs="仿宋_GB2312"/>
          <w:bCs/>
          <w:sz w:val="32"/>
          <w:szCs w:val="32"/>
          <w:lang w:val="en-US" w:eastAsia="zh-CN"/>
        </w:rPr>
        <w:t>灾害防治与应急管理</w:t>
      </w:r>
      <w:r>
        <w:rPr>
          <w:rStyle w:val="22"/>
          <w:rFonts w:hint="eastAsia" w:ascii="仿宋_GB2312" w:hAnsi="仿宋_GB2312" w:eastAsia="仿宋_GB2312" w:cs="仿宋_GB2312"/>
          <w:bCs/>
          <w:sz w:val="32"/>
          <w:szCs w:val="32"/>
        </w:rPr>
        <w:t>（类）支出，支出决算为</w:t>
      </w:r>
      <w:r>
        <w:rPr>
          <w:rStyle w:val="22"/>
          <w:rFonts w:hint="eastAsia" w:hAnsi="仿宋_GB2312" w:cs="仿宋_GB2312"/>
          <w:bCs/>
          <w:sz w:val="32"/>
          <w:szCs w:val="32"/>
          <w:lang w:val="en-US" w:eastAsia="zh-CN"/>
        </w:rPr>
        <w:t>0.46</w:t>
      </w:r>
      <w:r>
        <w:rPr>
          <w:rStyle w:val="22"/>
          <w:rFonts w:hint="eastAsia" w:ascii="仿宋_GB2312" w:hAnsi="仿宋_GB2312" w:eastAsia="仿宋_GB2312" w:cs="仿宋_GB2312"/>
          <w:bCs/>
          <w:sz w:val="32"/>
          <w:szCs w:val="32"/>
        </w:rPr>
        <w:t>万元，完成预算100%，支出明细如下：</w:t>
      </w:r>
    </w:p>
    <w:p w14:paraId="55594CE2">
      <w:pPr>
        <w:pStyle w:val="9"/>
        <w:numPr>
          <w:ilvl w:val="0"/>
          <w:numId w:val="12"/>
        </w:numPr>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cs="仿宋_GB2312"/>
          <w:color w:val="auto"/>
          <w:kern w:val="2"/>
          <w:sz w:val="32"/>
          <w:szCs w:val="32"/>
          <w:highlight w:val="none"/>
          <w:lang w:val="en-US" w:eastAsia="zh-CN" w:bidi="ar-SA"/>
        </w:rPr>
        <w:t>灾害防治与应急管理支出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cs="仿宋_GB2312"/>
          <w:color w:val="auto"/>
          <w:kern w:val="2"/>
          <w:sz w:val="32"/>
          <w:szCs w:val="32"/>
          <w:highlight w:val="none"/>
          <w:lang w:val="en-US" w:eastAsia="zh-CN" w:bidi="ar-SA"/>
        </w:rPr>
        <w:t>自然灾害救灾及恢复重建支出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ascii="Times New Roman" w:cs="仿宋_GB2312"/>
          <w:color w:val="auto"/>
          <w:kern w:val="2"/>
          <w:sz w:val="32"/>
          <w:szCs w:val="32"/>
          <w:highlight w:val="none"/>
          <w:lang w:val="en-US" w:eastAsia="zh-CN" w:bidi="ar-SA"/>
        </w:rPr>
        <w:t>自然灾害救灾补助</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ascii="Times New Roman" w:cs="仿宋_GB2312"/>
          <w:color w:val="auto"/>
          <w:kern w:val="2"/>
          <w:sz w:val="32"/>
          <w:szCs w:val="32"/>
          <w:highlight w:val="none"/>
          <w:lang w:val="en-US" w:eastAsia="zh-CN" w:bidi="ar-SA"/>
        </w:rPr>
        <w:t>0.46</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4C607BEC">
      <w:pPr>
        <w:tabs>
          <w:tab w:val="right" w:pos="8306"/>
        </w:tabs>
        <w:spacing w:line="600" w:lineRule="exact"/>
        <w:ind w:firstLine="640"/>
        <w:outlineLvl w:val="1"/>
        <w:rPr>
          <w:rStyle w:val="34"/>
          <w:rFonts w:ascii="Times New Roman" w:hAnsi="Times New Roman"/>
          <w:color w:val="auto"/>
          <w:highlight w:val="none"/>
        </w:rPr>
      </w:pPr>
      <w:bookmarkStart w:id="42" w:name="_Toc15377214"/>
      <w:bookmarkStart w:id="43"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4"/>
          <w:rFonts w:hint="eastAsia" w:ascii="Times New Roman" w:hAnsi="Times New Roman" w:eastAsia="黑体"/>
          <w:b w:val="0"/>
          <w:color w:val="auto"/>
          <w:highlight w:val="none"/>
        </w:rPr>
        <w:t>般公共预算财政拨款基本支出决算情况说明</w:t>
      </w:r>
      <w:bookmarkEnd w:id="42"/>
      <w:bookmarkEnd w:id="43"/>
      <w:r>
        <w:rPr>
          <w:rStyle w:val="34"/>
          <w:rFonts w:ascii="Times New Roman" w:hAnsi="Times New Roman" w:eastAsia="黑体"/>
          <w:b w:val="0"/>
          <w:color w:val="auto"/>
          <w:highlight w:val="none"/>
        </w:rPr>
        <w:tab/>
      </w:r>
    </w:p>
    <w:p w14:paraId="47D16A5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1907.17</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14:paraId="3F0684F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1762.65</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144.52</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6B481FDB">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p>
    <w:p w14:paraId="70D33F3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9536FC2">
      <w:pPr>
        <w:pStyle w:val="2"/>
        <w:rPr>
          <w:rFonts w:hint="eastAsia" w:ascii="Times New Roman" w:hAnsi="Times New Roman" w:eastAsia="仿宋_GB2312" w:cs="仿宋_GB2312"/>
          <w:color w:val="auto"/>
          <w:kern w:val="2"/>
          <w:sz w:val="32"/>
          <w:szCs w:val="32"/>
          <w:highlight w:val="none"/>
          <w:lang w:val="en-US" w:eastAsia="zh-CN" w:bidi="ar-SA"/>
        </w:rPr>
      </w:pPr>
    </w:p>
    <w:p w14:paraId="631260F0">
      <w:pPr>
        <w:pStyle w:val="3"/>
        <w:rPr>
          <w:rFonts w:hint="eastAsia"/>
          <w:lang w:val="en-US" w:eastAsia="zh-CN"/>
        </w:rPr>
      </w:pPr>
    </w:p>
    <w:p w14:paraId="28A7DA3B">
      <w:pPr>
        <w:spacing w:line="600" w:lineRule="exact"/>
        <w:ind w:firstLine="640"/>
        <w:outlineLvl w:val="1"/>
        <w:rPr>
          <w:rStyle w:val="34"/>
          <w:rFonts w:ascii="Times New Roman" w:hAnsi="Times New Roman" w:eastAsia="黑体"/>
          <w:b w:val="0"/>
          <w:color w:val="auto"/>
          <w:highlight w:val="none"/>
        </w:rPr>
      </w:pPr>
      <w:bookmarkStart w:id="44" w:name="_Toc15377215"/>
      <w:bookmarkStart w:id="45" w:name="_Toc15396609"/>
      <w:r>
        <w:rPr>
          <w:rFonts w:hint="eastAsia" w:ascii="Times New Roman" w:hAnsi="Times New Roman" w:eastAsia="黑体"/>
          <w:color w:val="auto"/>
          <w:sz w:val="32"/>
          <w:szCs w:val="32"/>
          <w:highlight w:val="none"/>
        </w:rPr>
        <w:t>七、</w:t>
      </w:r>
      <w:r>
        <w:rPr>
          <w:rStyle w:val="34"/>
          <w:rFonts w:hint="eastAsia" w:ascii="Times New Roman" w:hAnsi="Times New Roman" w:eastAsia="黑体"/>
          <w:b w:val="0"/>
          <w:color w:val="auto"/>
          <w:highlight w:val="none"/>
        </w:rPr>
        <w:t>财政拨款</w:t>
      </w:r>
      <w:r>
        <w:rPr>
          <w:rStyle w:val="34"/>
          <w:rFonts w:hint="eastAsia" w:ascii="Times New Roman" w:hAnsi="Times New Roman" w:eastAsia="黑体"/>
          <w:color w:val="auto"/>
          <w:highlight w:val="none"/>
        </w:rPr>
        <w:t>“</w:t>
      </w:r>
      <w:r>
        <w:rPr>
          <w:rStyle w:val="34"/>
          <w:rFonts w:hint="eastAsia" w:ascii="Times New Roman" w:hAnsi="Times New Roman" w:eastAsia="黑体"/>
          <w:b w:val="0"/>
          <w:color w:val="auto"/>
          <w:highlight w:val="none"/>
        </w:rPr>
        <w:t>三公”经费支出决算情况说明</w:t>
      </w:r>
      <w:bookmarkEnd w:id="44"/>
      <w:bookmarkEnd w:id="45"/>
    </w:p>
    <w:p w14:paraId="5844D34D">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6"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46"/>
    </w:p>
    <w:p w14:paraId="7F886E5E">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0.92</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较上年度减少</w:t>
      </w:r>
      <w:r>
        <w:rPr>
          <w:rFonts w:hint="eastAsia" w:eastAsia="仿宋_GB2312" w:cs="仿宋_GB2312"/>
          <w:color w:val="auto"/>
          <w:kern w:val="2"/>
          <w:sz w:val="32"/>
          <w:szCs w:val="32"/>
          <w:highlight w:val="none"/>
          <w:lang w:val="en-US" w:eastAsia="zh-CN" w:bidi="ar-SA"/>
        </w:rPr>
        <w:t>1.44</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61.02</w:t>
      </w:r>
      <w:r>
        <w:rPr>
          <w:rFonts w:hint="eastAsia" w:ascii="Times New Roman" w:hAnsi="Times New Roman" w:eastAsia="仿宋_GB2312" w:cs="仿宋_GB2312"/>
          <w:color w:val="auto"/>
          <w:kern w:val="2"/>
          <w:sz w:val="32"/>
          <w:szCs w:val="32"/>
          <w:highlight w:val="none"/>
          <w:lang w:val="en-US" w:eastAsia="zh-CN" w:bidi="ar-SA"/>
        </w:rPr>
        <w:t>%。决算数</w:t>
      </w:r>
      <w:r>
        <w:rPr>
          <w:rFonts w:hint="eastAsia" w:eastAsia="仿宋_GB2312" w:cs="仿宋_GB2312"/>
          <w:color w:val="auto"/>
          <w:kern w:val="2"/>
          <w:sz w:val="32"/>
          <w:szCs w:val="32"/>
          <w:highlight w:val="none"/>
          <w:lang w:val="en-US" w:eastAsia="zh-CN" w:bidi="ar-SA"/>
        </w:rPr>
        <w:t>与</w:t>
      </w:r>
      <w:r>
        <w:rPr>
          <w:rFonts w:hint="eastAsia" w:ascii="Times New Roman" w:hAnsi="Times New Roman" w:eastAsia="仿宋_GB2312" w:cs="仿宋_GB2312"/>
          <w:color w:val="auto"/>
          <w:kern w:val="2"/>
          <w:sz w:val="32"/>
          <w:szCs w:val="32"/>
          <w:highlight w:val="none"/>
          <w:lang w:val="en-US" w:eastAsia="zh-CN" w:bidi="ar-SA"/>
        </w:rPr>
        <w:t>预算数</w:t>
      </w:r>
      <w:r>
        <w:rPr>
          <w:rFonts w:hint="eastAsia" w:eastAsia="仿宋_GB2312" w:cs="仿宋_GB2312"/>
          <w:color w:val="auto"/>
          <w:kern w:val="2"/>
          <w:sz w:val="32"/>
          <w:szCs w:val="32"/>
          <w:highlight w:val="none"/>
          <w:lang w:val="en-US" w:eastAsia="zh-CN" w:bidi="ar-SA"/>
        </w:rPr>
        <w:t>持平</w:t>
      </w:r>
      <w:r>
        <w:rPr>
          <w:rFonts w:hint="eastAsia" w:ascii="Times New Roman" w:hAnsi="Times New Roman" w:eastAsia="仿宋_GB2312" w:cs="仿宋_GB2312"/>
          <w:color w:val="auto"/>
          <w:kern w:val="2"/>
          <w:sz w:val="32"/>
          <w:szCs w:val="32"/>
          <w:highlight w:val="none"/>
          <w:lang w:val="en-US" w:eastAsia="zh-CN" w:bidi="ar-SA"/>
        </w:rPr>
        <w:t>的主要原因是</w:t>
      </w:r>
      <w:r>
        <w:rPr>
          <w:rFonts w:hint="eastAsia" w:eastAsia="仿宋_GB2312" w:cs="仿宋_GB2312"/>
          <w:color w:val="auto"/>
          <w:kern w:val="2"/>
          <w:sz w:val="32"/>
          <w:szCs w:val="32"/>
          <w:highlight w:val="none"/>
          <w:lang w:val="en-US" w:eastAsia="zh-CN" w:bidi="ar-SA"/>
        </w:rPr>
        <w:t>严格按要求对政府“三公”经费支出进行审批，量入为出，规范公务用车使用程序等。</w:t>
      </w:r>
    </w:p>
    <w:p w14:paraId="5BF03633">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7"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47"/>
    </w:p>
    <w:p w14:paraId="27DDCE65">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0.92</w:t>
      </w:r>
      <w:r>
        <w:rPr>
          <w:rFonts w:hint="eastAsia" w:ascii="仿宋_GB2312" w:hAnsi="仿宋_GB2312" w:eastAsia="仿宋_GB2312" w:cs="仿宋_GB2312"/>
          <w:color w:val="auto"/>
          <w:kern w:val="2"/>
          <w:sz w:val="32"/>
          <w:szCs w:val="32"/>
          <w:highlight w:val="none"/>
          <w:lang w:val="en-US" w:eastAsia="zh-CN" w:bidi="ar-SA"/>
        </w:rPr>
        <w:t>万元，占100%；公务接待费支出决算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万元，占0%。具体情况如下：</w:t>
      </w:r>
    </w:p>
    <w:p w14:paraId="7E082E75">
      <w:pPr>
        <w:pStyle w:val="9"/>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drawing>
          <wp:inline distT="0" distB="0" distL="114300" distR="114300">
            <wp:extent cx="5256530" cy="2988310"/>
            <wp:effectExtent l="5080" t="4445" r="15240" b="1714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FC758F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14:paraId="40A0A70B">
      <w:pPr>
        <w:numPr>
          <w:ilvl w:val="0"/>
          <w:numId w:val="13"/>
        </w:num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。因公出国（境）支出决算比2023年</w:t>
      </w:r>
      <w:r>
        <w:rPr>
          <w:rFonts w:hint="eastAsia" w:eastAsia="仿宋_GB2312" w:cs="仿宋_GB2312"/>
          <w:color w:val="auto"/>
          <w:kern w:val="2"/>
          <w:sz w:val="32"/>
          <w:szCs w:val="32"/>
          <w:highlight w:val="none"/>
          <w:lang w:val="en-US" w:eastAsia="zh-CN" w:bidi="ar-SA"/>
        </w:rPr>
        <w:t>持平。</w:t>
      </w:r>
    </w:p>
    <w:p w14:paraId="569A5A1F">
      <w:pPr>
        <w:numPr>
          <w:ilvl w:val="0"/>
          <w:numId w:val="0"/>
        </w:numPr>
        <w:spacing w:line="600" w:lineRule="exact"/>
        <w:ind w:firstLine="643"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0.92万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公务用车购置及运行维护费支出决算比2023年度减少</w:t>
      </w:r>
      <w:r>
        <w:rPr>
          <w:rFonts w:hint="eastAsia" w:eastAsia="仿宋_GB2312" w:cs="仿宋_GB2312"/>
          <w:color w:val="auto"/>
          <w:kern w:val="2"/>
          <w:sz w:val="32"/>
          <w:szCs w:val="32"/>
          <w:highlight w:val="none"/>
          <w:lang w:val="en-US" w:eastAsia="zh-CN" w:bidi="ar-SA"/>
        </w:rPr>
        <w:t>1.44</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61.02</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严格按要求对政府“三公”经费支出进行审批，量入为出，规范公务用车使用程序等。</w:t>
      </w:r>
    </w:p>
    <w:p w14:paraId="50119AE3">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万元。截至2024年12月31日，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但实际使用2辆，</w:t>
      </w:r>
      <w:r>
        <w:rPr>
          <w:rFonts w:hint="eastAsia" w:ascii="仿宋_GB2312" w:eastAsia="仿宋_GB2312"/>
          <w:color w:val="auto"/>
          <w:sz w:val="32"/>
          <w:szCs w:val="32"/>
          <w:highlight w:val="none"/>
        </w:rPr>
        <w:t>其中：轿车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p>
    <w:p w14:paraId="1B0904D5">
      <w:pPr>
        <w:spacing w:line="600" w:lineRule="exact"/>
        <w:ind w:firstLine="640"/>
        <w:rPr>
          <w:rFonts w:hint="eastAsia" w:ascii="仿宋_GB2312" w:hAnsi="仿宋_GB2312" w:eastAsia="仿宋_GB2312" w:cs="仿宋_GB2312"/>
          <w:sz w:val="32"/>
          <w:szCs w:val="32"/>
        </w:rPr>
      </w:pPr>
      <w:r>
        <w:rPr>
          <w:rFonts w:hint="eastAsia" w:ascii="Times New Roman" w:hAnsi="Times New Roman" w:eastAsia="仿宋_GB2312" w:cs="仿宋_GB2312"/>
          <w:color w:val="auto"/>
          <w:kern w:val="2"/>
          <w:sz w:val="32"/>
          <w:szCs w:val="32"/>
          <w:highlight w:val="none"/>
          <w:lang w:val="en-US" w:eastAsia="zh-CN" w:bidi="ar-SA"/>
        </w:rPr>
        <w:t>公务用车运行维护费支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0.92</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ascii="仿宋_GB2312" w:hAnsi="仿宋_GB2312" w:eastAsia="仿宋_GB2312" w:cs="仿宋_GB2312"/>
          <w:sz w:val="32"/>
          <w:szCs w:val="32"/>
        </w:rPr>
        <w:t>主要用于往返市、区开会、应急维稳、上报材料以及下村（社区）开展工作等所需的公务用车燃料费、维修费、过路过桥费、保险费等支出。</w:t>
      </w:r>
    </w:p>
    <w:p w14:paraId="1FE6DDF4">
      <w:pPr>
        <w:numPr>
          <w:ilvl w:val="0"/>
          <w:numId w:val="13"/>
        </w:numPr>
        <w:spacing w:line="600" w:lineRule="exact"/>
        <w:ind w:left="0" w:leftChars="0" w:firstLine="640" w:firstLineChars="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公务接待费支出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公务接待费支出决算比2023年度</w:t>
      </w:r>
      <w:r>
        <w:rPr>
          <w:rFonts w:hint="eastAsia" w:eastAsia="仿宋_GB2312" w:cs="仿宋_GB2312"/>
          <w:color w:val="auto"/>
          <w:kern w:val="2"/>
          <w:sz w:val="32"/>
          <w:szCs w:val="32"/>
          <w:highlight w:val="none"/>
          <w:lang w:val="en-US" w:eastAsia="zh-CN" w:bidi="ar-SA"/>
        </w:rPr>
        <w:t>持平。</w:t>
      </w:r>
    </w:p>
    <w:p w14:paraId="3AAC59B0">
      <w:pPr>
        <w:spacing w:line="600" w:lineRule="exact"/>
        <w:ind w:firstLine="643" w:firstLineChars="200"/>
        <w:rPr>
          <w:rFonts w:hint="eastAsia" w:ascii="仿宋_GB2312" w:eastAsia="仿宋_GB2312"/>
          <w:color w:val="auto"/>
          <w:sz w:val="32"/>
          <w:szCs w:val="32"/>
          <w:highlight w:val="none"/>
        </w:rPr>
      </w:pPr>
      <w:bookmarkStart w:id="48" w:name="_Toc15396610"/>
      <w:bookmarkStart w:id="49" w:name="_Toc15377218"/>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万元，国内公务接待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4D32F99">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F2FC25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6C0697FA">
      <w:pPr>
        <w:pStyle w:val="2"/>
        <w:rPr>
          <w:rFonts w:hint="eastAsia"/>
          <w:lang w:val="en-US" w:eastAsia="zh-CN"/>
        </w:rPr>
      </w:pPr>
    </w:p>
    <w:p w14:paraId="7726A834">
      <w:pPr>
        <w:spacing w:line="600" w:lineRule="exact"/>
        <w:ind w:firstLine="640"/>
        <w:outlineLvl w:val="1"/>
        <w:rPr>
          <w:rStyle w:val="34"/>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34"/>
          <w:rFonts w:hint="eastAsia" w:ascii="Times New Roman" w:hAnsi="Times New Roman" w:eastAsia="黑体"/>
          <w:b w:val="0"/>
          <w:color w:val="auto"/>
          <w:highlight w:val="none"/>
        </w:rPr>
        <w:t>政府性基金预算支出决算情况说明</w:t>
      </w:r>
      <w:bookmarkEnd w:id="48"/>
      <w:bookmarkEnd w:id="49"/>
    </w:p>
    <w:p w14:paraId="5E944DA5">
      <w:pPr>
        <w:pStyle w:val="9"/>
        <w:numPr>
          <w:ilvl w:val="0"/>
          <w:numId w:val="0"/>
        </w:numPr>
        <w:spacing w:before="93"/>
        <w:ind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262.83</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10.46</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。与2023年度相比，政府性基金预算财政拨款支出减少</w:t>
      </w:r>
      <w:r>
        <w:rPr>
          <w:rFonts w:hint="eastAsia" w:eastAsia="仿宋_GB2312" w:cs="仿宋_GB2312"/>
          <w:color w:val="auto"/>
          <w:kern w:val="2"/>
          <w:sz w:val="32"/>
          <w:szCs w:val="32"/>
          <w:highlight w:val="none"/>
          <w:lang w:val="en-US" w:eastAsia="zh-CN" w:bidi="ar-SA"/>
        </w:rPr>
        <w:t>35.49</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11.9</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ascii="仿宋_GB2312" w:hAnsi="仿宋_GB2312" w:eastAsia="仿宋_GB2312" w:cs="仿宋_GB2312"/>
          <w:sz w:val="32"/>
          <w:szCs w:val="32"/>
        </w:rPr>
        <w:t>农业农村生态环境支出</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城市环境卫生</w:t>
      </w:r>
      <w:r>
        <w:rPr>
          <w:rFonts w:hint="eastAsia" w:ascii="仿宋_GB2312" w:hAnsi="仿宋_GB2312" w:eastAsia="仿宋_GB2312" w:cs="仿宋_GB2312"/>
          <w:sz w:val="32"/>
          <w:szCs w:val="32"/>
          <w:lang w:val="en-US" w:eastAsia="zh-CN"/>
        </w:rPr>
        <w:t>均减少。具体支出明细如下：</w:t>
      </w:r>
    </w:p>
    <w:p w14:paraId="0ABDC256">
      <w:pPr>
        <w:pStyle w:val="9"/>
        <w:numPr>
          <w:ilvl w:val="0"/>
          <w:numId w:val="0"/>
        </w:numPr>
        <w:spacing w:before="93"/>
        <w:ind w:leftChars="0" w:firstLine="640" w:firstLineChars="200"/>
        <w:rPr>
          <w:rFonts w:hint="eastAsia" w:ascii="仿宋_GB2312" w:hAnsi="仿宋_GB2312" w:eastAsia="仿宋_GB2312" w:cs="仿宋_GB2312"/>
          <w:sz w:val="32"/>
          <w:szCs w:val="32"/>
        </w:rPr>
      </w:pPr>
      <w:r>
        <w:rPr>
          <w:rFonts w:hint="eastAsia" w:hAnsi="仿宋_GB2312" w:cs="仿宋_GB2312"/>
          <w:sz w:val="32"/>
          <w:szCs w:val="32"/>
          <w:lang w:val="en-US" w:eastAsia="zh-CN"/>
        </w:rPr>
        <w:t>1、</w:t>
      </w:r>
      <w:r>
        <w:rPr>
          <w:rFonts w:hint="eastAsia" w:ascii="仿宋_GB2312" w:hAnsi="仿宋_GB2312" w:eastAsia="仿宋_GB2312" w:cs="仿宋_GB2312"/>
          <w:sz w:val="32"/>
          <w:szCs w:val="32"/>
        </w:rPr>
        <w:t>城乡社区支出（类）国有土地使用权出让收入安排的支出（款）农业农村生态环境支出（项）：支出决算为</w:t>
      </w:r>
      <w:r>
        <w:rPr>
          <w:rFonts w:hint="eastAsia" w:hAnsi="仿宋_GB2312" w:cs="仿宋_GB2312"/>
          <w:sz w:val="32"/>
          <w:szCs w:val="32"/>
          <w:lang w:val="en-US" w:eastAsia="zh-CN"/>
        </w:rPr>
        <w:t>15.39</w:t>
      </w:r>
      <w:r>
        <w:rPr>
          <w:rFonts w:hint="eastAsia" w:ascii="仿宋_GB2312" w:hAnsi="仿宋_GB2312" w:eastAsia="仿宋_GB2312" w:cs="仿宋_GB2312"/>
          <w:sz w:val="32"/>
          <w:szCs w:val="32"/>
        </w:rPr>
        <w:t>万元，完成预算100%。</w:t>
      </w:r>
    </w:p>
    <w:p w14:paraId="7273ACE9">
      <w:pPr>
        <w:pStyle w:val="9"/>
        <w:numPr>
          <w:ilvl w:val="0"/>
          <w:numId w:val="0"/>
        </w:numPr>
        <w:spacing w:before="93"/>
        <w:ind w:leftChars="0" w:firstLine="640" w:firstLineChars="200"/>
        <w:rPr>
          <w:rFonts w:ascii="仿宋_GB2312" w:eastAsia="仿宋_GB2312"/>
          <w:color w:val="auto"/>
          <w:sz w:val="32"/>
          <w:szCs w:val="32"/>
          <w:highlight w:val="none"/>
        </w:rPr>
      </w:pPr>
      <w:r>
        <w:rPr>
          <w:rFonts w:hint="eastAsia" w:hAnsi="仿宋_GB2312" w:cs="仿宋_GB2312"/>
          <w:sz w:val="32"/>
          <w:szCs w:val="32"/>
          <w:lang w:val="en-US" w:eastAsia="zh-CN"/>
        </w:rPr>
        <w:t>2、</w:t>
      </w:r>
      <w:r>
        <w:rPr>
          <w:rFonts w:hint="eastAsia" w:ascii="仿宋_GB2312" w:hAnsi="仿宋_GB2312" w:eastAsia="仿宋_GB2312" w:cs="仿宋_GB2312"/>
          <w:sz w:val="32"/>
          <w:szCs w:val="32"/>
        </w:rPr>
        <w:t>城乡社区支出（类）城市基础设施配套费安排的支出（款）城市环境卫生（项）：支出决算为</w:t>
      </w:r>
      <w:r>
        <w:rPr>
          <w:rFonts w:hint="eastAsia" w:hAnsi="仿宋_GB2312" w:cs="仿宋_GB2312"/>
          <w:sz w:val="32"/>
          <w:szCs w:val="32"/>
          <w:lang w:val="en-US" w:eastAsia="zh-CN"/>
        </w:rPr>
        <w:t>247.44</w:t>
      </w:r>
      <w:r>
        <w:rPr>
          <w:rFonts w:hint="eastAsia" w:ascii="仿宋_GB2312" w:hAnsi="仿宋_GB2312" w:eastAsia="仿宋_GB2312" w:cs="仿宋_GB2312"/>
          <w:sz w:val="32"/>
          <w:szCs w:val="32"/>
        </w:rPr>
        <w:t>万元，完成预算100%.</w:t>
      </w:r>
    </w:p>
    <w:p w14:paraId="37725478">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p>
    <w:p w14:paraId="225D2263">
      <w:pPr>
        <w:numPr>
          <w:ilvl w:val="0"/>
          <w:numId w:val="0"/>
        </w:numPr>
        <w:spacing w:line="600" w:lineRule="exact"/>
        <w:ind w:left="630" w:leftChars="0"/>
        <w:outlineLvl w:val="1"/>
        <w:rPr>
          <w:rStyle w:val="34"/>
          <w:rFonts w:ascii="Times New Roman" w:hAnsi="Times New Roman" w:eastAsia="黑体"/>
          <w:b w:val="0"/>
          <w:color w:val="auto"/>
          <w:highlight w:val="none"/>
        </w:rPr>
      </w:pPr>
      <w:bookmarkStart w:id="50" w:name="_Toc15396611"/>
      <w:bookmarkStart w:id="51" w:name="_Toc15377219"/>
      <w:r>
        <w:rPr>
          <w:rStyle w:val="34"/>
          <w:rFonts w:hint="eastAsia" w:ascii="Times New Roman" w:hAnsi="Times New Roman" w:eastAsia="黑体"/>
          <w:b w:val="0"/>
          <w:color w:val="auto"/>
          <w:highlight w:val="none"/>
          <w:lang w:eastAsia="zh-CN"/>
        </w:rPr>
        <w:t>九、</w:t>
      </w:r>
      <w:r>
        <w:rPr>
          <w:rStyle w:val="34"/>
          <w:rFonts w:hint="eastAsia" w:ascii="Times New Roman" w:hAnsi="Times New Roman" w:eastAsia="黑体"/>
          <w:b w:val="0"/>
          <w:color w:val="auto"/>
          <w:highlight w:val="none"/>
        </w:rPr>
        <w:t>国有资本经营预算支出决算情况说明</w:t>
      </w:r>
      <w:bookmarkEnd w:id="50"/>
      <w:bookmarkEnd w:id="51"/>
    </w:p>
    <w:p w14:paraId="799ED484">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。与2023年度相比，国有资本经营预算财政拨款支出</w:t>
      </w:r>
      <w:r>
        <w:rPr>
          <w:rFonts w:hint="eastAsia" w:eastAsia="仿宋_GB2312" w:cs="仿宋_GB2312"/>
          <w:color w:val="auto"/>
          <w:kern w:val="2"/>
          <w:sz w:val="32"/>
          <w:szCs w:val="32"/>
          <w:highlight w:val="none"/>
          <w:lang w:val="en-US" w:eastAsia="zh-CN" w:bidi="ar-SA"/>
        </w:rPr>
        <w:t>数与上年度持平。</w:t>
      </w:r>
    </w:p>
    <w:p w14:paraId="53AAAD57">
      <w:pPr>
        <w:numPr>
          <w:ilvl w:val="0"/>
          <w:numId w:val="0"/>
        </w:numPr>
        <w:spacing w:line="600" w:lineRule="exact"/>
        <w:ind w:left="630" w:leftChars="0"/>
        <w:outlineLvl w:val="1"/>
        <w:rPr>
          <w:rStyle w:val="34"/>
          <w:rFonts w:hint="eastAsia" w:ascii="Times New Roman" w:hAnsi="Times New Roman" w:eastAsia="黑体"/>
          <w:b w:val="0"/>
          <w:color w:val="auto"/>
          <w:highlight w:val="none"/>
        </w:rPr>
      </w:pPr>
      <w:bookmarkStart w:id="52" w:name="_Toc15377221"/>
      <w:bookmarkStart w:id="53" w:name="_Toc15396612"/>
      <w:r>
        <w:rPr>
          <w:rStyle w:val="34"/>
          <w:rFonts w:hint="eastAsia" w:ascii="Times New Roman" w:hAnsi="Times New Roman" w:eastAsia="黑体"/>
          <w:b w:val="0"/>
          <w:color w:val="auto"/>
          <w:highlight w:val="none"/>
          <w:lang w:eastAsia="zh-CN"/>
        </w:rPr>
        <w:t>十、</w:t>
      </w:r>
      <w:r>
        <w:rPr>
          <w:rStyle w:val="34"/>
          <w:rFonts w:hint="eastAsia" w:ascii="Times New Roman" w:hAnsi="Times New Roman" w:eastAsia="黑体"/>
          <w:b w:val="0"/>
          <w:color w:val="auto"/>
          <w:highlight w:val="none"/>
        </w:rPr>
        <w:t>其他重要事项的情况说明</w:t>
      </w:r>
      <w:bookmarkEnd w:id="52"/>
      <w:bookmarkEnd w:id="53"/>
    </w:p>
    <w:p w14:paraId="0BAE10E2">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4" w:name="_Toc15377222"/>
      <w:r>
        <w:rPr>
          <w:rFonts w:hint="eastAsia" w:ascii="Times New Roman" w:hAnsi="Times New Roman" w:eastAsia="楷体_GB2312" w:cs="楷体_GB2312"/>
          <w:b/>
          <w:color w:val="auto"/>
          <w:sz w:val="32"/>
          <w:szCs w:val="32"/>
          <w:highlight w:val="none"/>
        </w:rPr>
        <w:t>（一）机关运行经费支出情况</w:t>
      </w:r>
      <w:bookmarkEnd w:id="54"/>
    </w:p>
    <w:p w14:paraId="7BD1B058">
      <w:pPr>
        <w:spacing w:line="600" w:lineRule="exact"/>
        <w:ind w:firstLine="640"/>
        <w:rPr>
          <w:rFonts w:hint="eastAsia" w:ascii="仿宋_GB2312" w:eastAsia="仿宋_GB2312"/>
          <w:color w:val="auto"/>
          <w:sz w:val="32"/>
          <w:szCs w:val="32"/>
          <w:highlight w:val="none"/>
          <w:lang w:val="en-US" w:eastAsia="zh-CN"/>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乐山市五通桥区牛华镇人民政府</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106.29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元，比2023年度减少</w:t>
      </w:r>
      <w:r>
        <w:rPr>
          <w:rFonts w:hint="eastAsia" w:eastAsia="仿宋_GB2312" w:cs="仿宋_GB2312"/>
          <w:color w:val="auto"/>
          <w:kern w:val="2"/>
          <w:sz w:val="32"/>
          <w:szCs w:val="32"/>
          <w:highlight w:val="none"/>
          <w:lang w:val="en-US" w:eastAsia="zh-CN" w:bidi="ar-SA"/>
        </w:rPr>
        <w:t>25.94</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19.62</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一是</w:t>
      </w:r>
      <w:r>
        <w:rPr>
          <w:rFonts w:hint="eastAsia" w:ascii="仿宋_GB2312" w:eastAsia="仿宋_GB2312"/>
          <w:color w:val="auto"/>
          <w:sz w:val="32"/>
          <w:szCs w:val="32"/>
          <w:highlight w:val="none"/>
          <w:lang w:val="en-US" w:eastAsia="zh-CN"/>
        </w:rPr>
        <w:t>因机关工作人员为按时完成项目进度，抽调机关大部分工作人员参与到政府中心工作中去，差旅费等运行通过项目工作经费报销；二是人员减少，人员经费减少。</w:t>
      </w:r>
    </w:p>
    <w:p w14:paraId="035FF586">
      <w:pPr>
        <w:pStyle w:val="9"/>
        <w:rPr>
          <w:rFonts w:hint="eastAsia"/>
          <w:lang w:val="en-US" w:eastAsia="zh-CN"/>
        </w:rPr>
      </w:pPr>
    </w:p>
    <w:p w14:paraId="77F542D7">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5" w:name="_Toc15377223"/>
      <w:r>
        <w:rPr>
          <w:rFonts w:hint="eastAsia" w:ascii="Times New Roman" w:hAnsi="Times New Roman" w:eastAsia="楷体_GB2312" w:cs="楷体_GB2312"/>
          <w:b/>
          <w:color w:val="auto"/>
          <w:sz w:val="32"/>
          <w:szCs w:val="32"/>
          <w:highlight w:val="none"/>
        </w:rPr>
        <w:t>（二）政府采购支出情况</w:t>
      </w:r>
      <w:bookmarkEnd w:id="55"/>
    </w:p>
    <w:p w14:paraId="738185CB">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乐山市五通桥区牛华镇人民政府</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118.01</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118.01</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w:t>
      </w:r>
      <w:r>
        <w:rPr>
          <w:rFonts w:hint="eastAsia" w:ascii="仿宋_GB2312" w:hAnsi="仿宋_GB2312" w:eastAsia="仿宋_GB2312" w:cs="仿宋_GB2312"/>
          <w:sz w:val="32"/>
          <w:szCs w:val="32"/>
          <w:lang w:val="en-US" w:eastAsia="zh-CN"/>
        </w:rPr>
        <w:t>牛华镇农村公路破损路面修补项目，对我镇三塔村、汤家坝村域内破损路面，铺设水泥混凝土路面、沥青混凝土面层等</w:t>
      </w:r>
      <w:r>
        <w:rPr>
          <w:rFonts w:hint="eastAsia" w:ascii="仿宋_GB2312" w:hAnsi="仿宋_GB2312" w:eastAsia="仿宋_GB2312" w:cs="仿宋_GB2312"/>
          <w:color w:val="auto"/>
          <w:kern w:val="2"/>
          <w:sz w:val="32"/>
          <w:szCs w:val="32"/>
          <w:highlight w:val="none"/>
          <w:lang w:val="en-US" w:eastAsia="zh-CN" w:bidi="ar-SA"/>
        </w:rPr>
        <w:t>。授予中小企业合同金额</w:t>
      </w:r>
      <w:r>
        <w:rPr>
          <w:rFonts w:hint="eastAsia" w:ascii="仿宋_GB2312" w:hAnsi="仿宋_GB2312" w:eastAsia="仿宋_GB2312" w:cs="仿宋_GB2312"/>
          <w:sz w:val="32"/>
          <w:szCs w:val="32"/>
        </w:rPr>
        <w:t>118.01</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14:paraId="389A808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72E3B4CB">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6" w:name="_Toc15377224"/>
      <w:r>
        <w:rPr>
          <w:rFonts w:hint="eastAsia" w:ascii="Times New Roman" w:hAnsi="Times New Roman" w:eastAsia="楷体_GB2312" w:cs="楷体_GB2312"/>
          <w:b/>
          <w:color w:val="auto"/>
          <w:sz w:val="32"/>
          <w:szCs w:val="32"/>
          <w:highlight w:val="none"/>
        </w:rPr>
        <w:t>（三）国有资产占有使用情况</w:t>
      </w:r>
      <w:bookmarkEnd w:id="56"/>
    </w:p>
    <w:p w14:paraId="18044D7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乐山市五通桥区牛华镇人民政府</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3</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3</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辆，其他用车主要是用于</w:t>
      </w:r>
      <w:r>
        <w:rPr>
          <w:rFonts w:hint="eastAsia" w:ascii="仿宋_GB2312" w:hAnsi="仿宋_GB2312" w:eastAsia="仿宋_GB2312" w:cs="仿宋_GB2312"/>
          <w:sz w:val="32"/>
          <w:szCs w:val="32"/>
        </w:rPr>
        <w:t>往返市、区开会、应急维稳、上报材料以及下村（社区）开展工作等</w:t>
      </w:r>
      <w:r>
        <w:rPr>
          <w:rFonts w:hint="eastAsia" w:ascii="仿宋_GB2312" w:hAnsi="仿宋_GB2312" w:eastAsia="仿宋_GB2312" w:cs="仿宋_GB2312"/>
          <w:color w:val="auto"/>
          <w:kern w:val="2"/>
          <w:sz w:val="32"/>
          <w:szCs w:val="32"/>
          <w:highlight w:val="none"/>
          <w:lang w:val="en-US" w:eastAsia="zh-CN" w:bidi="ar-SA"/>
        </w:rPr>
        <w:t>。单价100万元（含）以上设备（不含车辆）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14:paraId="50AB97F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7B9F7BEF">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14:paraId="5F5F339D">
      <w:pPr>
        <w:spacing w:line="58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本部门</w:t>
      </w:r>
      <w:r>
        <w:rPr>
          <w:rFonts w:hint="eastAsia" w:ascii="Times New Roman" w:hAnsi="Times New Roman" w:eastAsia="仿宋_GB2312" w:cs="仿宋_GB2312"/>
          <w:color w:val="auto"/>
          <w:kern w:val="2"/>
          <w:sz w:val="32"/>
          <w:szCs w:val="32"/>
          <w:highlight w:val="none"/>
          <w:lang w:val="en-US" w:eastAsia="zh-CN" w:bidi="ar-SA"/>
        </w:rPr>
        <w:t>在2024年度预算编制阶段，</w:t>
      </w:r>
      <w:r>
        <w:rPr>
          <w:rFonts w:hint="eastAsia" w:ascii="仿宋_GB2312" w:hAnsi="仿宋_GB2312" w:eastAsia="仿宋_GB2312" w:cs="仿宋_GB2312"/>
          <w:sz w:val="32"/>
          <w:szCs w:val="32"/>
        </w:rPr>
        <w:t>组织对农村基层组织活动及办公经费、农村公共服务运行维护、乡村振兴驻村第一书记和工作队帮扶事务管理、关心下一代工作事务管理等</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个项目编制了绩效目标</w:t>
      </w:r>
      <w:r>
        <w:rPr>
          <w:rFonts w:hint="eastAsia" w:ascii="仿宋_GB2312" w:hAnsi="仿宋_GB2312" w:eastAsia="仿宋_GB2312" w:cs="仿宋_GB2312"/>
          <w:color w:val="auto"/>
          <w:sz w:val="32"/>
          <w:szCs w:val="32"/>
          <w:highlight w:val="none"/>
        </w:rPr>
        <w:t>，预算执行过程中，选取</w:t>
      </w:r>
      <w:r>
        <w:rPr>
          <w:rFonts w:hint="eastAsia" w:ascii="仿宋_GB2312" w:hAnsi="仿宋_GB2312" w:eastAsia="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个项目开展绩效监控</w:t>
      </w:r>
      <w:r>
        <w:rPr>
          <w:rFonts w:hint="eastAsia" w:ascii="仿宋_GB2312" w:hAnsi="仿宋_GB2312" w:eastAsia="仿宋_GB2312" w:cs="仿宋_GB2312"/>
          <w:color w:val="auto"/>
          <w:sz w:val="32"/>
          <w:szCs w:val="32"/>
          <w:highlight w:val="none"/>
          <w:lang w:eastAsia="zh-CN"/>
        </w:rPr>
        <w:t>。</w:t>
      </w:r>
    </w:p>
    <w:p w14:paraId="62207EC7">
      <w:pPr>
        <w:spacing w:line="58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组织对2024年度一般公共预算、政府性基金预算、国有资本经营预算、社会保险基金预算以及资本资产、债券资金等全面开展绩效自评，形成</w:t>
      </w:r>
      <w:r>
        <w:rPr>
          <w:rFonts w:hint="eastAsia" w:eastAsia="仿宋_GB2312" w:cs="仿宋_GB2312"/>
          <w:color w:val="auto"/>
          <w:kern w:val="2"/>
          <w:sz w:val="32"/>
          <w:szCs w:val="32"/>
          <w:highlight w:val="none"/>
          <w:lang w:val="en-US" w:eastAsia="zh-CN" w:bidi="ar-SA"/>
        </w:rPr>
        <w:t>牛华镇</w:t>
      </w:r>
      <w:r>
        <w:rPr>
          <w:rFonts w:hint="eastAsia" w:ascii="Times New Roman" w:hAnsi="Times New Roman" w:eastAsia="仿宋_GB2312" w:cs="仿宋_GB2312"/>
          <w:color w:val="auto"/>
          <w:kern w:val="2"/>
          <w:sz w:val="32"/>
          <w:szCs w:val="32"/>
          <w:highlight w:val="none"/>
          <w:lang w:val="en-US" w:eastAsia="zh-CN" w:bidi="ar-SA"/>
        </w:rPr>
        <w:t>部门整体（含部门预算项目）绩效自评报告</w:t>
      </w:r>
      <w:r>
        <w:rPr>
          <w:rFonts w:hint="eastAsia" w:eastAsia="仿宋_GB2312" w:cs="仿宋_GB2312"/>
          <w:color w:val="auto"/>
          <w:kern w:val="2"/>
          <w:sz w:val="32"/>
          <w:szCs w:val="32"/>
          <w:highlight w:val="none"/>
          <w:lang w:val="en-US" w:eastAsia="zh-CN" w:bidi="ar-SA"/>
        </w:rPr>
        <w:t>、牛华镇农村生活垃圾处理等专项预算项目绩效自评报告即：</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年乐山市五通桥区牛华镇人民政府部门整体绩效评价报告》</w:t>
      </w:r>
      <w:r>
        <w:rPr>
          <w:rFonts w:hint="eastAsia" w:ascii="仿宋_GB2312" w:hAnsi="仿宋_GB2312" w:eastAsia="仿宋_GB2312" w:cs="仿宋_GB2312"/>
          <w:sz w:val="32"/>
          <w:szCs w:val="32"/>
          <w:lang w:eastAsia="zh-CN"/>
        </w:rPr>
        <w:t>、《</w:t>
      </w:r>
      <w:r>
        <w:rPr>
          <w:rFonts w:hint="eastAsia" w:ascii="Times New Roman" w:hAnsi="Times New Roman" w:eastAsia="仿宋_GB2312" w:cs="仿宋_GB2312"/>
          <w:color w:val="auto"/>
          <w:kern w:val="2"/>
          <w:sz w:val="32"/>
          <w:szCs w:val="32"/>
          <w:highlight w:val="none"/>
          <w:lang w:val="en-US" w:eastAsia="zh-CN" w:bidi="ar-SA"/>
        </w:rPr>
        <w:t>牛华镇农村生活垃圾处理项目专项预算项目绩效自评报告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详见</w:t>
      </w:r>
      <w:r>
        <w:rPr>
          <w:rFonts w:hint="eastAsia" w:ascii="仿宋_GB2312" w:hAnsi="仿宋_GB2312" w:eastAsia="仿宋_GB2312" w:cs="仿宋_GB2312"/>
          <w:sz w:val="32"/>
          <w:szCs w:val="32"/>
        </w:rPr>
        <w:t>附件（第四部分）</w:t>
      </w:r>
      <w:r>
        <w:rPr>
          <w:rFonts w:hint="eastAsia" w:ascii="仿宋_GB2312" w:hAnsi="仿宋_GB2312" w:eastAsia="仿宋_GB2312" w:cs="仿宋_GB2312"/>
          <w:sz w:val="32"/>
          <w:szCs w:val="32"/>
          <w:lang w:eastAsia="zh-CN"/>
        </w:rPr>
        <w:t>。</w:t>
      </w:r>
    </w:p>
    <w:p w14:paraId="7932DD4D">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p>
    <w:p w14:paraId="4AFF5C61">
      <w:pPr>
        <w:pStyle w:val="9"/>
        <w:rPr>
          <w:rFonts w:hint="eastAsia" w:ascii="Times New Roman" w:hAnsi="Times New Roman" w:eastAsia="仿宋_GB2312" w:cs="仿宋_GB2312"/>
          <w:b/>
          <w:bCs/>
          <w:color w:val="auto"/>
          <w:kern w:val="2"/>
          <w:sz w:val="32"/>
          <w:szCs w:val="32"/>
          <w:highlight w:val="none"/>
          <w:lang w:val="en-US" w:eastAsia="zh-CN" w:bidi="ar-SA"/>
        </w:rPr>
      </w:pPr>
    </w:p>
    <w:p w14:paraId="00B8AFFE">
      <w:pPr>
        <w:pStyle w:val="9"/>
        <w:rPr>
          <w:rFonts w:hint="eastAsia" w:ascii="Times New Roman" w:hAnsi="Times New Roman" w:eastAsia="仿宋_GB2312" w:cs="仿宋_GB2312"/>
          <w:b/>
          <w:bCs/>
          <w:color w:val="auto"/>
          <w:kern w:val="2"/>
          <w:sz w:val="32"/>
          <w:szCs w:val="32"/>
          <w:highlight w:val="none"/>
          <w:lang w:val="en-US" w:eastAsia="zh-CN" w:bidi="ar-SA"/>
        </w:rPr>
      </w:pPr>
    </w:p>
    <w:p w14:paraId="26440CB0">
      <w:pPr>
        <w:pStyle w:val="9"/>
        <w:rPr>
          <w:rFonts w:hint="eastAsia" w:ascii="Times New Roman" w:hAnsi="Times New Roman" w:eastAsia="仿宋_GB2312" w:cs="仿宋_GB2312"/>
          <w:b/>
          <w:bCs/>
          <w:color w:val="auto"/>
          <w:kern w:val="2"/>
          <w:sz w:val="32"/>
          <w:szCs w:val="32"/>
          <w:highlight w:val="none"/>
          <w:lang w:val="en-US" w:eastAsia="zh-CN" w:bidi="ar-SA"/>
        </w:rPr>
      </w:pPr>
    </w:p>
    <w:p w14:paraId="44EE9D1B">
      <w:pPr>
        <w:pStyle w:val="9"/>
        <w:rPr>
          <w:rFonts w:hint="eastAsia" w:ascii="Times New Roman" w:hAnsi="Times New Roman" w:eastAsia="仿宋_GB2312" w:cs="仿宋_GB2312"/>
          <w:b/>
          <w:bCs/>
          <w:color w:val="auto"/>
          <w:kern w:val="2"/>
          <w:sz w:val="32"/>
          <w:szCs w:val="32"/>
          <w:highlight w:val="none"/>
          <w:lang w:val="en-US" w:eastAsia="zh-CN" w:bidi="ar-SA"/>
        </w:rPr>
      </w:pPr>
    </w:p>
    <w:p w14:paraId="63DDB268">
      <w:pPr>
        <w:pStyle w:val="9"/>
        <w:rPr>
          <w:rFonts w:hint="eastAsia" w:ascii="Times New Roman" w:hAnsi="Times New Roman" w:eastAsia="仿宋_GB2312" w:cs="仿宋_GB2312"/>
          <w:b/>
          <w:bCs/>
          <w:color w:val="auto"/>
          <w:kern w:val="2"/>
          <w:sz w:val="32"/>
          <w:szCs w:val="32"/>
          <w:highlight w:val="none"/>
          <w:lang w:val="en-US" w:eastAsia="zh-CN" w:bidi="ar-SA"/>
        </w:rPr>
      </w:pPr>
    </w:p>
    <w:p w14:paraId="23F2D067">
      <w:pPr>
        <w:pStyle w:val="9"/>
        <w:rPr>
          <w:rFonts w:hint="eastAsia" w:ascii="Times New Roman" w:hAnsi="Times New Roman" w:eastAsia="仿宋_GB2312" w:cs="仿宋_GB2312"/>
          <w:b/>
          <w:bCs/>
          <w:color w:val="auto"/>
          <w:kern w:val="2"/>
          <w:sz w:val="32"/>
          <w:szCs w:val="32"/>
          <w:highlight w:val="none"/>
          <w:lang w:val="en-US" w:eastAsia="zh-CN" w:bidi="ar-SA"/>
        </w:rPr>
      </w:pPr>
    </w:p>
    <w:p w14:paraId="6182EA9B">
      <w:pPr>
        <w:pStyle w:val="9"/>
        <w:rPr>
          <w:rFonts w:hint="eastAsia" w:ascii="Times New Roman" w:hAnsi="Times New Roman" w:eastAsia="仿宋_GB2312" w:cs="仿宋_GB2312"/>
          <w:b/>
          <w:bCs/>
          <w:color w:val="auto"/>
          <w:kern w:val="2"/>
          <w:sz w:val="32"/>
          <w:szCs w:val="32"/>
          <w:highlight w:val="none"/>
          <w:lang w:val="en-US" w:eastAsia="zh-CN" w:bidi="ar-SA"/>
        </w:rPr>
      </w:pPr>
    </w:p>
    <w:p w14:paraId="451AD23A">
      <w:pPr>
        <w:spacing w:line="600" w:lineRule="exact"/>
        <w:rPr>
          <w:rFonts w:hint="eastAsia" w:ascii="Times New Roman" w:hAnsi="Times New Roman" w:eastAsia="仿宋_GB2312" w:cs="仿宋_GB2312"/>
          <w:color w:val="auto"/>
          <w:kern w:val="2"/>
          <w:sz w:val="32"/>
          <w:szCs w:val="32"/>
          <w:highlight w:val="none"/>
          <w:lang w:val="en-US" w:eastAsia="zh-CN" w:bidi="ar-SA"/>
        </w:rPr>
      </w:pPr>
      <w:bookmarkStart w:id="75" w:name="_GoBack"/>
      <w:bookmarkEnd w:id="75"/>
    </w:p>
    <w:p w14:paraId="7ED51196">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57" w:name="_Toc15377225"/>
      <w:bookmarkStart w:id="58"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57"/>
      <w:bookmarkEnd w:id="58"/>
    </w:p>
    <w:p w14:paraId="1DA0E8AA">
      <w:pPr>
        <w:spacing w:line="600" w:lineRule="exact"/>
        <w:jc w:val="left"/>
        <w:rPr>
          <w:rFonts w:ascii="Times New Roman" w:hAnsi="Times New Roman"/>
          <w:b/>
          <w:color w:val="auto"/>
          <w:sz w:val="44"/>
          <w:szCs w:val="44"/>
          <w:highlight w:val="none"/>
        </w:rPr>
      </w:pPr>
    </w:p>
    <w:p w14:paraId="0176219D">
      <w:pPr>
        <w:pStyle w:val="31"/>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1.财政拨款收入：指单位从同级财政部门取得的财政预算资金。</w:t>
      </w:r>
    </w:p>
    <w:p w14:paraId="35082C5C">
      <w:pPr>
        <w:pStyle w:val="31"/>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2.事业收入：指事业单位开展专业业务活动及辅助活动取得的收入。</w:t>
      </w:r>
    </w:p>
    <w:p w14:paraId="7B3847C6">
      <w:pPr>
        <w:pStyle w:val="31"/>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3.经营收入：指事业单位在专业业务活动及其辅助活动之外开展非独立核算经营活动取得的收入。</w:t>
      </w:r>
    </w:p>
    <w:p w14:paraId="1763A2AC">
      <w:pPr>
        <w:pStyle w:val="31"/>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4.其他收入：指单位取得的除上述收入以外的各项收入。 </w:t>
      </w:r>
    </w:p>
    <w:p w14:paraId="5410CCFF">
      <w:pPr>
        <w:pStyle w:val="31"/>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5.使用非财政拨款结余：指事业单位使用以前年度积累的非财政拨款结余弥补当年收支差额的金额。 </w:t>
      </w:r>
    </w:p>
    <w:p w14:paraId="728CD49A">
      <w:pPr>
        <w:pStyle w:val="31"/>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6.年初结转和结余：指以前年度尚未完成、结转到本年按有关规定继续使用的资金。 </w:t>
      </w:r>
    </w:p>
    <w:p w14:paraId="125AB9F0">
      <w:pPr>
        <w:pStyle w:val="31"/>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7.结余分配：指事业单位按照会计制度规定缴纳的所得税、提取的专用结余以及转入非财政拨款结余的金额等。</w:t>
      </w:r>
    </w:p>
    <w:p w14:paraId="65C9C350">
      <w:pPr>
        <w:pStyle w:val="31"/>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8、年末结转和结余：指单位按有关规定结转到下年或以后年度继续使用的资金。</w:t>
      </w:r>
    </w:p>
    <w:p w14:paraId="514DD08F">
      <w:pPr>
        <w:pStyle w:val="31"/>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9．一般公共服务：反映政府提供一般公共服务的支出。</w:t>
      </w:r>
    </w:p>
    <w:p w14:paraId="56A1DC0F">
      <w:pPr>
        <w:pStyle w:val="31"/>
        <w:spacing w:line="560" w:lineRule="exact"/>
        <w:ind w:firstLine="1280" w:firstLineChars="4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一般公共服务（类）</w:t>
      </w:r>
      <w:r>
        <w:rPr>
          <w:rFonts w:hint="eastAsia" w:ascii="仿宋_GB2312" w:hAnsi="仿宋_GB2312" w:eastAsia="仿宋_GB2312" w:cs="仿宋_GB2312"/>
          <w:color w:val="000000"/>
          <w:sz w:val="32"/>
          <w:szCs w:val="32"/>
          <w:lang w:val="en-US" w:eastAsia="zh-CN"/>
        </w:rPr>
        <w:t>人大事务</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其他人大事务</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反映除上述项目以外的其他人大事务支出。</w:t>
      </w:r>
    </w:p>
    <w:p w14:paraId="022EFAF4">
      <w:pPr>
        <w:pStyle w:val="31"/>
        <w:spacing w:line="560" w:lineRule="exact"/>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一般公共服务（类）政府办公厅（室）及相关机构事务（款）行政运行（项）：反映行政单位（包括实行公务员管理的事业单位）的基本支出。</w:t>
      </w:r>
    </w:p>
    <w:p w14:paraId="47B71131">
      <w:pPr>
        <w:pStyle w:val="18"/>
        <w:shd w:val="clear" w:color="auto" w:fill="FFFFFF"/>
        <w:spacing w:before="360" w:beforeAutospacing="0" w:after="360" w:afterAutospacing="0"/>
        <w:ind w:firstLine="1049" w:firstLineChars="328"/>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一般公共服务（类）政府办公厅（室）及相关机构事务（款）其他政府办公厅（室）及相关机构事务支出（项）：反映除上述项目（行政运行、机关服务等）以外的其他政府办公厅（室）及相关机构事务支出。</w:t>
      </w:r>
    </w:p>
    <w:p w14:paraId="325BDD4E">
      <w:pPr>
        <w:pStyle w:val="18"/>
        <w:shd w:val="clear" w:color="auto" w:fill="FFFFFF"/>
        <w:spacing w:before="360" w:beforeAutospacing="0" w:after="360" w:afterAutospacing="0"/>
        <w:ind w:firstLine="1049" w:firstLineChars="328"/>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一般公共服务（类）党委办公厅（室）及相关机构事务（款）一般行政管理事务（项）：反映行政单位（包括实行公务员管理的事业单位）未单独设置项级科目的其他项目支出。</w:t>
      </w:r>
    </w:p>
    <w:p w14:paraId="5B03A675">
      <w:pPr>
        <w:pStyle w:val="18"/>
        <w:shd w:val="clear" w:color="auto" w:fill="FFFFFF"/>
        <w:spacing w:before="360" w:beforeAutospacing="0" w:after="360" w:afterAutospacing="0"/>
        <w:ind w:firstLine="1049" w:firstLineChars="328"/>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一般公共服务（类）</w:t>
      </w:r>
      <w:r>
        <w:rPr>
          <w:rFonts w:hint="eastAsia" w:ascii="仿宋_GB2312" w:hAnsi="仿宋_GB2312" w:eastAsia="仿宋_GB2312" w:cs="仿宋_GB2312"/>
          <w:color w:val="000000"/>
          <w:sz w:val="32"/>
          <w:szCs w:val="32"/>
          <w:lang w:val="en-US" w:eastAsia="zh-CN"/>
        </w:rPr>
        <w:t>市场监督管理事务</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食品安全监管</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反映食品安全监管等专项工作支出。</w:t>
      </w:r>
    </w:p>
    <w:p w14:paraId="571CAEB1">
      <w:pPr>
        <w:pStyle w:val="18"/>
        <w:shd w:val="clear" w:color="auto" w:fill="FFFFFF"/>
        <w:spacing w:before="360" w:beforeAutospacing="0" w:after="360" w:afterAutospacing="0"/>
        <w:ind w:firstLine="1049" w:firstLineChars="328"/>
        <w:jc w:val="both"/>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pP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一般公共服务（类）</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市场监督管理事务</w:t>
      </w: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（款）</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其他市场监督管理事务</w:t>
      </w: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（项）：</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反映用于除上述项目以外其他市场监督管理事务方面的支出。</w:t>
      </w:r>
    </w:p>
    <w:p w14:paraId="1E2F6B46">
      <w:pPr>
        <w:pStyle w:val="18"/>
        <w:numPr>
          <w:ilvl w:val="0"/>
          <w:numId w:val="14"/>
        </w:numPr>
        <w:shd w:val="clear" w:color="auto" w:fill="FFFFFF"/>
        <w:spacing w:before="360" w:beforeAutospacing="0" w:after="360" w:afterAutospacing="0"/>
        <w:ind w:leftChars="100" w:right="0" w:rightChars="0" w:firstLine="320" w:firstLineChars="10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公共安全支出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反映政府维护社会公共安全方面的支出。</w:t>
      </w:r>
    </w:p>
    <w:p w14:paraId="49004917">
      <w:pPr>
        <w:pStyle w:val="18"/>
        <w:shd w:val="clear" w:color="auto" w:fill="FFFFFF"/>
        <w:spacing w:before="360" w:beforeAutospacing="0" w:after="360" w:afterAutospacing="0"/>
        <w:ind w:firstLine="1049" w:firstLineChars="328"/>
        <w:jc w:val="both"/>
        <w:rPr>
          <w:rFonts w:hint="default"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pP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公共安全支出</w:t>
      </w: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（类）</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公安</w:t>
      </w: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（款）</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行政运行</w:t>
      </w:r>
      <w:r>
        <w:rPr>
          <w:rFonts w:hint="eastAsia" w:ascii="仿宋_GB2312" w:hAnsi="仿宋_GB2312" w:eastAsia="仿宋_GB2312" w:cs="仿宋_GB2312"/>
          <w:color w:val="000000"/>
          <w:sz w:val="32"/>
          <w:szCs w:val="32"/>
          <w14:textFill>
            <w14:gradFill>
              <w14:gsLst>
                <w14:gs w14:pos="50410">
                  <w14:srgbClr w14:val="1F1F1F"/>
                </w14:gs>
                <w14:gs w14:pos="0">
                  <w14:srgbClr w14:val="020202"/>
                </w14:gs>
                <w14:gs w14:pos="100000">
                  <w14:srgbClr w14:val="424242"/>
                </w14:gs>
              </w14:gsLst>
              <w14:lin w14:ang="5400000" w14:scaled="1"/>
            </w14:gradFill>
          </w14:textFill>
        </w:rPr>
        <w:t>（项）：</w:t>
      </w:r>
      <w:r>
        <w:rPr>
          <w:rFonts w:hint="eastAsia" w:ascii="仿宋_GB2312" w:hAnsi="仿宋_GB2312" w:eastAsia="仿宋_GB2312" w:cs="仿宋_GB2312"/>
          <w:color w:val="000000"/>
          <w:sz w:val="32"/>
          <w:szCs w:val="32"/>
          <w:lang w:val="en-US" w:eastAsia="zh-CN"/>
          <w14:textFill>
            <w14:gradFill>
              <w14:gsLst>
                <w14:gs w14:pos="50410">
                  <w14:srgbClr w14:val="1F1F1F"/>
                </w14:gs>
                <w14:gs w14:pos="0">
                  <w14:srgbClr w14:val="020202"/>
                </w14:gs>
                <w14:gs w14:pos="100000">
                  <w14:srgbClr w14:val="424242"/>
                </w14:gs>
              </w14:gsLst>
              <w14:lin w14:ang="5400000" w14:scaled="1"/>
            </w14:gradFill>
          </w14:textFill>
        </w:rPr>
        <w:t>反映行政单位（包括实行公务员管理的事业单位）的基本支出。</w:t>
      </w:r>
    </w:p>
    <w:p w14:paraId="4C7DAE70">
      <w:pPr>
        <w:pStyle w:val="18"/>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．文化旅游体育与传媒支出：反映政府在文化、文物、体育、广播影视、新闻出版等方面的支出。</w:t>
      </w:r>
    </w:p>
    <w:p w14:paraId="2D504BF7">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文化旅游体育与传媒支出（类）文化和旅游（款）群众文化（项）：反映群众文化方面的支出，包括基层文化馆（站）、群众艺术馆支出等。</w:t>
      </w:r>
    </w:p>
    <w:p w14:paraId="375C88E8">
      <w:pPr>
        <w:pStyle w:val="18"/>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文化旅游体育与传媒支出（类）</w:t>
      </w:r>
      <w:r>
        <w:rPr>
          <w:rFonts w:hint="eastAsia" w:ascii="仿宋_GB2312" w:hAnsi="仿宋_GB2312" w:eastAsia="仿宋_GB2312" w:cs="仿宋_GB2312"/>
          <w:color w:val="000000"/>
          <w:sz w:val="32"/>
          <w:szCs w:val="32"/>
          <w:lang w:val="en-US" w:eastAsia="zh-CN"/>
        </w:rPr>
        <w:t>文化和旅游</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其他文化和旅游支出</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反映上述项目以外其他用于文化和旅游方面的支出。</w:t>
      </w:r>
    </w:p>
    <w:p w14:paraId="5BB8D0B5">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12</w:t>
      </w:r>
      <w:r>
        <w:rPr>
          <w:rFonts w:hint="eastAsia" w:ascii="仿宋_GB2312" w:hAnsi="仿宋_GB2312" w:eastAsia="仿宋_GB2312" w:cs="仿宋_GB2312"/>
          <w:color w:val="000000"/>
          <w:sz w:val="32"/>
          <w:szCs w:val="32"/>
        </w:rPr>
        <w:t>．社会保障和就业支出：反映政府在社会保障与就业方面的支出。</w:t>
      </w:r>
    </w:p>
    <w:p w14:paraId="45B85156">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社会保障和就业支出（类）人力资源和社会保障管理事务（款）其他人力资源和社会保障管理事务支出（项）：反映除上述项目以外其他用于人力资源和社会保障管理事务方面的支出。</w:t>
      </w:r>
    </w:p>
    <w:p w14:paraId="0EE14E0E">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民政管理事务（款）基层政权建设和社区治理（项）：反映开展城乡社区治理、城乡社区服务（乡村便民服务）、村（居）民自治、村（居）务公开、乡镇（街道）服务能力建设等基层政权建设和社区治理工作的支出。</w:t>
      </w:r>
    </w:p>
    <w:p w14:paraId="0581C8F2">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民政管理事务（款）其他民政管理事务支出（项）：反映民政部门接待来访、法制建设、政策宣传方面的支出，以及开展优抚安置、救灾减灾、社会救助、社会福利、婚姻登记、社会事务、信息化建设等专项业务的支出。</w:t>
      </w:r>
    </w:p>
    <w:p w14:paraId="6C1A69E5">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社会保障和就业支出（类）行政事业单位养老支出（款）机关事业单位基本养老保险缴费支出（项）：反映机关事业单位实施养老保险制度由单位缴纳的基本养老保险费支出。</w:t>
      </w:r>
    </w:p>
    <w:p w14:paraId="380B0B39">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社会保障和就业支出（类）行政事业单位养老支出（款）机关事业单位职业年金缴费支出（项）：反映机关事业单位实施养老保险制度由单位实际缴纳的职业年金支出。</w:t>
      </w:r>
    </w:p>
    <w:p w14:paraId="5F53953B">
      <w:pPr>
        <w:pStyle w:val="18"/>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社会保障和就业支出（类）行政事业单位养老支出（款）其他行政事业单位养老支出（项）：反映除上述项目以外其他用于行政事业单位养老方面的支出。</w:t>
      </w:r>
    </w:p>
    <w:p w14:paraId="5C071DA6">
      <w:pPr>
        <w:pStyle w:val="18"/>
        <w:shd w:val="clear" w:color="auto" w:fill="FFFFFF"/>
        <w:spacing w:before="360" w:beforeAutospacing="0" w:after="360" w:afterAutospacing="0"/>
        <w:ind w:firstLine="48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社会保障和就业支出（类）就业补助（款）</w:t>
      </w:r>
      <w:r>
        <w:rPr>
          <w:rFonts w:hint="eastAsia" w:ascii="仿宋_GB2312" w:hAnsi="仿宋_GB2312" w:eastAsia="仿宋_GB2312" w:cs="仿宋_GB2312"/>
          <w:color w:val="000000"/>
          <w:sz w:val="32"/>
          <w:szCs w:val="32"/>
          <w:lang w:val="en-US" w:eastAsia="zh-CN"/>
        </w:rPr>
        <w:t>公益性岗位补贴</w:t>
      </w:r>
      <w:r>
        <w:rPr>
          <w:rFonts w:hint="eastAsia" w:ascii="仿宋_GB2312" w:hAnsi="仿宋_GB2312" w:eastAsia="仿宋_GB2312" w:cs="仿宋_GB2312"/>
          <w:color w:val="000000"/>
          <w:sz w:val="32"/>
          <w:szCs w:val="32"/>
        </w:rPr>
        <w:t>（项）：反映</w:t>
      </w:r>
      <w:r>
        <w:rPr>
          <w:rFonts w:hint="eastAsia" w:ascii="仿宋_GB2312" w:hAnsi="仿宋_GB2312" w:eastAsia="仿宋_GB2312" w:cs="仿宋_GB2312"/>
          <w:color w:val="000000"/>
          <w:sz w:val="32"/>
          <w:szCs w:val="32"/>
          <w:lang w:val="en-US" w:eastAsia="zh-CN"/>
        </w:rPr>
        <w:t>财政对符合条件的就业困难人员在公益性岗位就业给予的岗位补贴支出。</w:t>
      </w:r>
    </w:p>
    <w:p w14:paraId="00AE3F7E">
      <w:pPr>
        <w:pStyle w:val="18"/>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社会保障和就业支出（类）就业补助（款）其他就业补助支出（项）：反映除上述项目以外按规定确定的其他用于促进就业的补助支出。</w:t>
      </w:r>
    </w:p>
    <w:p w14:paraId="4141873D">
      <w:pPr>
        <w:pStyle w:val="18"/>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社会保障和就业支出（类）抚恤（款）其他优抚支出（项）：反映除上述项目以外其他用于优抚方面的支出。</w:t>
      </w:r>
    </w:p>
    <w:p w14:paraId="1CAF68B1">
      <w:pPr>
        <w:pStyle w:val="18"/>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社会保障和就业支出（类）残疾人事业（款）其他残疾人事业支出（项）：反映除上述项目以外其他用于残疾人事业方面的支出。</w:t>
      </w:r>
    </w:p>
    <w:p w14:paraId="77206797">
      <w:pPr>
        <w:pStyle w:val="18"/>
        <w:shd w:val="clear" w:color="auto" w:fill="FFFFFF"/>
        <w:spacing w:before="360" w:beforeAutospacing="0" w:after="360" w:afterAutospacing="0"/>
        <w:ind w:firstLine="640" w:firstLineChars="20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社会保障和就业支出（类）</w:t>
      </w:r>
      <w:r>
        <w:rPr>
          <w:rFonts w:hint="eastAsia" w:ascii="仿宋_GB2312" w:hAnsi="仿宋_GB2312" w:eastAsia="仿宋_GB2312" w:cs="仿宋_GB2312"/>
          <w:color w:val="000000"/>
          <w:sz w:val="32"/>
          <w:szCs w:val="32"/>
          <w:lang w:val="en-US" w:eastAsia="zh-CN"/>
        </w:rPr>
        <w:t>临时救助</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临时救助</w:t>
      </w:r>
      <w:r>
        <w:rPr>
          <w:rFonts w:hint="eastAsia" w:ascii="仿宋_GB2312" w:hAnsi="仿宋_GB2312" w:eastAsia="仿宋_GB2312" w:cs="仿宋_GB2312"/>
          <w:color w:val="000000"/>
          <w:sz w:val="32"/>
          <w:szCs w:val="32"/>
        </w:rPr>
        <w:t>支出（项）：</w:t>
      </w:r>
      <w:r>
        <w:rPr>
          <w:rFonts w:hint="eastAsia" w:ascii="仿宋_GB2312" w:hAnsi="仿宋_GB2312" w:eastAsia="仿宋_GB2312" w:cs="仿宋_GB2312"/>
          <w:color w:val="000000"/>
          <w:sz w:val="32"/>
          <w:szCs w:val="32"/>
          <w:lang w:val="en-US" w:eastAsia="zh-CN"/>
        </w:rPr>
        <w:t>反映用于城乡生活困难居民的临时救助支出。</w:t>
      </w:r>
    </w:p>
    <w:p w14:paraId="4CF7FD00">
      <w:pPr>
        <w:pStyle w:val="18"/>
        <w:shd w:val="clear" w:color="auto" w:fill="FFFFFF"/>
        <w:spacing w:before="360" w:beforeAutospacing="0" w:after="36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社会保障和就业支出（类）其他社会保障和就业支出（款）其他社会保障和就业支出（项）：反映除上述项目以外其他用于社会保障和就业方面的支出。</w:t>
      </w:r>
    </w:p>
    <w:p w14:paraId="61D3F829">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13</w:t>
      </w:r>
      <w:r>
        <w:rPr>
          <w:rFonts w:hint="eastAsia" w:ascii="仿宋_GB2312" w:hAnsi="仿宋_GB2312" w:eastAsia="仿宋_GB2312" w:cs="仿宋_GB2312"/>
          <w:color w:val="000000"/>
          <w:sz w:val="32"/>
          <w:szCs w:val="32"/>
        </w:rPr>
        <w:t>．卫生健康支出：反映政府卫生健康管理方面的支出。</w:t>
      </w:r>
    </w:p>
    <w:p w14:paraId="492E2714">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卫生健康支出（类）公共卫生（款）</w:t>
      </w:r>
      <w:r>
        <w:rPr>
          <w:rFonts w:hint="eastAsia" w:ascii="仿宋_GB2312" w:hAnsi="仿宋_GB2312" w:eastAsia="仿宋_GB2312" w:cs="仿宋_GB2312"/>
          <w:color w:val="000000"/>
          <w:sz w:val="32"/>
          <w:szCs w:val="32"/>
          <w:lang w:val="en-US" w:eastAsia="zh-CN"/>
        </w:rPr>
        <w:t>采供血机构</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反映卫生健康部门所属采供血机构的支出</w:t>
      </w:r>
      <w:r>
        <w:rPr>
          <w:rFonts w:hint="eastAsia" w:ascii="仿宋_GB2312" w:hAnsi="仿宋_GB2312" w:eastAsia="仿宋_GB2312" w:cs="仿宋_GB2312"/>
          <w:color w:val="000000"/>
          <w:sz w:val="32"/>
          <w:szCs w:val="32"/>
        </w:rPr>
        <w:t>。</w:t>
      </w:r>
    </w:p>
    <w:p w14:paraId="5D4CDA19">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卫生健康支出（类）行政事业单位医疗（款）行政单位医疗（项）：反映财政部门集中安排的行政单位基本医疗保险缴费经费，未参加医疗保险的行政单位的公费医疗经费，按国家规定享受离休人员、红军老战士待遇人员的医疗经费。</w:t>
      </w:r>
    </w:p>
    <w:p w14:paraId="1CCD337E">
      <w:pPr>
        <w:pStyle w:val="18"/>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卫生健康支出（类）行政事业单位医疗（款）事业单位医疗（项）：反映财政部门集中安排的事业单位基本医疗保险缴费经费，未参加医疗保险的事业单位的公费医疗经费，按国家规定享受离休人员待遇人员的医疗经费。</w:t>
      </w:r>
    </w:p>
    <w:p w14:paraId="2900E606">
      <w:pPr>
        <w:pStyle w:val="18"/>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卫生健康支出（类）行政事业单位医疗（款）</w:t>
      </w:r>
      <w:r>
        <w:rPr>
          <w:rFonts w:hint="eastAsia" w:ascii="仿宋_GB2312" w:hAnsi="仿宋_GB2312" w:eastAsia="仿宋_GB2312" w:cs="仿宋_GB2312"/>
          <w:color w:val="000000"/>
          <w:sz w:val="32"/>
          <w:szCs w:val="32"/>
          <w:lang w:val="en-US" w:eastAsia="zh-CN"/>
        </w:rPr>
        <w:t>公务员医疗补助</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反映财政部门安排的公务员医疗补助经费。</w:t>
      </w:r>
    </w:p>
    <w:p w14:paraId="688E055A">
      <w:pPr>
        <w:pStyle w:val="18"/>
        <w:numPr>
          <w:ilvl w:val="0"/>
          <w:numId w:val="0"/>
        </w:numPr>
        <w:shd w:val="clear" w:color="auto" w:fill="FFFFFF"/>
        <w:spacing w:before="360" w:beforeAutospacing="0" w:after="360" w:afterAutospacing="0"/>
        <w:ind w:right="0" w:rightChars="0" w:firstLine="320" w:firstLineChars="1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14.节能环保</w:t>
      </w:r>
      <w:r>
        <w:rPr>
          <w:rFonts w:hint="eastAsia" w:ascii="仿宋_GB2312" w:hAnsi="仿宋_GB2312" w:eastAsia="仿宋_GB2312" w:cs="仿宋_GB2312"/>
          <w:color w:val="000000"/>
          <w:sz w:val="32"/>
          <w:szCs w:val="32"/>
        </w:rPr>
        <w:t>支出：反映政府</w:t>
      </w:r>
      <w:r>
        <w:rPr>
          <w:rFonts w:hint="eastAsia" w:ascii="仿宋_GB2312" w:hAnsi="仿宋_GB2312" w:eastAsia="仿宋_GB2312" w:cs="仿宋_GB2312"/>
          <w:color w:val="000000"/>
          <w:sz w:val="32"/>
          <w:szCs w:val="32"/>
          <w:lang w:val="en-US" w:eastAsia="zh-CN"/>
        </w:rPr>
        <w:t>节能环保</w:t>
      </w:r>
      <w:r>
        <w:rPr>
          <w:rFonts w:hint="eastAsia" w:ascii="仿宋_GB2312" w:hAnsi="仿宋_GB2312" w:eastAsia="仿宋_GB2312" w:cs="仿宋_GB2312"/>
          <w:color w:val="000000"/>
          <w:sz w:val="32"/>
          <w:szCs w:val="32"/>
        </w:rPr>
        <w:t>支出。</w:t>
      </w:r>
    </w:p>
    <w:p w14:paraId="6CD09AAD">
      <w:pPr>
        <w:pStyle w:val="18"/>
        <w:shd w:val="clear" w:color="auto" w:fill="FFFFFF"/>
        <w:spacing w:before="360" w:beforeAutospacing="0" w:after="360" w:afterAutospacing="0"/>
        <w:ind w:firstLine="48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节能环保</w:t>
      </w:r>
      <w:r>
        <w:rPr>
          <w:rFonts w:hint="eastAsia" w:ascii="仿宋_GB2312" w:hAnsi="仿宋_GB2312" w:eastAsia="仿宋_GB2312" w:cs="仿宋_GB2312"/>
          <w:color w:val="000000"/>
          <w:sz w:val="32"/>
          <w:szCs w:val="32"/>
        </w:rPr>
        <w:t>支出（类）</w:t>
      </w:r>
      <w:r>
        <w:rPr>
          <w:rFonts w:hint="eastAsia" w:ascii="仿宋_GB2312" w:hAnsi="仿宋_GB2312" w:eastAsia="仿宋_GB2312" w:cs="仿宋_GB2312"/>
          <w:color w:val="000000"/>
          <w:sz w:val="32"/>
          <w:szCs w:val="32"/>
          <w:lang w:val="en-US" w:eastAsia="zh-CN"/>
        </w:rPr>
        <w:t>自然生态保护</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农村环境保护</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用于农村环境保护方面的支出。有关事项包括：农村环境综合整治，如生活垃圾、污水处理，农村饮用水源地监测与保护等；小城镇环境保护，如小城镇环境保护能力建设及环境基础设施建设，环境优美乡镇及生态村创建等；农用化学品（化肥、农药、农膜等）污染防治、畜禽养殖污染防治、土壤污染防治；农产品产地环境监测与监管，有机食品基地建设与管理，秸秆等农业废弃物综合利用；农村环境保护能力建设宣教、试点示范等。</w:t>
      </w:r>
    </w:p>
    <w:p w14:paraId="06A91DB0">
      <w:pPr>
        <w:pStyle w:val="18"/>
        <w:numPr>
          <w:ilvl w:val="0"/>
          <w:numId w:val="0"/>
        </w:numPr>
        <w:shd w:val="clear" w:color="auto" w:fill="FFFFFF"/>
        <w:spacing w:before="360" w:beforeAutospacing="0" w:after="360" w:afterAutospacing="0"/>
        <w:ind w:right="0" w:rightChars="0" w:firstLine="320" w:firstLineChars="1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15.</w:t>
      </w:r>
      <w:r>
        <w:rPr>
          <w:rFonts w:hint="eastAsia" w:ascii="仿宋_GB2312" w:hAnsi="仿宋_GB2312" w:eastAsia="仿宋_GB2312" w:cs="仿宋_GB2312"/>
          <w:color w:val="000000"/>
          <w:sz w:val="32"/>
          <w:szCs w:val="32"/>
        </w:rPr>
        <w:t>城乡社区支出：反映政府城乡社区事务支出。</w:t>
      </w:r>
    </w:p>
    <w:p w14:paraId="65B460B4">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城乡社区支出（类）城乡社区公共设施（款）其他城乡社区公共设施支出（项）：放映除上述项目以外其他用于城乡社区公共设施方面的支出。</w:t>
      </w:r>
    </w:p>
    <w:p w14:paraId="2FA168CA">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．农林水支出：反映政府农林水事务支出。</w:t>
      </w:r>
    </w:p>
    <w:p w14:paraId="2D440445">
      <w:pPr>
        <w:pStyle w:val="18"/>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农林水支出（类）农业农村（款）事业运行（项）：反映用于农业事业单位基本支出，事业单位设施、系统运行与资产维护等方面的支出。</w:t>
      </w:r>
    </w:p>
    <w:p w14:paraId="1E3B277B">
      <w:pPr>
        <w:pStyle w:val="18"/>
        <w:shd w:val="clear" w:color="auto" w:fill="FFFFFF"/>
        <w:spacing w:before="360" w:beforeAutospacing="0" w:after="360" w:afterAutospacing="0"/>
        <w:ind w:firstLine="48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农林水支出（类）农业农村（款）</w:t>
      </w:r>
      <w:r>
        <w:rPr>
          <w:rFonts w:hint="eastAsia" w:ascii="仿宋_GB2312" w:hAnsi="仿宋_GB2312" w:eastAsia="仿宋_GB2312" w:cs="仿宋_GB2312"/>
          <w:color w:val="000000"/>
          <w:sz w:val="32"/>
          <w:szCs w:val="32"/>
          <w:lang w:val="en-US" w:eastAsia="zh-CN"/>
        </w:rPr>
        <w:t>乡村道路建设</w:t>
      </w:r>
      <w:r>
        <w:rPr>
          <w:rFonts w:hint="eastAsia" w:ascii="仿宋_GB2312" w:hAnsi="仿宋_GB2312" w:eastAsia="仿宋_GB2312" w:cs="仿宋_GB2312"/>
          <w:color w:val="000000"/>
          <w:sz w:val="32"/>
          <w:szCs w:val="32"/>
        </w:rPr>
        <w:t>（项）：反映用于</w:t>
      </w:r>
      <w:r>
        <w:rPr>
          <w:rFonts w:hint="eastAsia" w:ascii="仿宋_GB2312" w:hAnsi="仿宋_GB2312" w:eastAsia="仿宋_GB2312" w:cs="仿宋_GB2312"/>
          <w:color w:val="000000"/>
          <w:sz w:val="32"/>
          <w:szCs w:val="32"/>
          <w:lang w:val="en-US" w:eastAsia="zh-CN"/>
        </w:rPr>
        <w:t>乡村内街巷和农田间机耕道建设等方面的支出。</w:t>
      </w:r>
    </w:p>
    <w:p w14:paraId="586B9AD4">
      <w:pPr>
        <w:pStyle w:val="18"/>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农林水支出（类）农业农村（款）</w:t>
      </w:r>
      <w:r>
        <w:rPr>
          <w:rFonts w:hint="eastAsia" w:ascii="仿宋_GB2312" w:hAnsi="仿宋_GB2312" w:eastAsia="仿宋_GB2312" w:cs="仿宋_GB2312"/>
          <w:color w:val="000000"/>
          <w:sz w:val="32"/>
          <w:szCs w:val="32"/>
          <w:lang w:val="en-US" w:eastAsia="zh-CN"/>
        </w:rPr>
        <w:t>其他农业农村支出</w:t>
      </w:r>
      <w:r>
        <w:rPr>
          <w:rFonts w:hint="eastAsia" w:ascii="仿宋_GB2312" w:hAnsi="仿宋_GB2312" w:eastAsia="仿宋_GB2312" w:cs="仿宋_GB2312"/>
          <w:color w:val="000000"/>
          <w:sz w:val="32"/>
          <w:szCs w:val="32"/>
        </w:rPr>
        <w:t>（项）：反映</w:t>
      </w:r>
      <w:r>
        <w:rPr>
          <w:rFonts w:hint="eastAsia" w:ascii="仿宋_GB2312" w:hAnsi="仿宋_GB2312" w:eastAsia="仿宋_GB2312" w:cs="仿宋_GB2312"/>
          <w:color w:val="000000"/>
          <w:sz w:val="32"/>
          <w:szCs w:val="32"/>
          <w:lang w:val="en-US" w:eastAsia="zh-CN"/>
        </w:rPr>
        <w:t>除上述项目以外其他用于农业农村方面的支出。</w:t>
      </w:r>
    </w:p>
    <w:p w14:paraId="1D24E75B">
      <w:pPr>
        <w:pStyle w:val="18"/>
        <w:shd w:val="clear" w:color="auto" w:fill="FFFFFF"/>
        <w:spacing w:before="360" w:beforeAutospacing="0" w:after="360" w:afterAutospacing="0"/>
        <w:ind w:firstLine="48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农林水支出（类）</w:t>
      </w:r>
      <w:r>
        <w:rPr>
          <w:rFonts w:hint="eastAsia" w:ascii="仿宋_GB2312" w:hAnsi="仿宋_GB2312" w:eastAsia="仿宋_GB2312" w:cs="仿宋_GB2312"/>
          <w:color w:val="000000"/>
          <w:sz w:val="32"/>
          <w:szCs w:val="32"/>
          <w:lang w:val="en-US" w:eastAsia="zh-CN"/>
        </w:rPr>
        <w:t>林业和草原</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森林资源培育</w:t>
      </w:r>
      <w:r>
        <w:rPr>
          <w:rFonts w:hint="eastAsia" w:ascii="仿宋_GB2312" w:hAnsi="仿宋_GB2312" w:eastAsia="仿宋_GB2312" w:cs="仿宋_GB2312"/>
          <w:color w:val="000000"/>
          <w:sz w:val="32"/>
          <w:szCs w:val="32"/>
        </w:rPr>
        <w:t>（项）：反映</w:t>
      </w:r>
      <w:r>
        <w:rPr>
          <w:rFonts w:hint="eastAsia" w:ascii="仿宋_GB2312" w:hAnsi="仿宋_GB2312" w:eastAsia="仿宋_GB2312" w:cs="仿宋_GB2312"/>
          <w:color w:val="000000"/>
          <w:sz w:val="32"/>
          <w:szCs w:val="32"/>
          <w:lang w:val="en-US" w:eastAsia="zh-CN"/>
        </w:rPr>
        <w:t>森林资源核查、监测、评估、经营利用、林地保护等方面。</w:t>
      </w:r>
    </w:p>
    <w:p w14:paraId="24B97311">
      <w:pPr>
        <w:pStyle w:val="18"/>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农林水支出（类）</w:t>
      </w:r>
      <w:r>
        <w:rPr>
          <w:rFonts w:hint="eastAsia" w:ascii="仿宋_GB2312" w:hAnsi="仿宋_GB2312" w:eastAsia="仿宋_GB2312" w:cs="仿宋_GB2312"/>
          <w:color w:val="000000"/>
          <w:sz w:val="32"/>
          <w:szCs w:val="32"/>
          <w:lang w:val="en-US" w:eastAsia="zh-CN"/>
        </w:rPr>
        <w:t>巩固脱贫攻坚成果衔接乡村振兴</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其他巩固脱贫攻坚成果衔接乡村振兴支出</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反映除上述项目以外其他用于巩固拓展脱贫攻坚成果同乡村振兴有效衔接方面的支出。</w:t>
      </w:r>
    </w:p>
    <w:p w14:paraId="30D40087">
      <w:pPr>
        <w:pStyle w:val="18"/>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农林水支出（类）农村综合改革（款）对村民委员会和村党支部的补助（项）：反映各级财政对村民委员会和村党支部的补助支出，以及支持建立县级基本财力保障机制安排的村级组织运转奖补资金</w:t>
      </w:r>
      <w:r>
        <w:rPr>
          <w:rFonts w:hint="eastAsia" w:ascii="仿宋_GB2312" w:hAnsi="仿宋_GB2312" w:eastAsia="仿宋_GB2312" w:cs="仿宋_GB2312"/>
          <w:color w:val="000000"/>
          <w:sz w:val="32"/>
          <w:szCs w:val="32"/>
          <w:lang w:eastAsia="zh-CN"/>
        </w:rPr>
        <w:t>。</w:t>
      </w:r>
    </w:p>
    <w:p w14:paraId="216AEC2C">
      <w:pPr>
        <w:pStyle w:val="18"/>
        <w:shd w:val="clear" w:color="auto" w:fill="FFFFFF"/>
        <w:spacing w:before="360" w:beforeAutospacing="0" w:after="360" w:afterAutospacing="0"/>
        <w:ind w:firstLine="48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农林水支出（类）农村综合改革（款）农村综合改革示范试点补助（项）：反映各级财政对农村综合改革示范试点、新型农业社会化服务体系建设等补助支出。</w:t>
      </w:r>
    </w:p>
    <w:p w14:paraId="54E35000">
      <w:pPr>
        <w:pStyle w:val="18"/>
        <w:numPr>
          <w:ilvl w:val="0"/>
          <w:numId w:val="15"/>
        </w:numPr>
        <w:shd w:val="clear" w:color="auto" w:fill="FFFFFF"/>
        <w:spacing w:before="360" w:beforeAutospacing="0" w:after="360" w:afterAutospacing="0"/>
        <w:ind w:firstLine="320" w:firstLineChars="1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资源勘探工业信息等</w:t>
      </w:r>
      <w:r>
        <w:rPr>
          <w:rFonts w:hint="eastAsia" w:ascii="仿宋_GB2312" w:hAnsi="仿宋_GB2312" w:eastAsia="仿宋_GB2312" w:cs="仿宋_GB2312"/>
          <w:color w:val="000000"/>
          <w:sz w:val="32"/>
          <w:szCs w:val="32"/>
        </w:rPr>
        <w:t>支出：</w:t>
      </w:r>
      <w:r>
        <w:rPr>
          <w:rFonts w:hint="eastAsia" w:ascii="仿宋_GB2312" w:hAnsi="仿宋_GB2312" w:eastAsia="仿宋_GB2312" w:cs="仿宋_GB2312"/>
          <w:color w:val="000000"/>
          <w:sz w:val="32"/>
          <w:szCs w:val="32"/>
          <w:lang w:val="en-US" w:eastAsia="zh-CN"/>
        </w:rPr>
        <w:t>反映用于资源勘探、制造业、建筑业、工业信息等方面支出</w:t>
      </w:r>
      <w:r>
        <w:rPr>
          <w:rFonts w:hint="eastAsia" w:ascii="仿宋_GB2312" w:hAnsi="仿宋_GB2312" w:eastAsia="仿宋_GB2312" w:cs="仿宋_GB2312"/>
          <w:color w:val="000000"/>
          <w:sz w:val="32"/>
          <w:szCs w:val="32"/>
        </w:rPr>
        <w:t>。</w:t>
      </w:r>
    </w:p>
    <w:p w14:paraId="19677ECC">
      <w:pPr>
        <w:pStyle w:val="18"/>
        <w:numPr>
          <w:ilvl w:val="0"/>
          <w:numId w:val="0"/>
        </w:numPr>
        <w:shd w:val="clear" w:color="auto" w:fill="FFFFFF"/>
        <w:spacing w:before="360" w:beforeAutospacing="0" w:after="360" w:afterAutospacing="0"/>
        <w:ind w:leftChars="100" w:right="0" w:rightChars="0" w:firstLine="640" w:firstLineChars="20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资源勘探工业信息等支出</w:t>
      </w:r>
      <w:r>
        <w:rPr>
          <w:rFonts w:hint="eastAsia" w:ascii="仿宋_GB2312" w:hAnsi="仿宋_GB2312" w:eastAsia="仿宋_GB2312" w:cs="仿宋_GB2312"/>
          <w:color w:val="000000"/>
          <w:sz w:val="32"/>
          <w:szCs w:val="32"/>
        </w:rPr>
        <w:t>（类）</w:t>
      </w:r>
      <w:r>
        <w:rPr>
          <w:rFonts w:hint="eastAsia" w:ascii="仿宋_GB2312" w:hAnsi="仿宋_GB2312" w:eastAsia="仿宋_GB2312" w:cs="仿宋_GB2312"/>
          <w:color w:val="000000"/>
          <w:sz w:val="32"/>
          <w:szCs w:val="32"/>
          <w:lang w:val="en-US" w:eastAsia="zh-CN"/>
        </w:rPr>
        <w:t>工业和信息产业监管</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一般行政管理事务</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反映行政单位（包括实行公务员管理的事业单位）未单独设置项级科目的其他项目支出。</w:t>
      </w:r>
    </w:p>
    <w:p w14:paraId="33DE7EB8">
      <w:pPr>
        <w:pStyle w:val="18"/>
        <w:numPr>
          <w:ilvl w:val="0"/>
          <w:numId w:val="0"/>
        </w:numPr>
        <w:shd w:val="clear" w:color="auto" w:fill="FFFFFF"/>
        <w:spacing w:before="360" w:beforeAutospacing="0" w:after="360" w:afterAutospacing="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  18</w:t>
      </w:r>
      <w:r>
        <w:rPr>
          <w:rFonts w:hint="eastAsia" w:ascii="仿宋_GB2312" w:hAnsi="仿宋_GB2312" w:eastAsia="仿宋_GB2312" w:cs="仿宋_GB2312"/>
          <w:color w:val="000000"/>
          <w:sz w:val="32"/>
          <w:szCs w:val="32"/>
        </w:rPr>
        <w:t>．住房保障支出：集中反映政府用于住房方面的支出。</w:t>
      </w:r>
    </w:p>
    <w:p w14:paraId="74265CBB">
      <w:pPr>
        <w:pStyle w:val="18"/>
        <w:shd w:val="clear" w:color="auto" w:fill="FFFFFF"/>
        <w:spacing w:before="360" w:beforeAutospacing="0" w:after="360" w:afterAutospacing="0"/>
        <w:ind w:firstLine="48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住房保障支出（类）住房改革支出（款）住房公积金（项）：反映行政事业单位按人力资源和社会保障部、财政部规定的基本工资和津贴补贴以及规定比例为职工缴纳的住房公积金。</w:t>
      </w:r>
    </w:p>
    <w:p w14:paraId="7A3C6B1B">
      <w:pPr>
        <w:pStyle w:val="18"/>
        <w:shd w:val="clear" w:color="auto" w:fill="FFFFFF"/>
        <w:spacing w:before="360" w:beforeAutospacing="0" w:after="360" w:afterAutospacing="0"/>
        <w:ind w:firstLine="480"/>
        <w:jc w:val="both"/>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19</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灾害防治及应急管理支出：反映政府用于自然灾害防治、安全生产监管及应急管理等方面的支出。</w:t>
      </w:r>
    </w:p>
    <w:p w14:paraId="20844A87">
      <w:pPr>
        <w:pStyle w:val="18"/>
        <w:shd w:val="clear" w:color="auto" w:fill="FFFFFF"/>
        <w:spacing w:before="360" w:beforeAutospacing="0" w:after="36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灾害防治及应急管理支出（类）</w:t>
      </w:r>
      <w:r>
        <w:rPr>
          <w:rFonts w:hint="eastAsia" w:ascii="仿宋_GB2312" w:hAnsi="仿宋_GB2312" w:eastAsia="仿宋_GB2312" w:cs="仿宋_GB2312"/>
          <w:color w:val="000000"/>
          <w:sz w:val="32"/>
          <w:szCs w:val="32"/>
          <w:lang w:val="en-US" w:eastAsia="zh-CN"/>
        </w:rPr>
        <w:t>自然灾害救灾及恢复重建支出</w:t>
      </w:r>
      <w:r>
        <w:rPr>
          <w:rFonts w:hint="eastAsia" w:ascii="仿宋_GB2312" w:hAnsi="仿宋_GB2312" w:eastAsia="仿宋_GB2312" w:cs="仿宋_GB2312"/>
          <w:color w:val="000000"/>
          <w:sz w:val="32"/>
          <w:szCs w:val="32"/>
        </w:rPr>
        <w:t>（款）</w:t>
      </w:r>
      <w:r>
        <w:rPr>
          <w:rFonts w:hint="eastAsia" w:ascii="仿宋_GB2312" w:hAnsi="仿宋_GB2312" w:eastAsia="仿宋_GB2312" w:cs="仿宋_GB2312"/>
          <w:color w:val="000000"/>
          <w:sz w:val="32"/>
          <w:szCs w:val="32"/>
          <w:lang w:val="en-US" w:eastAsia="zh-CN"/>
        </w:rPr>
        <w:t>自然灾害救灾补助</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反映用于应对重大自然灾害应急救援和受灾群众救助的支出。</w:t>
      </w:r>
    </w:p>
    <w:p w14:paraId="5E5715C9">
      <w:pPr>
        <w:pStyle w:val="9"/>
        <w:numPr>
          <w:ilvl w:val="0"/>
          <w:numId w:val="0"/>
        </w:numPr>
        <w:spacing w:before="93"/>
        <w:ind w:firstLine="320" w:firstLineChars="100"/>
        <w:rPr>
          <w:rFonts w:hint="default" w:ascii="仿宋_GB2312" w:hAnsi="仿宋_GB2312" w:eastAsia="仿宋_GB2312" w:cs="仿宋_GB2312"/>
          <w:sz w:val="32"/>
          <w:szCs w:val="32"/>
          <w:lang w:val="en-US" w:eastAsia="zh-CN"/>
        </w:rPr>
      </w:pPr>
      <w:r>
        <w:rPr>
          <w:rFonts w:hint="eastAsia" w:hAnsi="仿宋_GB2312" w:cs="仿宋_GB2312"/>
          <w:sz w:val="32"/>
          <w:szCs w:val="32"/>
          <w:lang w:val="en-US" w:eastAsia="zh-CN"/>
        </w:rPr>
        <w:t>20.</w:t>
      </w:r>
      <w:r>
        <w:rPr>
          <w:rFonts w:hint="eastAsia" w:ascii="仿宋_GB2312" w:hAnsi="仿宋_GB2312" w:eastAsia="仿宋_GB2312" w:cs="仿宋_GB2312"/>
          <w:sz w:val="32"/>
          <w:szCs w:val="32"/>
        </w:rPr>
        <w:t>城乡社区支出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反映政府城乡社区事务支出。</w:t>
      </w:r>
    </w:p>
    <w:p w14:paraId="135F8AE2">
      <w:pPr>
        <w:pStyle w:val="9"/>
        <w:numPr>
          <w:ilvl w:val="0"/>
          <w:numId w:val="0"/>
        </w:numPr>
        <w:spacing w:before="93"/>
        <w:ind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城乡社区支出（类）国有土地使用权出让收入安排的支出（款）农业农村生态环境支出（项）：</w:t>
      </w:r>
      <w:r>
        <w:rPr>
          <w:rFonts w:hint="eastAsia" w:ascii="仿宋_GB2312" w:hAnsi="仿宋_GB2312" w:eastAsia="仿宋_GB2312" w:cs="仿宋_GB2312"/>
          <w:sz w:val="32"/>
          <w:szCs w:val="32"/>
          <w:lang w:val="en-US" w:eastAsia="zh-CN"/>
        </w:rPr>
        <w:t>反映土地出让收入用于农村人居环境整治、与农业农村直接相关的山水林田湖草生态保护修复等方面的支出。</w:t>
      </w:r>
    </w:p>
    <w:p w14:paraId="43B6462E">
      <w:p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城乡社区支出（类）城市基础设施配套费安排的支出（款）城市环境卫生（项）：</w:t>
      </w:r>
      <w:r>
        <w:rPr>
          <w:rFonts w:hint="eastAsia" w:ascii="仿宋_GB2312" w:hAnsi="仿宋_GB2312" w:eastAsia="仿宋_GB2312" w:cs="仿宋_GB2312"/>
          <w:sz w:val="32"/>
          <w:szCs w:val="32"/>
          <w:lang w:val="en-US" w:eastAsia="zh-CN"/>
        </w:rPr>
        <w:t>反映城市基础设施配套费安排用于道路清扫、垃圾清运与处理、污水处理、园林绿化等方面的支出。</w:t>
      </w:r>
    </w:p>
    <w:p w14:paraId="7740D4D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21</w:t>
      </w:r>
      <w:r>
        <w:rPr>
          <w:rFonts w:hint="eastAsia" w:ascii="Times New Roman" w:hAnsi="Times New Roman" w:eastAsia="仿宋_GB2312" w:cs="仿宋_GB2312"/>
          <w:color w:val="auto"/>
          <w:kern w:val="2"/>
          <w:sz w:val="32"/>
          <w:szCs w:val="32"/>
          <w:highlight w:val="none"/>
          <w:lang w:val="en-US" w:eastAsia="zh-CN" w:bidi="ar-SA"/>
        </w:rPr>
        <w:t>.基本支出：指为保障机构正常运转、完成日常工作任务而发生的人员支出和公用支出。</w:t>
      </w:r>
    </w:p>
    <w:p w14:paraId="452A757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22</w:t>
      </w:r>
      <w:r>
        <w:rPr>
          <w:rFonts w:hint="eastAsia" w:ascii="Times New Roman" w:hAnsi="Times New Roman" w:eastAsia="仿宋_GB2312" w:cs="仿宋_GB2312"/>
          <w:color w:val="auto"/>
          <w:kern w:val="2"/>
          <w:sz w:val="32"/>
          <w:szCs w:val="32"/>
          <w:highlight w:val="none"/>
          <w:lang w:val="en-US" w:eastAsia="zh-CN" w:bidi="ar-SA"/>
        </w:rPr>
        <w:t xml:space="preserve">.项目支出：指在基本支出之外为完成特定行政任务和事业发展目标所发生的支出。 </w:t>
      </w:r>
    </w:p>
    <w:p w14:paraId="2FB4CEA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23</w:t>
      </w:r>
      <w:r>
        <w:rPr>
          <w:rFonts w:hint="eastAsia" w:ascii="Times New Roman" w:hAnsi="Times New Roman" w:eastAsia="仿宋_GB2312" w:cs="仿宋_GB2312"/>
          <w:color w:val="auto"/>
          <w:kern w:val="2"/>
          <w:sz w:val="32"/>
          <w:szCs w:val="32"/>
          <w:highlight w:val="none"/>
          <w:lang w:val="en-US" w:eastAsia="zh-CN" w:bidi="ar-SA"/>
        </w:rPr>
        <w:t>.经营支出：指事业单位在专业业务活动及其辅助活动之外开展非独立核算经营活动发生的支出。</w:t>
      </w:r>
    </w:p>
    <w:p w14:paraId="2C46E87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24</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6D7DE3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25</w:t>
      </w:r>
      <w:r>
        <w:rPr>
          <w:rFonts w:hint="eastAsia" w:ascii="Times New Roman" w:hAnsi="Times New Roman" w:eastAsia="仿宋_GB2312" w:cs="仿宋_GB2312"/>
          <w:color w:val="auto"/>
          <w:kern w:val="2"/>
          <w:sz w:val="32"/>
          <w:szCs w:val="32"/>
          <w:highlight w:val="none"/>
          <w:lang w:val="en-US" w:eastAsia="zh-CN" w:bidi="ar-SA"/>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532FD9D">
      <w:pPr>
        <w:spacing w:line="600" w:lineRule="exact"/>
        <w:jc w:val="center"/>
        <w:rPr>
          <w:rStyle w:val="33"/>
          <w:rFonts w:hint="eastAsia" w:ascii="Times New Roman" w:hAnsi="Times New Roman" w:eastAsia="黑体"/>
          <w:b w:val="0"/>
          <w:color w:val="auto"/>
          <w:highlight w:val="none"/>
          <w:lang w:eastAsia="zh-CN"/>
        </w:rPr>
      </w:pPr>
      <w:bookmarkStart w:id="59"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60"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60"/>
    </w:p>
    <w:p w14:paraId="26104C03">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3D6B92C5">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p>
    <w:p w14:paraId="22751A9B">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14:paraId="4D3B52EB">
      <w:pPr>
        <w:widowControl/>
        <w:spacing w:line="580" w:lineRule="exact"/>
        <w:contextualSpacing/>
        <w:jc w:val="center"/>
        <w:rPr>
          <w:rFonts w:hint="eastAsia" w:ascii="方正小标宋简体" w:hAnsi="宋体" w:eastAsia="方正小标宋简体"/>
          <w:sz w:val="44"/>
          <w:szCs w:val="44"/>
          <w:shd w:val="clear" w:color="auto" w:fill="FFFFFF"/>
          <w:lang w:val="en-US" w:eastAsia="zh-CN"/>
        </w:rPr>
      </w:pPr>
      <w:r>
        <w:rPr>
          <w:rFonts w:hint="eastAsia" w:ascii="方正小标宋简体" w:hAnsi="宋体" w:eastAsia="方正小标宋简体"/>
          <w:sz w:val="44"/>
          <w:szCs w:val="44"/>
          <w:shd w:val="clear" w:color="auto" w:fill="FFFFFF"/>
          <w:lang w:val="en-US" w:eastAsia="zh-CN"/>
        </w:rPr>
        <w:t>乐山市五通桥区牛华镇人民政府</w:t>
      </w:r>
    </w:p>
    <w:p w14:paraId="28155A58">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val="en-US" w:eastAsia="zh-CN"/>
        </w:rPr>
        <w:t>区</w:t>
      </w:r>
      <w:r>
        <w:rPr>
          <w:rFonts w:hint="eastAsia" w:ascii="方正小标宋简体" w:hAnsi="宋体" w:eastAsia="方正小标宋简体"/>
          <w:sz w:val="44"/>
          <w:szCs w:val="44"/>
          <w:shd w:val="clear" w:color="auto" w:fill="FFFFFF"/>
        </w:rPr>
        <w:t>级部门整体绩效自评报告</w:t>
      </w:r>
    </w:p>
    <w:p w14:paraId="0DF91302">
      <w:pPr>
        <w:widowControl/>
        <w:spacing w:line="580" w:lineRule="exact"/>
        <w:contextualSpacing/>
        <w:jc w:val="center"/>
        <w:rPr>
          <w:rFonts w:ascii="方正仿宋_GBK" w:hAnsi="宋体" w:eastAsia="方正仿宋_GBK" w:cs="宋体"/>
          <w:color w:val="000000"/>
          <w:kern w:val="0"/>
          <w:sz w:val="33"/>
          <w:szCs w:val="33"/>
          <w:shd w:val="clear" w:color="auto" w:fill="FFFFFF"/>
        </w:rPr>
      </w:pPr>
      <w:r>
        <w:rPr>
          <w:rFonts w:hint="eastAsia" w:ascii="仿宋_GB2312" w:hAnsi="宋体" w:eastAsia="仿宋_GB2312"/>
          <w:szCs w:val="32"/>
          <w:shd w:val="clear" w:color="auto" w:fill="FFFFFF"/>
        </w:rPr>
        <w:t>（报告范围包括机关和下属单位）</w:t>
      </w:r>
    </w:p>
    <w:p w14:paraId="0AB9D8A5">
      <w:pPr>
        <w:widowControl/>
        <w:adjustRightInd w:val="0"/>
        <w:snapToGrid w:val="0"/>
        <w:spacing w:line="580" w:lineRule="exact"/>
        <w:ind w:firstLine="640" w:firstLineChars="200"/>
        <w:contextualSpacing/>
        <w:jc w:val="left"/>
        <w:rPr>
          <w:rFonts w:ascii="黑体" w:hAnsi="黑体" w:eastAsia="黑体" w:cs="宋体"/>
          <w:color w:val="000000"/>
          <w:kern w:val="0"/>
          <w:sz w:val="32"/>
          <w:szCs w:val="32"/>
          <w:shd w:val="clear" w:color="auto" w:fill="FFFFFF"/>
          <w:lang w:val="zh-CN"/>
        </w:rPr>
      </w:pPr>
      <w:r>
        <w:rPr>
          <w:rFonts w:hint="eastAsia" w:ascii="黑体" w:hAnsi="黑体" w:eastAsia="黑体" w:cs="宋体"/>
          <w:color w:val="000000"/>
          <w:kern w:val="0"/>
          <w:sz w:val="32"/>
          <w:szCs w:val="32"/>
          <w:shd w:val="clear" w:color="auto" w:fill="FFFFFF"/>
        </w:rPr>
        <w:t>一、</w:t>
      </w:r>
      <w:r>
        <w:rPr>
          <w:rFonts w:hint="eastAsia" w:ascii="黑体" w:hAnsi="黑体" w:eastAsia="黑体" w:cs="宋体"/>
          <w:color w:val="000000"/>
          <w:kern w:val="0"/>
          <w:sz w:val="32"/>
          <w:szCs w:val="32"/>
          <w:shd w:val="clear" w:color="auto" w:fill="FFFFFF"/>
          <w:lang w:val="zh-CN"/>
        </w:rPr>
        <w:t>部门基本情况</w:t>
      </w:r>
    </w:p>
    <w:p w14:paraId="2388DF73">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（一）机构组成。</w:t>
      </w:r>
    </w:p>
    <w:p w14:paraId="5D291B70">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五通桥区牛华镇人民政府是独立的核算机构，无下属二级预算单位，政府设置党政综合办事机构7个：党政办公室、党建办公室、经济发展和社会事务办公室、综合执法办公室、应急管理办公室、社会治理办公室、财政所。截止202</w:t>
      </w:r>
      <w:r>
        <w:rPr>
          <w:rFonts w:hint="eastAsia" w:ascii="仿宋_GB2312" w:hAnsi="仿宋_GB2312" w:eastAsia="仿宋_GB2312" w:cs="仿宋_GB2312"/>
          <w:color w:val="000000"/>
          <w:kern w:val="0"/>
          <w:sz w:val="32"/>
          <w:szCs w:val="32"/>
          <w:shd w:val="clear" w:color="auto" w:fill="FFFFFF"/>
          <w:lang w:val="en-US" w:eastAsia="zh-CN"/>
        </w:rPr>
        <w:t>4</w:t>
      </w:r>
      <w:r>
        <w:rPr>
          <w:rFonts w:hint="eastAsia" w:ascii="仿宋_GB2312" w:hAnsi="仿宋_GB2312" w:eastAsia="仿宋_GB2312" w:cs="仿宋_GB2312"/>
          <w:color w:val="000000"/>
          <w:kern w:val="0"/>
          <w:sz w:val="32"/>
          <w:szCs w:val="32"/>
          <w:shd w:val="clear" w:color="auto" w:fill="FFFFFF"/>
          <w:lang w:val="zh-CN"/>
        </w:rPr>
        <w:t>年12月31日，镇直属事业单位设置三个：便民服务中心、农业综合服务中心、</w:t>
      </w:r>
      <w:r>
        <w:rPr>
          <w:rFonts w:hint="eastAsia" w:ascii="仿宋_GB2312" w:hAnsi="仿宋_GB2312" w:eastAsia="仿宋_GB2312" w:cs="仿宋_GB2312"/>
          <w:color w:val="000000"/>
          <w:kern w:val="0"/>
          <w:sz w:val="32"/>
          <w:szCs w:val="32"/>
          <w:shd w:val="clear" w:color="auto" w:fill="FFFFFF"/>
          <w:lang w:val="en-US" w:eastAsia="zh-CN"/>
        </w:rPr>
        <w:t>文化旅游服务中心（2024年9月因机构设置“三定方案”设置，文化旅游服务中心撤销）</w:t>
      </w:r>
      <w:r>
        <w:rPr>
          <w:rFonts w:hint="eastAsia" w:ascii="仿宋_GB2312" w:hAnsi="仿宋_GB2312" w:eastAsia="仿宋_GB2312" w:cs="仿宋_GB2312"/>
          <w:color w:val="000000"/>
          <w:kern w:val="0"/>
          <w:sz w:val="32"/>
          <w:szCs w:val="32"/>
          <w:shd w:val="clear" w:color="auto" w:fill="FFFFFF"/>
          <w:lang w:val="zh-CN"/>
        </w:rPr>
        <w:t>。</w:t>
      </w:r>
    </w:p>
    <w:p w14:paraId="6B5567F7">
      <w:pPr>
        <w:widowControl/>
        <w:numPr>
          <w:ilvl w:val="0"/>
          <w:numId w:val="16"/>
        </w:numPr>
        <w:adjustRightInd w:val="0"/>
        <w:snapToGrid w:val="0"/>
        <w:spacing w:line="580" w:lineRule="exact"/>
        <w:ind w:firstLine="640" w:firstLineChars="2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机构职能和人员概况。</w:t>
      </w:r>
    </w:p>
    <w:p w14:paraId="74D48F83">
      <w:pPr>
        <w:spacing w:line="600" w:lineRule="exact"/>
        <w:ind w:firstLine="640" w:firstLineChars="200"/>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zh-CN"/>
        </w:rPr>
        <w:t>牛华镇人民政府基本职能为创新农村工作机制，切实加强社会管理和公共服务职能，努力建设服务性、法制型政府。重点强化为农村经济发展创造环境、为农民提供更多的公共服务、为农村构建和谐社会创造条件。一是政治职能，乡镇人民政府是最基层的政府，无论是巩固执政地位，还是要提高执政能力，都必须从基层抓起，必须从乡镇抓起，强化乡镇的政治建设。二是经济职能，主要是为农村经济发展创造优良的环境，要科学制定乡镇产业发展规划，继续</w:t>
      </w:r>
      <w:r>
        <w:rPr>
          <w:rFonts w:hint="eastAsia" w:ascii="仿宋_GB2312" w:hAnsi="Times New Roman" w:eastAsia="仿宋_GB2312" w:cs="仿宋_GB2312"/>
          <w:sz w:val="32"/>
          <w:szCs w:val="32"/>
          <w:lang w:val="zh-CN" w:eastAsia="zh-CN"/>
        </w:rPr>
        <w:t>推进农业结构调整，建立健全统筹城乡经济发展的相关政策体系。三是公共服务职能，这是乡镇政府应主要履行的职能，主要是为农民提供更多的公共服务。社会管理职能，主要是为农村建设和谐社会创造条件。</w:t>
      </w:r>
      <w:r>
        <w:rPr>
          <w:rFonts w:hint="eastAsia" w:ascii="仿宋_GB2312" w:hAnsi="Times New Roman" w:eastAsia="仿宋_GB2312" w:cs="仿宋_GB2312"/>
          <w:sz w:val="32"/>
          <w:szCs w:val="32"/>
          <w:lang w:val="en-US" w:eastAsia="zh-CN"/>
        </w:rPr>
        <w:t xml:space="preserve"> </w:t>
      </w:r>
    </w:p>
    <w:p w14:paraId="6F8E3652">
      <w:pPr>
        <w:spacing w:line="600" w:lineRule="exact"/>
        <w:ind w:firstLine="640" w:firstLineChars="200"/>
        <w:rPr>
          <w:rFonts w:hint="eastAsia" w:ascii="楷体_GB2312" w:hAnsi="宋体" w:eastAsia="楷体_GB2312" w:cs="宋体"/>
          <w:color w:val="000000"/>
          <w:kern w:val="0"/>
          <w:szCs w:val="32"/>
          <w:shd w:val="clear" w:color="auto" w:fill="FFFFFF"/>
          <w:lang w:val="zh-CN"/>
        </w:rPr>
      </w:pPr>
      <w:r>
        <w:rPr>
          <w:rFonts w:hint="eastAsia" w:ascii="仿宋_GB2312" w:hAnsi="Times New Roman" w:eastAsia="仿宋_GB2312" w:cs="仿宋_GB2312"/>
          <w:sz w:val="32"/>
          <w:szCs w:val="32"/>
          <w:lang w:val="zh-CN" w:eastAsia="zh-CN"/>
        </w:rPr>
        <w:t>截至202</w:t>
      </w:r>
      <w:r>
        <w:rPr>
          <w:rFonts w:hint="eastAsia" w:ascii="仿宋_GB2312" w:hAnsi="Times New Roman" w:eastAsia="仿宋_GB2312" w:cs="仿宋_GB2312"/>
          <w:sz w:val="32"/>
          <w:szCs w:val="32"/>
          <w:lang w:val="en-US" w:eastAsia="zh-CN"/>
        </w:rPr>
        <w:t>4</w:t>
      </w:r>
      <w:r>
        <w:rPr>
          <w:rFonts w:hint="eastAsia" w:ascii="仿宋_GB2312" w:hAnsi="Times New Roman" w:eastAsia="仿宋_GB2312" w:cs="仿宋_GB2312"/>
          <w:sz w:val="32"/>
          <w:szCs w:val="32"/>
          <w:lang w:val="zh-CN" w:eastAsia="zh-CN"/>
        </w:rPr>
        <w:t>年12月31日，五通桥区牛华镇人民政府核定编制33名，年末实有人数</w:t>
      </w:r>
      <w:r>
        <w:rPr>
          <w:rFonts w:hint="eastAsia" w:ascii="仿宋_GB2312" w:hAnsi="Times New Roman" w:eastAsia="仿宋_GB2312" w:cs="仿宋_GB2312"/>
          <w:sz w:val="32"/>
          <w:szCs w:val="32"/>
          <w:lang w:val="en-US" w:eastAsia="zh-CN"/>
        </w:rPr>
        <w:t>31</w:t>
      </w:r>
      <w:r>
        <w:rPr>
          <w:rFonts w:hint="eastAsia" w:ascii="仿宋_GB2312" w:hAnsi="Times New Roman" w:eastAsia="仿宋_GB2312" w:cs="仿宋_GB2312"/>
          <w:sz w:val="32"/>
          <w:szCs w:val="32"/>
          <w:lang w:val="zh-CN" w:eastAsia="zh-CN"/>
        </w:rPr>
        <w:t>人，下属</w:t>
      </w:r>
      <w:r>
        <w:rPr>
          <w:rFonts w:hint="eastAsia" w:ascii="仿宋_GB2312" w:hAnsi="Times New Roman" w:eastAsia="仿宋_GB2312" w:cs="仿宋_GB2312"/>
          <w:sz w:val="32"/>
          <w:szCs w:val="32"/>
          <w:lang w:val="en-US" w:eastAsia="zh-CN"/>
        </w:rPr>
        <w:t>2</w:t>
      </w:r>
      <w:r>
        <w:rPr>
          <w:rFonts w:hint="eastAsia" w:ascii="仿宋_GB2312" w:hAnsi="Times New Roman" w:eastAsia="仿宋_GB2312" w:cs="仿宋_GB2312"/>
          <w:sz w:val="32"/>
          <w:szCs w:val="32"/>
          <w:lang w:val="zh-CN" w:eastAsia="zh-CN"/>
        </w:rPr>
        <w:t>个中心核定编制24人，年底实有人数2</w:t>
      </w:r>
      <w:r>
        <w:rPr>
          <w:rFonts w:hint="eastAsia" w:ascii="仿宋_GB2312" w:hAnsi="Times New Roman" w:eastAsia="仿宋_GB2312" w:cs="仿宋_GB2312"/>
          <w:sz w:val="32"/>
          <w:szCs w:val="32"/>
          <w:lang w:val="en-US" w:eastAsia="zh-CN"/>
        </w:rPr>
        <w:t>4</w:t>
      </w:r>
      <w:r>
        <w:rPr>
          <w:rFonts w:hint="eastAsia" w:ascii="仿宋_GB2312" w:hAnsi="Times New Roman" w:eastAsia="仿宋_GB2312" w:cs="仿宋_GB2312"/>
          <w:sz w:val="32"/>
          <w:szCs w:val="32"/>
          <w:lang w:val="zh-CN" w:eastAsia="zh-CN"/>
        </w:rPr>
        <w:t>人。</w:t>
      </w:r>
    </w:p>
    <w:p w14:paraId="38FCB35D">
      <w:pPr>
        <w:widowControl/>
        <w:numPr>
          <w:ilvl w:val="0"/>
          <w:numId w:val="16"/>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年度主要工作任务。</w:t>
      </w:r>
    </w:p>
    <w:p w14:paraId="3D8C3684">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楷体" w:eastAsia="仿宋_GB2312" w:cs="仿宋_GB2312"/>
          <w:color w:val="auto"/>
          <w:sz w:val="32"/>
          <w:szCs w:val="32"/>
        </w:rPr>
      </w:pPr>
      <w:r>
        <w:rPr>
          <w:rFonts w:hint="eastAsia" w:ascii="仿宋_GB2312" w:hAnsi="楷体" w:eastAsia="仿宋_GB2312" w:cs="仿宋_GB2312"/>
          <w:color w:val="auto"/>
          <w:sz w:val="32"/>
          <w:szCs w:val="32"/>
          <w:lang w:val="en-US" w:eastAsia="zh-CN"/>
        </w:rPr>
        <w:t>2024年是全面深化改革、推动高质量发展的重要一年，也是在复杂国际形势下展现经济韧性与活力的奋进之年。我们</w:t>
      </w:r>
      <w:r>
        <w:rPr>
          <w:rFonts w:hint="eastAsia" w:ascii="仿宋_GB2312" w:hAnsi="楷体" w:eastAsia="仿宋_GB2312" w:cs="仿宋_GB2312"/>
          <w:color w:val="auto"/>
          <w:sz w:val="32"/>
          <w:szCs w:val="32"/>
        </w:rPr>
        <w:t>在区委</w:t>
      </w:r>
      <w:r>
        <w:rPr>
          <w:rFonts w:hint="eastAsia" w:ascii="仿宋_GB2312" w:hAnsi="楷体" w:eastAsia="仿宋_GB2312" w:cs="仿宋_GB2312"/>
          <w:color w:val="auto"/>
          <w:sz w:val="32"/>
          <w:szCs w:val="32"/>
          <w:lang w:eastAsia="zh-CN"/>
        </w:rPr>
        <w:t>、</w:t>
      </w:r>
      <w:r>
        <w:rPr>
          <w:rFonts w:hint="eastAsia" w:ascii="仿宋_GB2312" w:hAnsi="楷体" w:eastAsia="仿宋_GB2312" w:cs="仿宋_GB2312"/>
          <w:color w:val="auto"/>
          <w:sz w:val="32"/>
          <w:szCs w:val="32"/>
        </w:rPr>
        <w:t>区政府</w:t>
      </w:r>
      <w:r>
        <w:rPr>
          <w:rFonts w:hint="eastAsia" w:ascii="仿宋_GB2312" w:hAnsi="楷体" w:eastAsia="仿宋_GB2312" w:cs="仿宋_GB2312"/>
          <w:color w:val="auto"/>
          <w:sz w:val="32"/>
          <w:szCs w:val="32"/>
          <w:lang w:val="en-US" w:eastAsia="zh-CN"/>
        </w:rPr>
        <w:t>和镇党委</w:t>
      </w:r>
      <w:r>
        <w:rPr>
          <w:rFonts w:hint="eastAsia" w:ascii="仿宋_GB2312" w:hAnsi="楷体" w:eastAsia="仿宋_GB2312" w:cs="仿宋_GB2312"/>
          <w:color w:val="auto"/>
          <w:sz w:val="32"/>
          <w:szCs w:val="32"/>
        </w:rPr>
        <w:t>的</w:t>
      </w:r>
      <w:r>
        <w:rPr>
          <w:rFonts w:hint="eastAsia" w:ascii="仿宋_GB2312" w:hAnsi="楷体" w:eastAsia="仿宋_GB2312" w:cs="仿宋_GB2312"/>
          <w:color w:val="auto"/>
          <w:sz w:val="32"/>
          <w:szCs w:val="32"/>
          <w:lang w:eastAsia="zh-CN"/>
        </w:rPr>
        <w:t>坚强</w:t>
      </w:r>
      <w:r>
        <w:rPr>
          <w:rFonts w:hint="eastAsia" w:ascii="仿宋_GB2312" w:hAnsi="楷体" w:eastAsia="仿宋_GB2312" w:cs="仿宋_GB2312"/>
          <w:color w:val="auto"/>
          <w:sz w:val="32"/>
          <w:szCs w:val="32"/>
        </w:rPr>
        <w:t>领导下</w:t>
      </w:r>
      <w:r>
        <w:rPr>
          <w:rFonts w:hint="eastAsia" w:ascii="仿宋_GB2312" w:hAnsi="楷体" w:eastAsia="仿宋_GB2312" w:cs="仿宋_GB2312"/>
          <w:color w:val="auto"/>
          <w:sz w:val="32"/>
          <w:szCs w:val="32"/>
          <w:lang w:eastAsia="zh-CN"/>
        </w:rPr>
        <w:t>，</w:t>
      </w:r>
      <w:r>
        <w:rPr>
          <w:rFonts w:hint="eastAsia" w:ascii="仿宋_GB2312" w:hAnsi="楷体" w:eastAsia="仿宋_GB2312" w:cs="仿宋_GB2312"/>
          <w:color w:val="auto"/>
          <w:sz w:val="32"/>
          <w:szCs w:val="32"/>
          <w:lang w:val="en-US" w:eastAsia="zh-CN"/>
        </w:rPr>
        <w:t>坚持</w:t>
      </w:r>
      <w:r>
        <w:rPr>
          <w:rFonts w:hint="eastAsia" w:ascii="仿宋_GB2312" w:hAnsi="楷体" w:eastAsia="仿宋_GB2312" w:cs="仿宋_GB2312"/>
          <w:color w:val="auto"/>
          <w:sz w:val="32"/>
          <w:szCs w:val="32"/>
        </w:rPr>
        <w:t>以习近平新时代中国特色社会主义思想为指导，</w:t>
      </w:r>
      <w:r>
        <w:rPr>
          <w:rFonts w:hint="eastAsia" w:ascii="仿宋_GB2312" w:hAnsi="楷体" w:eastAsia="仿宋_GB2312" w:cs="仿宋_GB2312"/>
          <w:color w:val="auto"/>
          <w:sz w:val="32"/>
          <w:szCs w:val="32"/>
          <w:lang w:val="en-US" w:eastAsia="zh-CN"/>
        </w:rPr>
        <w:t>深入学习贯彻党的二十大和二十届二中、三中全会精神，全面落实习近平总书记对四川工作系列重要指示精神，紧紧围绕区委区政府“重大项目建设落地年”经济主题工作，紧扣“节奏更快、效率更高、质量更优”主题实践活动要求，团结带领全镇干部群众，真抓实干、攻坚克难，较好地完成了各项工作任务，经济社会保持平稳健康发展</w:t>
      </w:r>
      <w:r>
        <w:rPr>
          <w:rFonts w:hint="eastAsia" w:ascii="仿宋_GB2312" w:hAnsi="楷体" w:eastAsia="仿宋_GB2312" w:cs="仿宋_GB2312"/>
          <w:color w:val="auto"/>
          <w:sz w:val="32"/>
          <w:szCs w:val="32"/>
        </w:rPr>
        <w:t>。</w:t>
      </w:r>
    </w:p>
    <w:p w14:paraId="4F687F0C">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楷体" w:eastAsia="仿宋_GB2312" w:cs="仿宋_GB2312"/>
          <w:color w:val="auto"/>
          <w:sz w:val="32"/>
          <w:szCs w:val="32"/>
          <w:lang w:val="en-US" w:eastAsia="zh-CN"/>
        </w:rPr>
      </w:pPr>
      <w:r>
        <w:rPr>
          <w:rFonts w:hint="eastAsia" w:ascii="仿宋_GB2312" w:hAnsi="楷体" w:eastAsia="仿宋_GB2312" w:cs="仿宋_GB2312"/>
          <w:b/>
          <w:bCs/>
          <w:color w:val="auto"/>
          <w:sz w:val="32"/>
          <w:szCs w:val="32"/>
          <w:lang w:val="en-US" w:eastAsia="zh-CN"/>
        </w:rPr>
        <w:t>一年来，我们聚焦项目攻坚，夯实发展硬基石。</w:t>
      </w:r>
      <w:r>
        <w:rPr>
          <w:rFonts w:hint="eastAsia" w:ascii="仿宋_GB2312" w:hAnsi="楷体" w:eastAsia="仿宋_GB2312" w:cs="仿宋_GB2312"/>
          <w:color w:val="auto"/>
          <w:sz w:val="32"/>
          <w:szCs w:val="32"/>
          <w:lang w:val="en-US" w:eastAsia="zh-CN"/>
        </w:rPr>
        <w:t>攻坚水利枢纽，高效推进移民搬迁。秉持“服务重大工程，保障民生福祉”宗旨，扎实推进岷江航电老木孔枢纽移民搬迁项目。锚定文旅融合，加速古镇焕新进程。立足文化资源禀赋，以“保护+开发”双轮驱动，全面推进牛华古镇特色街区打造项目。紧扣交通能源，全力筑牢供应根基。坚持“保障能源供给，服务交通发展”理念，积极推进流花溪加油站和牛华派出所项目搬迁工作。</w:t>
      </w:r>
    </w:p>
    <w:p w14:paraId="41463CC7">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楷体" w:eastAsia="仿宋_GB2312" w:cs="仿宋_GB2312"/>
          <w:color w:val="auto"/>
          <w:sz w:val="32"/>
          <w:szCs w:val="32"/>
          <w:lang w:val="en-US" w:eastAsia="zh-CN"/>
        </w:rPr>
      </w:pPr>
      <w:r>
        <w:rPr>
          <w:rFonts w:hint="eastAsia" w:ascii="仿宋_GB2312" w:hAnsi="楷体" w:eastAsia="仿宋_GB2312" w:cs="仿宋_GB2312"/>
          <w:b/>
          <w:bCs/>
          <w:color w:val="auto"/>
          <w:sz w:val="32"/>
          <w:szCs w:val="32"/>
          <w:lang w:val="en-US" w:eastAsia="zh-CN"/>
        </w:rPr>
        <w:t>一年来，我们聚力经济发展，跃升综合竞争力。</w:t>
      </w:r>
      <w:r>
        <w:rPr>
          <w:rFonts w:hint="eastAsia" w:ascii="仿宋_GB2312" w:hAnsi="楷体" w:eastAsia="仿宋_GB2312" w:cs="仿宋_GB2312"/>
          <w:color w:val="auto"/>
          <w:sz w:val="32"/>
          <w:szCs w:val="32"/>
          <w:lang w:val="en-US" w:eastAsia="zh-CN"/>
        </w:rPr>
        <w:t>依托节庆活动，激发消费市场活力。牛华镇立足本土文化底蕴和美食特色，依托节假日庆祝活动，结合传统文化演出、影视剧取景地打卡等多元形式，打造以燕山荷塘、汤家坝柿子林、三塔黄花风铃木等为代表的特色美景，充分展现地方饮食特色、文化魅力和田园风光，吸引众多游客前来赏风景品美食，推动文旅深度融合，促进消费市场繁荣，提升牛华镇知名度和美誉度，为推动经济高质量发展注入强劲动力。</w:t>
      </w:r>
    </w:p>
    <w:p w14:paraId="0B93775A">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楷体" w:eastAsia="仿宋_GB2312" w:cs="仿宋_GB2312"/>
          <w:color w:val="auto"/>
          <w:sz w:val="32"/>
          <w:szCs w:val="32"/>
          <w:lang w:val="en-US" w:eastAsia="zh-CN"/>
        </w:rPr>
      </w:pPr>
      <w:r>
        <w:rPr>
          <w:rFonts w:hint="eastAsia" w:ascii="仿宋_GB2312" w:hAnsi="楷体" w:eastAsia="仿宋_GB2312" w:cs="仿宋_GB2312"/>
          <w:b/>
          <w:bCs/>
          <w:color w:val="auto"/>
          <w:sz w:val="32"/>
          <w:szCs w:val="32"/>
          <w:lang w:val="en-US" w:eastAsia="zh-CN"/>
        </w:rPr>
        <w:t>一年来，我们着力乡村振兴，绘就农村新图景。</w:t>
      </w:r>
      <w:r>
        <w:rPr>
          <w:rFonts w:hint="eastAsia" w:ascii="仿宋_GB2312" w:hAnsi="楷体" w:eastAsia="仿宋_GB2312" w:cs="仿宋_GB2312"/>
          <w:color w:val="auto"/>
          <w:sz w:val="32"/>
          <w:szCs w:val="32"/>
          <w:lang w:val="en-US" w:eastAsia="zh-CN"/>
        </w:rPr>
        <w:t>严守耕地红线，筑牢粮食安全根基。</w:t>
      </w:r>
      <w:r>
        <w:rPr>
          <w:rFonts w:hint="eastAsia" w:ascii="仿宋_GB2312" w:hAnsi="楷体" w:eastAsia="仿宋_GB2312" w:cs="仿宋_GB2312"/>
          <w:color w:val="auto"/>
          <w:sz w:val="32"/>
          <w:szCs w:val="32"/>
        </w:rPr>
        <w:t>全面落实耕地保护</w:t>
      </w:r>
      <w:r>
        <w:rPr>
          <w:rFonts w:hint="eastAsia" w:ascii="仿宋_GB2312" w:hAnsi="楷体" w:eastAsia="仿宋_GB2312" w:cs="仿宋_GB2312"/>
          <w:color w:val="auto"/>
          <w:sz w:val="32"/>
          <w:szCs w:val="32"/>
          <w:lang w:val="en-US" w:eastAsia="zh-CN"/>
        </w:rPr>
        <w:t>党政同责</w:t>
      </w:r>
      <w:r>
        <w:rPr>
          <w:rFonts w:hint="eastAsia" w:ascii="仿宋_GB2312" w:hAnsi="楷体" w:eastAsia="仿宋_GB2312" w:cs="仿宋_GB2312"/>
          <w:color w:val="auto"/>
          <w:sz w:val="32"/>
          <w:szCs w:val="32"/>
        </w:rPr>
        <w:t>，</w:t>
      </w:r>
      <w:r>
        <w:rPr>
          <w:rFonts w:hint="eastAsia" w:ascii="仿宋_GB2312" w:hAnsi="楷体" w:eastAsia="仿宋_GB2312" w:cs="仿宋_GB2312"/>
          <w:color w:val="auto"/>
          <w:sz w:val="32"/>
          <w:szCs w:val="32"/>
          <w:lang w:val="en-US" w:eastAsia="zh-CN"/>
        </w:rPr>
        <w:t>坚决遏制土地“非粮化”“非农化”，完成耕地恢复1433.89亩。强化监测帮扶，巩固脱贫攻坚成果。健全防返贫监测帮扶机制，常态化开展防返贫监测工作。围绕增加脱贫群众收入、“三保障”等内容，开展集中排查2次，每月自查问题、建立台账、因户施策、整改销号，全年共整改问题180个，整改完成率100%，顺利通过全市巩固脱贫成果后评估实地核查。</w:t>
      </w:r>
    </w:p>
    <w:p w14:paraId="04AF8A35">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楷体" w:eastAsia="仿宋_GB2312" w:cs="仿宋_GB2312"/>
          <w:color w:val="auto"/>
          <w:sz w:val="32"/>
          <w:szCs w:val="32"/>
          <w:lang w:val="en-US" w:eastAsia="zh-CN"/>
        </w:rPr>
      </w:pPr>
      <w:r>
        <w:rPr>
          <w:rFonts w:hint="eastAsia" w:ascii="仿宋_GB2312" w:hAnsi="楷体" w:eastAsia="仿宋_GB2312" w:cs="仿宋_GB2312"/>
          <w:b/>
          <w:bCs/>
          <w:color w:val="auto"/>
          <w:sz w:val="32"/>
          <w:szCs w:val="32"/>
          <w:lang w:val="en-US" w:eastAsia="zh-CN"/>
        </w:rPr>
        <w:t>一年来，我们锚定民生保障，增进群众幸福感。</w:t>
      </w:r>
      <w:r>
        <w:rPr>
          <w:rFonts w:hint="eastAsia" w:ascii="仿宋_GB2312" w:hAnsi="楷体" w:eastAsia="仿宋_GB2312" w:cs="仿宋_GB2312"/>
          <w:color w:val="auto"/>
          <w:sz w:val="32"/>
          <w:szCs w:val="32"/>
          <w:lang w:val="en-US" w:eastAsia="zh-CN"/>
        </w:rPr>
        <w:t>筑牢保障底线，织密民生兜底网络。紧扣“保基本、兜底线、惠民生”目标，全面落实各项惠民政策，实施低保、特困供养动态管理。推进13座公厕改造并全部投用，加快推进木鱼山体育公园项目，不断提升人民群众幸福感、满足感。完善设施建设，增强城镇服务能级。进一步简化办事流程，优化便民服务中心窗口设置，推行“一站式综窗”服务模式和“首问负责制”、“限时办结制”，提高群众办事效率。组织参加五通桥区第四届乡村文化振兴魅力竞演大赛、“小西湖之星·百姓才艺大比拼”活动，丰富群众精神文化生活。</w:t>
      </w:r>
    </w:p>
    <w:p w14:paraId="4FE63E5D">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left"/>
        <w:textAlignment w:val="auto"/>
        <w:rPr>
          <w:lang w:val="zh-CN"/>
        </w:rPr>
      </w:pPr>
      <w:r>
        <w:rPr>
          <w:rFonts w:hint="eastAsia" w:ascii="仿宋_GB2312" w:hAnsi="楷体" w:eastAsia="仿宋_GB2312" w:cs="仿宋_GB2312"/>
          <w:b/>
          <w:bCs/>
          <w:color w:val="auto"/>
          <w:sz w:val="32"/>
          <w:szCs w:val="32"/>
          <w:lang w:val="en-US" w:eastAsia="zh-CN"/>
        </w:rPr>
        <w:t>一年来，我们强化法治引领，推动治理新突破。</w:t>
      </w:r>
      <w:r>
        <w:rPr>
          <w:rFonts w:hint="eastAsia" w:ascii="仿宋_GB2312" w:hAnsi="楷体" w:eastAsia="仿宋_GB2312" w:cs="仿宋_GB2312"/>
          <w:color w:val="auto"/>
          <w:sz w:val="32"/>
          <w:szCs w:val="32"/>
          <w:lang w:val="en-US" w:eastAsia="zh-CN"/>
        </w:rPr>
        <w:t>筑牢法治根基，深化基层依法治理。以“一村一辅警”制度为依托，组建21支专兼职法治宣传队伍，开展普法培训12场，发放法治读本800本。创新解纷机制，构建多元化解格局。设立村（社区）综治员21名、调解员91名，聚焦土地纠纷、婚姻矛盾等热点问题，安排专人专班化解重点个案，及时消除不稳定因素。实现“小事不出村，矛盾不上交”。深入开展安全生产治本攻坚三年行动、安全生产动态清零行动。</w:t>
      </w:r>
    </w:p>
    <w:p w14:paraId="2C86FAE9">
      <w:pPr>
        <w:widowControl/>
        <w:numPr>
          <w:ilvl w:val="0"/>
          <w:numId w:val="16"/>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部门整体支出绩效目标。</w:t>
      </w:r>
    </w:p>
    <w:p w14:paraId="38193C34">
      <w:pPr>
        <w:pStyle w:val="8"/>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楷体" w:eastAsia="仿宋_GB2312" w:cs="仿宋_GB2312"/>
          <w:color w:val="auto"/>
          <w:sz w:val="32"/>
          <w:szCs w:val="32"/>
          <w:lang w:val="zh-CN" w:eastAsia="zh-CN"/>
        </w:rPr>
      </w:pPr>
      <w:r>
        <w:rPr>
          <w:rFonts w:hint="eastAsia" w:ascii="仿宋_GB2312" w:hAnsi="楷体" w:eastAsia="仿宋_GB2312" w:cs="仿宋_GB2312"/>
          <w:color w:val="auto"/>
          <w:sz w:val="32"/>
          <w:szCs w:val="32"/>
          <w:lang w:val="zh-CN" w:eastAsia="zh-CN"/>
        </w:rPr>
        <w:t>严格按照预算执行管理，按照时间进度、工作进度使用预算资金。严格执行中央八项规定和省、市、区相关要求，认真落实《党政机关厉行节约反对浪费条例》，进一步完善制度，加强管理，从严控制一般性支出，细化“三公经费”预算管理，继续按照“只减不增”的原则编制“三公经费”预算，严格加强机构编制管理，推进厉行节约工作理念长效化、常态化、制度化，符合区财政局对应股室工作要求，无违规记录等情况。</w:t>
      </w:r>
    </w:p>
    <w:p w14:paraId="4B37302E">
      <w:pPr>
        <w:widowControl/>
        <w:adjustRightInd w:val="0"/>
        <w:snapToGrid w:val="0"/>
        <w:spacing w:line="580" w:lineRule="exact"/>
        <w:ind w:firstLine="640" w:firstLineChars="200"/>
        <w:contextualSpacing/>
        <w:jc w:val="left"/>
        <w:rPr>
          <w:rFonts w:ascii="黑体" w:hAnsi="黑体" w:eastAsia="黑体" w:cs="宋体"/>
          <w:color w:val="000000"/>
          <w:kern w:val="0"/>
          <w:sz w:val="32"/>
          <w:szCs w:val="32"/>
          <w:shd w:val="clear" w:color="auto" w:fill="FFFFFF"/>
        </w:rPr>
      </w:pPr>
      <w:r>
        <w:rPr>
          <w:rFonts w:hint="eastAsia" w:ascii="黑体" w:hAnsi="黑体" w:eastAsia="黑体" w:cs="宋体"/>
          <w:color w:val="000000"/>
          <w:kern w:val="0"/>
          <w:sz w:val="32"/>
          <w:szCs w:val="32"/>
          <w:shd w:val="clear" w:color="auto" w:fill="FFFFFF"/>
        </w:rPr>
        <w:t>二、部门财政资金收支情况</w:t>
      </w:r>
    </w:p>
    <w:p w14:paraId="1BD354AB">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（一）部门财政资金收入情况。</w:t>
      </w:r>
    </w:p>
    <w:p w14:paraId="3EF4F452">
      <w:pPr>
        <w:pStyle w:val="41"/>
        <w:keepNext w:val="0"/>
        <w:keepLines w:val="0"/>
        <w:pageBreakBefore w:val="0"/>
        <w:widowControl w:val="0"/>
        <w:numPr>
          <w:ilvl w:val="0"/>
          <w:numId w:val="0"/>
        </w:numPr>
        <w:kinsoku/>
        <w:wordWrap/>
        <w:overflowPunct/>
        <w:topLinePunct w:val="0"/>
        <w:autoSpaceDE/>
        <w:autoSpaceDN/>
        <w:bidi w:val="0"/>
        <w:adjustRightInd/>
        <w:snapToGrid w:val="0"/>
        <w:spacing w:line="600" w:lineRule="atLeast"/>
        <w:ind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乐山市五通桥区牛华镇人民政府部门2024年收入总额2511.26万元，其中一般公共预算财政拨款2248.43万元，政府性基金预算财政拨款262.83万元。</w:t>
      </w:r>
    </w:p>
    <w:p w14:paraId="132AFB78">
      <w:pPr>
        <w:spacing w:line="360" w:lineRule="auto"/>
        <w:jc w:val="center"/>
        <w:rPr>
          <w:rFonts w:ascii="仿宋" w:hAnsi="仿宋" w:eastAsia="仿宋" w:cs="仿宋_GB2312"/>
          <w:b/>
          <w:sz w:val="28"/>
          <w:szCs w:val="28"/>
        </w:rPr>
      </w:pPr>
      <w:r>
        <w:rPr>
          <w:rFonts w:hint="eastAsia" w:ascii="仿宋" w:hAnsi="仿宋" w:eastAsia="仿宋" w:cs="仿宋_GB2312"/>
          <w:b/>
          <w:sz w:val="28"/>
          <w:szCs w:val="28"/>
        </w:rPr>
        <w:t>202</w:t>
      </w:r>
      <w:r>
        <w:rPr>
          <w:rFonts w:hint="eastAsia" w:ascii="仿宋" w:hAnsi="仿宋" w:eastAsia="仿宋" w:cs="仿宋_GB2312"/>
          <w:b/>
          <w:sz w:val="28"/>
          <w:szCs w:val="28"/>
          <w:lang w:val="en-US" w:eastAsia="zh-CN"/>
        </w:rPr>
        <w:t>4</w:t>
      </w:r>
      <w:r>
        <w:rPr>
          <w:rFonts w:hint="eastAsia" w:ascii="仿宋" w:hAnsi="仿宋" w:eastAsia="仿宋" w:cs="仿宋_GB2312"/>
          <w:b/>
          <w:sz w:val="28"/>
          <w:szCs w:val="28"/>
        </w:rPr>
        <w:t>年度部门全部</w:t>
      </w:r>
      <w:r>
        <w:rPr>
          <w:rFonts w:hint="eastAsia" w:ascii="仿宋" w:hAnsi="仿宋" w:eastAsia="仿宋" w:cs="仿宋_GB2312"/>
          <w:b/>
          <w:sz w:val="28"/>
          <w:szCs w:val="28"/>
          <w:lang w:eastAsia="zh-Hans"/>
        </w:rPr>
        <w:t>资金</w:t>
      </w:r>
      <w:r>
        <w:rPr>
          <w:rFonts w:hint="eastAsia" w:ascii="仿宋" w:hAnsi="仿宋" w:eastAsia="仿宋" w:cs="仿宋_GB2312"/>
          <w:b/>
          <w:sz w:val="28"/>
          <w:szCs w:val="28"/>
        </w:rPr>
        <w:t>收入情况表</w:t>
      </w:r>
    </w:p>
    <w:p w14:paraId="65F29BFA">
      <w:pPr>
        <w:pStyle w:val="42"/>
        <w:spacing w:line="360" w:lineRule="auto"/>
        <w:ind w:firstLine="482"/>
        <w:jc w:val="right"/>
        <w:rPr>
          <w:rFonts w:ascii="仿宋" w:hAnsi="仿宋" w:eastAsia="仿宋" w:cs="仿宋_GB2312"/>
          <w:sz w:val="30"/>
          <w:szCs w:val="30"/>
        </w:rPr>
      </w:pPr>
      <w:r>
        <w:rPr>
          <w:rFonts w:hint="eastAsia" w:ascii="仿宋" w:hAnsi="仿宋" w:eastAsia="仿宋" w:cs="仿宋_GB2312"/>
          <w:b/>
          <w:sz w:val="30"/>
          <w:szCs w:val="30"/>
        </w:rPr>
        <w:t>单位：</w:t>
      </w:r>
      <w:r>
        <w:rPr>
          <w:rFonts w:hint="eastAsia" w:ascii="仿宋" w:hAnsi="仿宋" w:eastAsia="仿宋" w:cs="仿宋_GB2312"/>
          <w:b/>
          <w:sz w:val="30"/>
          <w:szCs w:val="30"/>
          <w:lang w:val="en-US" w:eastAsia="zh-CN"/>
        </w:rPr>
        <w:t>万</w:t>
      </w:r>
      <w:r>
        <w:rPr>
          <w:rFonts w:hint="eastAsia" w:ascii="仿宋" w:hAnsi="仿宋" w:eastAsia="仿宋" w:cs="仿宋_GB2312"/>
          <w:b/>
          <w:sz w:val="30"/>
          <w:szCs w:val="30"/>
        </w:rPr>
        <w:t>元</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9"/>
        <w:gridCol w:w="2005"/>
        <w:gridCol w:w="2138"/>
        <w:gridCol w:w="2270"/>
      </w:tblGrid>
      <w:tr w14:paraId="7032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7" w:type="pct"/>
            <w:vAlign w:val="center"/>
          </w:tcPr>
          <w:p w14:paraId="7E887784">
            <w:pPr>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年初预算收入</w:t>
            </w:r>
          </w:p>
        </w:tc>
        <w:tc>
          <w:tcPr>
            <w:tcW w:w="1176" w:type="pct"/>
            <w:vAlign w:val="center"/>
          </w:tcPr>
          <w:p w14:paraId="27F5E6EF">
            <w:pPr>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调整预算收入</w:t>
            </w:r>
          </w:p>
        </w:tc>
        <w:tc>
          <w:tcPr>
            <w:tcW w:w="1254" w:type="pct"/>
          </w:tcPr>
          <w:p w14:paraId="7D7795D1">
            <w:pPr>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调整后预算收入</w:t>
            </w:r>
          </w:p>
        </w:tc>
        <w:tc>
          <w:tcPr>
            <w:tcW w:w="1331" w:type="pct"/>
            <w:vAlign w:val="center"/>
          </w:tcPr>
          <w:p w14:paraId="782C753A">
            <w:pPr>
              <w:spacing w:line="360" w:lineRule="auto"/>
              <w:jc w:val="center"/>
              <w:rPr>
                <w:rFonts w:hint="eastAsia" w:ascii="仿宋" w:hAnsi="仿宋" w:eastAsia="仿宋" w:cs="仿宋"/>
                <w:b/>
                <w:kern w:val="0"/>
                <w:sz w:val="28"/>
                <w:szCs w:val="28"/>
              </w:rPr>
            </w:pPr>
            <w:r>
              <w:rPr>
                <w:rFonts w:hint="eastAsia" w:ascii="仿宋" w:hAnsi="仿宋" w:eastAsia="仿宋" w:cs="仿宋"/>
                <w:b/>
                <w:kern w:val="0"/>
                <w:sz w:val="28"/>
                <w:szCs w:val="28"/>
              </w:rPr>
              <w:t>决算收入</w:t>
            </w:r>
          </w:p>
        </w:tc>
      </w:tr>
      <w:tr w14:paraId="6DDB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7" w:type="pct"/>
            <w:vAlign w:val="center"/>
          </w:tcPr>
          <w:p w14:paraId="191A35D8">
            <w:pPr>
              <w:spacing w:line="360" w:lineRule="auto"/>
              <w:jc w:val="center"/>
              <w:rPr>
                <w:rFonts w:hint="default" w:ascii="仿宋_GB2312" w:hAnsi="仿宋" w:eastAsia="仿宋_GB2312" w:cs="宋体"/>
                <w:kern w:val="2"/>
                <w:sz w:val="28"/>
                <w:szCs w:val="28"/>
                <w:lang w:val="en-US" w:eastAsia="zh-CN" w:bidi="ar-SA"/>
              </w:rPr>
            </w:pPr>
            <w:r>
              <w:rPr>
                <w:rFonts w:hint="eastAsia" w:ascii="仿宋_GB2312" w:hAnsi="仿宋" w:eastAsia="仿宋_GB2312" w:cs="宋体"/>
                <w:kern w:val="2"/>
                <w:sz w:val="28"/>
                <w:szCs w:val="28"/>
                <w:lang w:val="en-US" w:eastAsia="zh-CN" w:bidi="ar-SA"/>
              </w:rPr>
              <w:t>2464.41</w:t>
            </w:r>
          </w:p>
        </w:tc>
        <w:tc>
          <w:tcPr>
            <w:tcW w:w="1176" w:type="pct"/>
            <w:vAlign w:val="center"/>
          </w:tcPr>
          <w:p w14:paraId="43FAF743">
            <w:pPr>
              <w:spacing w:line="360" w:lineRule="auto"/>
              <w:jc w:val="center"/>
              <w:rPr>
                <w:rFonts w:hint="default" w:ascii="仿宋_GB2312" w:hAnsi="仿宋" w:eastAsia="仿宋_GB2312" w:cs="宋体"/>
                <w:kern w:val="2"/>
                <w:sz w:val="28"/>
                <w:szCs w:val="28"/>
                <w:lang w:val="en-US" w:eastAsia="zh-CN" w:bidi="ar-SA"/>
              </w:rPr>
            </w:pPr>
            <w:r>
              <w:rPr>
                <w:rFonts w:hint="eastAsia" w:ascii="仿宋_GB2312" w:hAnsi="仿宋" w:eastAsia="仿宋_GB2312" w:cs="宋体"/>
                <w:kern w:val="2"/>
                <w:sz w:val="28"/>
                <w:szCs w:val="28"/>
                <w:lang w:val="en-US" w:eastAsia="zh-CN" w:bidi="ar-SA"/>
              </w:rPr>
              <w:t>108.85</w:t>
            </w:r>
          </w:p>
        </w:tc>
        <w:tc>
          <w:tcPr>
            <w:tcW w:w="1254" w:type="pct"/>
          </w:tcPr>
          <w:p w14:paraId="1C0F9ABC">
            <w:pPr>
              <w:spacing w:line="360" w:lineRule="auto"/>
              <w:jc w:val="center"/>
              <w:rPr>
                <w:rFonts w:hint="default" w:ascii="仿宋_GB2312" w:hAnsi="仿宋" w:eastAsia="仿宋_GB2312" w:cs="宋体"/>
                <w:kern w:val="2"/>
                <w:sz w:val="28"/>
                <w:szCs w:val="28"/>
                <w:lang w:val="en-US" w:eastAsia="zh-CN" w:bidi="ar-SA"/>
              </w:rPr>
            </w:pPr>
            <w:r>
              <w:rPr>
                <w:rFonts w:hint="eastAsia" w:ascii="仿宋_GB2312" w:hAnsi="仿宋" w:eastAsia="仿宋_GB2312" w:cs="宋体"/>
                <w:kern w:val="2"/>
                <w:sz w:val="28"/>
                <w:szCs w:val="28"/>
                <w:lang w:val="en-US" w:eastAsia="zh-CN" w:bidi="ar-SA"/>
              </w:rPr>
              <w:t>2573.26</w:t>
            </w:r>
          </w:p>
        </w:tc>
        <w:tc>
          <w:tcPr>
            <w:tcW w:w="1331" w:type="pct"/>
            <w:vAlign w:val="center"/>
          </w:tcPr>
          <w:p w14:paraId="5D65DA5C">
            <w:pPr>
              <w:spacing w:line="360" w:lineRule="auto"/>
              <w:jc w:val="center"/>
              <w:rPr>
                <w:rFonts w:hint="default" w:ascii="仿宋_GB2312" w:hAnsi="仿宋" w:eastAsia="仿宋_GB2312" w:cs="宋体"/>
                <w:kern w:val="2"/>
                <w:sz w:val="28"/>
                <w:szCs w:val="28"/>
                <w:lang w:val="en-US" w:eastAsia="zh-CN" w:bidi="ar-SA"/>
              </w:rPr>
            </w:pPr>
            <w:r>
              <w:rPr>
                <w:rFonts w:hint="eastAsia" w:ascii="仿宋_GB2312" w:hAnsi="仿宋" w:eastAsia="仿宋_GB2312" w:cs="宋体"/>
                <w:kern w:val="2"/>
                <w:sz w:val="28"/>
                <w:szCs w:val="28"/>
                <w:lang w:val="en-US" w:eastAsia="zh-CN" w:bidi="ar-SA"/>
              </w:rPr>
              <w:t>2511.26</w:t>
            </w:r>
          </w:p>
        </w:tc>
      </w:tr>
    </w:tbl>
    <w:p w14:paraId="177E37A7">
      <w:pPr>
        <w:pStyle w:val="8"/>
        <w:rPr>
          <w:lang w:val="zh-CN"/>
        </w:rPr>
      </w:pPr>
    </w:p>
    <w:p w14:paraId="6F1B7188">
      <w:pPr>
        <w:widowControl/>
        <w:numPr>
          <w:ilvl w:val="0"/>
          <w:numId w:val="17"/>
        </w:numPr>
        <w:adjustRightInd w:val="0"/>
        <w:snapToGrid w:val="0"/>
        <w:spacing w:line="580" w:lineRule="exact"/>
        <w:ind w:firstLine="640" w:firstLineChars="2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部门财政资金支出情况。</w:t>
      </w:r>
    </w:p>
    <w:p w14:paraId="3E2FB2E4">
      <w:pPr>
        <w:pStyle w:val="16"/>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default"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2024年支出2511.26元，其中基本支出</w:t>
      </w:r>
      <w:r>
        <w:rPr>
          <w:rFonts w:hint="eastAsia" w:ascii="仿宋_GB2312" w:hAnsi="仿宋_GB2312" w:eastAsia="仿宋_GB2312" w:cs="仿宋_GB2312"/>
          <w:sz w:val="32"/>
          <w:szCs w:val="32"/>
        </w:rPr>
        <w:t>1907.17</w:t>
      </w:r>
      <w:r>
        <w:rPr>
          <w:rFonts w:hint="eastAsia" w:ascii="仿宋_GB2312" w:hAnsi="仿宋_GB2312" w:eastAsia="仿宋_GB2312" w:cs="仿宋_GB2312"/>
          <w:sz w:val="32"/>
          <w:szCs w:val="32"/>
          <w:lang w:val="en-US" w:eastAsia="zh-CN"/>
        </w:rPr>
        <w:t>万</w:t>
      </w:r>
      <w:r>
        <w:rPr>
          <w:rFonts w:hint="eastAsia" w:ascii="仿宋_GB2312" w:hAnsi="仿宋" w:eastAsia="仿宋_GB2312" w:cs="宋体"/>
          <w:kern w:val="2"/>
          <w:sz w:val="32"/>
          <w:szCs w:val="32"/>
          <w:lang w:val="en-US" w:eastAsia="zh-CN" w:bidi="ar-SA"/>
        </w:rPr>
        <w:t>元，项目支出604.09万元。</w:t>
      </w:r>
    </w:p>
    <w:p w14:paraId="0CA546BD">
      <w:pPr>
        <w:spacing w:line="360" w:lineRule="auto"/>
        <w:jc w:val="center"/>
        <w:rPr>
          <w:rFonts w:hint="eastAsia" w:ascii="仿宋" w:hAnsi="仿宋" w:eastAsia="仿宋" w:cs="仿宋_GB2312"/>
          <w:b/>
          <w:sz w:val="28"/>
          <w:szCs w:val="28"/>
        </w:rPr>
      </w:pPr>
      <w:r>
        <w:rPr>
          <w:rFonts w:hint="eastAsia" w:ascii="仿宋" w:hAnsi="仿宋" w:eastAsia="仿宋" w:cs="仿宋_GB2312"/>
          <w:b/>
          <w:sz w:val="28"/>
          <w:szCs w:val="28"/>
        </w:rPr>
        <w:t>202</w:t>
      </w:r>
      <w:r>
        <w:rPr>
          <w:rFonts w:hint="eastAsia" w:ascii="仿宋" w:hAnsi="仿宋" w:eastAsia="仿宋" w:cs="仿宋_GB2312"/>
          <w:b/>
          <w:sz w:val="28"/>
          <w:szCs w:val="28"/>
          <w:lang w:val="en-US" w:eastAsia="zh-CN"/>
        </w:rPr>
        <w:t>4</w:t>
      </w:r>
      <w:r>
        <w:rPr>
          <w:rFonts w:hint="eastAsia" w:ascii="仿宋" w:hAnsi="仿宋" w:eastAsia="仿宋" w:cs="仿宋_GB2312"/>
          <w:b/>
          <w:sz w:val="28"/>
          <w:szCs w:val="28"/>
        </w:rPr>
        <w:t>年度部门资金支出情况表</w:t>
      </w:r>
    </w:p>
    <w:p w14:paraId="6A87413D">
      <w:pPr>
        <w:widowControl/>
        <w:jc w:val="right"/>
        <w:rPr>
          <w:rFonts w:ascii="仿宋" w:hAnsi="仿宋" w:eastAsia="仿宋" w:cs="仿宋_GB2312"/>
          <w:b/>
          <w:color w:val="000000"/>
          <w:kern w:val="0"/>
          <w:sz w:val="28"/>
          <w:szCs w:val="28"/>
          <w:lang w:eastAsia="zh-Hans" w:bidi="ar"/>
        </w:rPr>
      </w:pPr>
      <w:r>
        <w:rPr>
          <w:rFonts w:hint="eastAsia" w:ascii="仿宋" w:hAnsi="仿宋" w:eastAsia="仿宋" w:cs="仿宋_GB2312"/>
          <w:b/>
          <w:color w:val="000000"/>
          <w:kern w:val="0"/>
          <w:sz w:val="24"/>
          <w:szCs w:val="24"/>
          <w:lang w:eastAsia="zh-Hans" w:bidi="ar"/>
        </w:rPr>
        <w:t>单位：</w:t>
      </w:r>
      <w:r>
        <w:rPr>
          <w:rFonts w:hint="eastAsia" w:ascii="仿宋" w:hAnsi="仿宋" w:eastAsia="仿宋" w:cs="仿宋_GB2312"/>
          <w:b/>
          <w:color w:val="000000"/>
          <w:kern w:val="0"/>
          <w:sz w:val="24"/>
          <w:szCs w:val="24"/>
          <w:lang w:val="en-US" w:eastAsia="zh-CN" w:bidi="ar"/>
        </w:rPr>
        <w:t>万</w:t>
      </w:r>
      <w:r>
        <w:rPr>
          <w:rFonts w:hint="eastAsia" w:ascii="仿宋" w:hAnsi="仿宋" w:eastAsia="仿宋" w:cs="仿宋_GB2312"/>
          <w:b/>
          <w:color w:val="000000"/>
          <w:kern w:val="0"/>
          <w:sz w:val="24"/>
          <w:szCs w:val="24"/>
          <w:lang w:eastAsia="zh-Hans" w:bidi="ar"/>
        </w:rPr>
        <w:t>元</w:t>
      </w:r>
    </w:p>
    <w:tbl>
      <w:tblPr>
        <w:tblStyle w:val="20"/>
        <w:tblW w:w="5000" w:type="pct"/>
        <w:tblInd w:w="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2405"/>
        <w:gridCol w:w="2140"/>
        <w:gridCol w:w="2005"/>
      </w:tblGrid>
      <w:tr w14:paraId="29717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pct"/>
            <w:vAlign w:val="center"/>
          </w:tcPr>
          <w:p w14:paraId="073A5AC8">
            <w:pPr>
              <w:spacing w:line="360" w:lineRule="auto"/>
              <w:jc w:val="center"/>
              <w:rPr>
                <w:rFonts w:hint="eastAsia" w:ascii="仿宋" w:hAnsi="仿宋" w:eastAsia="仿宋" w:cs="仿宋"/>
                <w:b/>
                <w:kern w:val="0"/>
                <w:sz w:val="28"/>
                <w:szCs w:val="28"/>
                <w:lang w:eastAsia="zh-Hans"/>
              </w:rPr>
            </w:pPr>
            <w:r>
              <w:rPr>
                <w:rFonts w:hint="eastAsia" w:ascii="仿宋" w:hAnsi="仿宋" w:eastAsia="仿宋" w:cs="仿宋"/>
                <w:b/>
                <w:kern w:val="0"/>
                <w:sz w:val="28"/>
                <w:szCs w:val="28"/>
                <w:lang w:eastAsia="zh-Hans"/>
              </w:rPr>
              <w:t>年初预算</w:t>
            </w:r>
          </w:p>
        </w:tc>
        <w:tc>
          <w:tcPr>
            <w:tcW w:w="3842" w:type="pct"/>
            <w:gridSpan w:val="3"/>
            <w:vAlign w:val="center"/>
          </w:tcPr>
          <w:p w14:paraId="0E9B9417">
            <w:pPr>
              <w:spacing w:line="360" w:lineRule="auto"/>
              <w:jc w:val="center"/>
              <w:rPr>
                <w:rFonts w:hint="eastAsia" w:ascii="仿宋" w:hAnsi="仿宋" w:eastAsia="仿宋" w:cs="仿宋"/>
                <w:b/>
                <w:kern w:val="0"/>
                <w:sz w:val="28"/>
                <w:szCs w:val="28"/>
                <w:lang w:eastAsia="zh-Hans"/>
              </w:rPr>
            </w:pPr>
            <w:r>
              <w:rPr>
                <w:rFonts w:hint="eastAsia" w:ascii="仿宋" w:hAnsi="仿宋" w:eastAsia="仿宋" w:cs="仿宋"/>
                <w:b/>
                <w:kern w:val="0"/>
                <w:sz w:val="28"/>
                <w:szCs w:val="28"/>
                <w:lang w:eastAsia="zh-Hans"/>
              </w:rPr>
              <w:t>年末决算</w:t>
            </w:r>
          </w:p>
        </w:tc>
      </w:tr>
      <w:tr w14:paraId="2C02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pct"/>
            <w:vAlign w:val="center"/>
          </w:tcPr>
          <w:p w14:paraId="417050C1">
            <w:pPr>
              <w:spacing w:line="360" w:lineRule="auto"/>
              <w:jc w:val="center"/>
              <w:rPr>
                <w:rFonts w:hint="eastAsia" w:ascii="仿宋" w:hAnsi="仿宋" w:eastAsia="仿宋" w:cs="仿宋"/>
                <w:b w:val="0"/>
                <w:bCs/>
                <w:kern w:val="0"/>
                <w:sz w:val="28"/>
                <w:szCs w:val="28"/>
                <w:lang w:eastAsia="zh-Hans"/>
              </w:rPr>
            </w:pPr>
            <w:r>
              <w:rPr>
                <w:rFonts w:hint="eastAsia" w:ascii="仿宋" w:hAnsi="仿宋" w:eastAsia="仿宋" w:cs="仿宋"/>
                <w:b w:val="0"/>
                <w:bCs/>
                <w:kern w:val="0"/>
                <w:sz w:val="28"/>
                <w:szCs w:val="28"/>
                <w:lang w:eastAsia="zh-Hans"/>
              </w:rPr>
              <w:t>合计</w:t>
            </w:r>
          </w:p>
        </w:tc>
        <w:tc>
          <w:tcPr>
            <w:tcW w:w="1411" w:type="pct"/>
            <w:vAlign w:val="center"/>
          </w:tcPr>
          <w:p w14:paraId="1F72B92D">
            <w:pPr>
              <w:spacing w:line="360" w:lineRule="auto"/>
              <w:jc w:val="center"/>
              <w:rPr>
                <w:rFonts w:hint="eastAsia" w:ascii="仿宋" w:hAnsi="仿宋" w:eastAsia="仿宋" w:cs="仿宋"/>
                <w:b w:val="0"/>
                <w:bCs/>
                <w:kern w:val="0"/>
                <w:sz w:val="28"/>
                <w:szCs w:val="28"/>
                <w:lang w:eastAsia="zh-Hans"/>
              </w:rPr>
            </w:pPr>
            <w:r>
              <w:rPr>
                <w:rFonts w:hint="eastAsia" w:ascii="仿宋" w:hAnsi="仿宋" w:eastAsia="仿宋" w:cs="仿宋"/>
                <w:b w:val="0"/>
                <w:bCs/>
                <w:kern w:val="0"/>
                <w:sz w:val="28"/>
                <w:szCs w:val="28"/>
                <w:lang w:eastAsia="zh-Hans"/>
              </w:rPr>
              <w:t>合计</w:t>
            </w:r>
          </w:p>
        </w:tc>
        <w:tc>
          <w:tcPr>
            <w:tcW w:w="1255" w:type="pct"/>
            <w:vAlign w:val="center"/>
          </w:tcPr>
          <w:p w14:paraId="265DD209">
            <w:pPr>
              <w:spacing w:line="360" w:lineRule="auto"/>
              <w:jc w:val="center"/>
              <w:rPr>
                <w:rFonts w:hint="eastAsia" w:ascii="仿宋" w:hAnsi="仿宋" w:eastAsia="仿宋" w:cs="仿宋"/>
                <w:b w:val="0"/>
                <w:bCs/>
                <w:kern w:val="0"/>
                <w:sz w:val="28"/>
                <w:szCs w:val="28"/>
                <w:lang w:eastAsia="zh-Hans"/>
              </w:rPr>
            </w:pPr>
            <w:r>
              <w:rPr>
                <w:rFonts w:hint="eastAsia" w:ascii="仿宋" w:hAnsi="仿宋" w:eastAsia="仿宋" w:cs="仿宋"/>
                <w:b w:val="0"/>
                <w:bCs/>
                <w:kern w:val="0"/>
                <w:sz w:val="28"/>
                <w:szCs w:val="28"/>
                <w:lang w:eastAsia="zh-Hans"/>
              </w:rPr>
              <w:t>基本支出</w:t>
            </w:r>
          </w:p>
        </w:tc>
        <w:tc>
          <w:tcPr>
            <w:tcW w:w="1176" w:type="pct"/>
            <w:vAlign w:val="center"/>
          </w:tcPr>
          <w:p w14:paraId="031473B0">
            <w:pPr>
              <w:spacing w:line="360" w:lineRule="auto"/>
              <w:jc w:val="center"/>
              <w:rPr>
                <w:rFonts w:hint="eastAsia" w:ascii="仿宋" w:hAnsi="仿宋" w:eastAsia="仿宋" w:cs="仿宋"/>
                <w:b w:val="0"/>
                <w:bCs/>
                <w:kern w:val="0"/>
                <w:sz w:val="28"/>
                <w:szCs w:val="28"/>
                <w:lang w:eastAsia="zh-Hans"/>
              </w:rPr>
            </w:pPr>
            <w:r>
              <w:rPr>
                <w:rFonts w:hint="eastAsia" w:ascii="仿宋" w:hAnsi="仿宋" w:eastAsia="仿宋" w:cs="仿宋"/>
                <w:b w:val="0"/>
                <w:bCs/>
                <w:kern w:val="0"/>
                <w:sz w:val="28"/>
                <w:szCs w:val="28"/>
                <w:lang w:eastAsia="zh-Hans"/>
              </w:rPr>
              <w:t>项目支出</w:t>
            </w:r>
          </w:p>
        </w:tc>
      </w:tr>
      <w:tr w14:paraId="477B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7" w:type="pct"/>
            <w:vAlign w:val="center"/>
          </w:tcPr>
          <w:p w14:paraId="2FC06302">
            <w:pPr>
              <w:spacing w:line="360" w:lineRule="auto"/>
              <w:jc w:val="center"/>
              <w:rPr>
                <w:rFonts w:hint="default" w:ascii="仿宋" w:hAnsi="仿宋" w:eastAsia="仿宋" w:cs="仿宋"/>
                <w:b w:val="0"/>
                <w:bCs/>
                <w:kern w:val="0"/>
                <w:sz w:val="28"/>
                <w:szCs w:val="28"/>
                <w:lang w:val="en-US" w:eastAsia="zh-CN"/>
              </w:rPr>
            </w:pPr>
            <w:r>
              <w:rPr>
                <w:rFonts w:hint="eastAsia" w:ascii="仿宋_GB2312" w:hAnsi="仿宋" w:eastAsia="仿宋_GB2312" w:cs="宋体"/>
                <w:kern w:val="2"/>
                <w:sz w:val="28"/>
                <w:szCs w:val="28"/>
                <w:lang w:val="en-US" w:eastAsia="zh-CN" w:bidi="ar-SA"/>
              </w:rPr>
              <w:t>2464.41</w:t>
            </w:r>
          </w:p>
        </w:tc>
        <w:tc>
          <w:tcPr>
            <w:tcW w:w="1411" w:type="pct"/>
            <w:vAlign w:val="center"/>
          </w:tcPr>
          <w:p w14:paraId="68472178">
            <w:pPr>
              <w:spacing w:line="360" w:lineRule="auto"/>
              <w:jc w:val="center"/>
              <w:rPr>
                <w:rFonts w:hint="default" w:ascii="仿宋_GB2312" w:hAnsi="仿宋" w:eastAsia="仿宋_GB2312" w:cs="宋体"/>
                <w:kern w:val="2"/>
                <w:sz w:val="28"/>
                <w:szCs w:val="28"/>
                <w:lang w:val="en-US" w:eastAsia="zh-CN" w:bidi="ar-SA"/>
              </w:rPr>
            </w:pPr>
            <w:r>
              <w:rPr>
                <w:rFonts w:hint="eastAsia" w:ascii="仿宋_GB2312" w:hAnsi="仿宋" w:eastAsia="仿宋_GB2312" w:cs="宋体"/>
                <w:kern w:val="2"/>
                <w:sz w:val="28"/>
                <w:szCs w:val="28"/>
                <w:lang w:val="en-US" w:eastAsia="zh-CN" w:bidi="ar-SA"/>
              </w:rPr>
              <w:t>2511.26</w:t>
            </w:r>
          </w:p>
        </w:tc>
        <w:tc>
          <w:tcPr>
            <w:tcW w:w="1255" w:type="pct"/>
            <w:vAlign w:val="center"/>
          </w:tcPr>
          <w:p w14:paraId="199934C7">
            <w:pPr>
              <w:spacing w:line="360" w:lineRule="auto"/>
              <w:jc w:val="center"/>
              <w:rPr>
                <w:rFonts w:hint="default" w:ascii="仿宋_GB2312" w:hAnsi="仿宋" w:eastAsia="仿宋_GB2312" w:cs="宋体"/>
                <w:kern w:val="2"/>
                <w:sz w:val="28"/>
                <w:szCs w:val="28"/>
                <w:lang w:val="en-US" w:eastAsia="zh-CN" w:bidi="ar-SA"/>
              </w:rPr>
            </w:pPr>
            <w:r>
              <w:rPr>
                <w:rFonts w:hint="eastAsia" w:ascii="仿宋_GB2312" w:hAnsi="仿宋" w:eastAsia="仿宋_GB2312" w:cs="宋体"/>
                <w:kern w:val="2"/>
                <w:sz w:val="28"/>
                <w:szCs w:val="28"/>
                <w:lang w:val="en-US" w:eastAsia="zh-CN" w:bidi="ar-SA"/>
              </w:rPr>
              <w:t>1907.17</w:t>
            </w:r>
          </w:p>
        </w:tc>
        <w:tc>
          <w:tcPr>
            <w:tcW w:w="1176" w:type="pct"/>
            <w:vAlign w:val="center"/>
          </w:tcPr>
          <w:p w14:paraId="4D258E29">
            <w:pPr>
              <w:spacing w:line="360" w:lineRule="auto"/>
              <w:jc w:val="center"/>
              <w:rPr>
                <w:rFonts w:hint="default" w:ascii="仿宋_GB2312" w:hAnsi="仿宋" w:eastAsia="仿宋_GB2312" w:cs="宋体"/>
                <w:kern w:val="2"/>
                <w:sz w:val="28"/>
                <w:szCs w:val="28"/>
                <w:lang w:val="en-US" w:eastAsia="zh-CN" w:bidi="ar-SA"/>
              </w:rPr>
            </w:pPr>
            <w:r>
              <w:rPr>
                <w:rFonts w:hint="eastAsia" w:ascii="仿宋_GB2312" w:hAnsi="仿宋" w:eastAsia="仿宋_GB2312" w:cs="宋体"/>
                <w:kern w:val="2"/>
                <w:sz w:val="28"/>
                <w:szCs w:val="28"/>
                <w:lang w:val="en-US" w:eastAsia="zh-CN" w:bidi="ar-SA"/>
              </w:rPr>
              <w:t>604.09</w:t>
            </w:r>
          </w:p>
        </w:tc>
      </w:tr>
    </w:tbl>
    <w:p w14:paraId="12A2E51B">
      <w:pPr>
        <w:pStyle w:val="8"/>
        <w:numPr>
          <w:ilvl w:val="0"/>
          <w:numId w:val="0"/>
        </w:numPr>
        <w:rPr>
          <w:lang w:val="zh-CN"/>
        </w:rPr>
      </w:pPr>
    </w:p>
    <w:p w14:paraId="23F42403">
      <w:pPr>
        <w:widowControl/>
        <w:numPr>
          <w:ilvl w:val="0"/>
          <w:numId w:val="17"/>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部门财政资金结转结余情况。</w:t>
      </w:r>
    </w:p>
    <w:p w14:paraId="2CE65CB2">
      <w:pPr>
        <w:pStyle w:val="8"/>
        <w:numPr>
          <w:ilvl w:val="0"/>
          <w:numId w:val="0"/>
        </w:numPr>
        <w:ind w:leftChars="200"/>
        <w:rPr>
          <w:lang w:val="zh-CN"/>
        </w:rPr>
      </w:pPr>
      <w:r>
        <w:rPr>
          <w:rFonts w:hint="eastAsia" w:ascii="仿宋_GB2312" w:hAnsi="仿宋" w:eastAsia="仿宋_GB2312" w:cs="宋体"/>
          <w:kern w:val="2"/>
          <w:sz w:val="32"/>
          <w:szCs w:val="32"/>
          <w:lang w:val="zh-CN" w:eastAsia="zh-CN" w:bidi="ar-SA"/>
        </w:rPr>
        <w:t>我镇无财政资金结余结转情况。</w:t>
      </w:r>
    </w:p>
    <w:p w14:paraId="580FF9E1">
      <w:pPr>
        <w:widowControl/>
        <w:adjustRightInd w:val="0"/>
        <w:snapToGrid w:val="0"/>
        <w:spacing w:line="580" w:lineRule="exact"/>
        <w:ind w:firstLine="640" w:firstLineChars="200"/>
        <w:contextualSpacing/>
        <w:jc w:val="left"/>
        <w:rPr>
          <w:rFonts w:ascii="黑体" w:hAnsi="黑体" w:eastAsia="黑体" w:cs="宋体"/>
          <w:color w:val="000000"/>
          <w:kern w:val="0"/>
          <w:sz w:val="32"/>
          <w:szCs w:val="32"/>
          <w:shd w:val="clear" w:color="auto" w:fill="FFFFFF"/>
        </w:rPr>
      </w:pPr>
      <w:r>
        <w:rPr>
          <w:rFonts w:hint="eastAsia" w:ascii="黑体" w:hAnsi="黑体" w:eastAsia="黑体" w:cs="宋体"/>
          <w:color w:val="000000"/>
          <w:kern w:val="0"/>
          <w:sz w:val="32"/>
          <w:szCs w:val="32"/>
          <w:shd w:val="clear" w:color="auto" w:fill="FFFFFF"/>
        </w:rPr>
        <w:t>三、部门整体绩效管理情况（根据自评体系进行描述）</w:t>
      </w:r>
    </w:p>
    <w:p w14:paraId="50358819">
      <w:pPr>
        <w:widowControl/>
        <w:adjustRightInd w:val="0"/>
        <w:snapToGrid w:val="0"/>
        <w:spacing w:line="580" w:lineRule="exact"/>
        <w:ind w:firstLine="640" w:firstLineChars="200"/>
        <w:contextualSpacing/>
        <w:jc w:val="left"/>
        <w:rPr>
          <w:rFonts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（一）部门整体履职绩效分析。</w:t>
      </w:r>
    </w:p>
    <w:p w14:paraId="0C1A682A">
      <w:pPr>
        <w:widowControl/>
        <w:adjustRightInd w:val="0"/>
        <w:snapToGrid w:val="0"/>
        <w:spacing w:line="580" w:lineRule="exact"/>
        <w:ind w:firstLine="640" w:firstLineChars="200"/>
        <w:contextualSpacing/>
        <w:jc w:val="left"/>
        <w:rPr>
          <w:rFonts w:hint="eastAsia" w:ascii="仿宋_GB2312" w:eastAsia="仿宋_GB2312" w:cs="仿宋_GB2312"/>
          <w:sz w:val="32"/>
          <w:szCs w:val="32"/>
          <w:lang w:eastAsia="zh-CN"/>
        </w:rPr>
      </w:pPr>
      <w:r>
        <w:rPr>
          <w:rFonts w:hint="eastAsia" w:ascii="仿宋_GB2312" w:hAnsi="宋体" w:eastAsia="仿宋_GB2312" w:cs="宋体"/>
          <w:color w:val="000000"/>
          <w:kern w:val="0"/>
          <w:sz w:val="32"/>
          <w:szCs w:val="32"/>
          <w:shd w:val="clear" w:color="auto" w:fill="FFFFFF"/>
          <w:lang w:val="zh-CN"/>
        </w:rPr>
        <w:t>牛华镇</w:t>
      </w:r>
      <w:r>
        <w:rPr>
          <w:rFonts w:hint="eastAsia" w:ascii="仿宋_GB2312" w:hAnsi="宋体" w:eastAsia="仿宋_GB2312" w:cs="宋体"/>
          <w:color w:val="000000"/>
          <w:kern w:val="0"/>
          <w:sz w:val="32"/>
          <w:szCs w:val="32"/>
          <w:shd w:val="clear" w:color="auto" w:fill="FFFFFF"/>
          <w:lang w:val="en-US" w:eastAsia="zh-CN"/>
        </w:rPr>
        <w:t>2024年主要目标是：</w:t>
      </w:r>
      <w:r>
        <w:rPr>
          <w:rFonts w:hint="eastAsia" w:ascii="仿宋_GB2312" w:hAnsi="仿宋" w:eastAsia="仿宋_GB2312" w:cs="宋体"/>
          <w:sz w:val="32"/>
          <w:szCs w:val="32"/>
        </w:rPr>
        <w:t>坚持以习近平新时代中国特色社会主义思想为指导，加快</w:t>
      </w:r>
      <w:r>
        <w:rPr>
          <w:rFonts w:hint="eastAsia" w:ascii="仿宋_GB2312" w:eastAsia="仿宋_GB2312" w:cs="仿宋_GB2312"/>
          <w:sz w:val="32"/>
          <w:szCs w:val="32"/>
        </w:rPr>
        <w:t>推动乡村振兴，</w:t>
      </w:r>
      <w:r>
        <w:rPr>
          <w:rFonts w:hint="eastAsia" w:ascii="仿宋_GB2312" w:hAnsi="Times New Roman" w:eastAsia="仿宋_GB2312" w:cs="仿宋_GB2312"/>
          <w:sz w:val="32"/>
          <w:szCs w:val="32"/>
          <w:lang w:eastAsia="zh-CN"/>
        </w:rPr>
        <w:t xml:space="preserve">确保全镇各项工作任务顺利完成，以农旅融合片区发展规划为契机，做优做强麻辣烫、豆腐脑等美食产业以及真武村为中心的大棚蔬菜种植、观音堂村为中心的粮经产业带建设，实现乡村“产业兴旺”，做好场镇提升工作，实现乡村“生态宜居”，提高群众生活质量，为群众提供更好的服务。 </w:t>
      </w:r>
      <w:r>
        <w:rPr>
          <w:rFonts w:hint="eastAsia" w:ascii="仿宋_GB2312" w:eastAsia="仿宋_GB2312" w:cs="仿宋_GB2312"/>
          <w:sz w:val="32"/>
          <w:szCs w:val="32"/>
          <w:lang w:eastAsia="zh-CN"/>
        </w:rPr>
        <w:t>指标设置及完成情况如下：</w:t>
      </w:r>
    </w:p>
    <w:p w14:paraId="55C46818">
      <w:pPr>
        <w:spacing w:line="360" w:lineRule="auto"/>
        <w:ind w:firstLine="241" w:firstLineChars="100"/>
        <w:jc w:val="center"/>
        <w:rPr>
          <w:rFonts w:ascii="仿宋" w:hAnsi="仿宋" w:eastAsia="仿宋" w:cs="仿宋_GB2312"/>
          <w:b/>
          <w:sz w:val="24"/>
          <w:szCs w:val="24"/>
        </w:rPr>
      </w:pPr>
      <w:r>
        <w:rPr>
          <w:rFonts w:hint="eastAsia" w:ascii="仿宋" w:hAnsi="仿宋" w:eastAsia="仿宋" w:cs="仿宋_GB2312"/>
          <w:b/>
          <w:sz w:val="24"/>
          <w:szCs w:val="24"/>
          <w:lang w:eastAsia="zh-CN"/>
        </w:rPr>
        <w:t>牛华镇</w:t>
      </w:r>
      <w:r>
        <w:rPr>
          <w:rFonts w:hint="eastAsia" w:ascii="仿宋" w:hAnsi="仿宋" w:eastAsia="仿宋" w:cs="仿宋_GB2312"/>
          <w:b/>
          <w:sz w:val="24"/>
          <w:szCs w:val="24"/>
          <w:lang w:val="en-US" w:eastAsia="zh-CN"/>
        </w:rPr>
        <w:t>2024年度</w:t>
      </w:r>
      <w:r>
        <w:rPr>
          <w:rFonts w:hint="eastAsia" w:ascii="仿宋" w:hAnsi="仿宋" w:eastAsia="仿宋" w:cs="仿宋_GB2312"/>
          <w:b/>
          <w:sz w:val="24"/>
          <w:szCs w:val="24"/>
        </w:rPr>
        <w:t>相关指标设置及完成情况表</w:t>
      </w:r>
    </w:p>
    <w:tbl>
      <w:tblPr>
        <w:tblStyle w:val="20"/>
        <w:tblW w:w="9885" w:type="dxa"/>
        <w:tblInd w:w="-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306"/>
        <w:gridCol w:w="5"/>
        <w:gridCol w:w="1345"/>
        <w:gridCol w:w="1065"/>
        <w:gridCol w:w="1724"/>
        <w:gridCol w:w="1095"/>
        <w:gridCol w:w="1147"/>
        <w:gridCol w:w="1388"/>
      </w:tblGrid>
      <w:tr w14:paraId="1D060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restart"/>
            <w:vAlign w:val="center"/>
          </w:tcPr>
          <w:p w14:paraId="703A0F6A">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年度主要任务</w:t>
            </w:r>
          </w:p>
        </w:tc>
        <w:tc>
          <w:tcPr>
            <w:tcW w:w="2656" w:type="dxa"/>
            <w:gridSpan w:val="3"/>
            <w:vMerge w:val="restart"/>
            <w:vAlign w:val="center"/>
          </w:tcPr>
          <w:p w14:paraId="4C17A346">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任务名称</w:t>
            </w:r>
          </w:p>
        </w:tc>
        <w:tc>
          <w:tcPr>
            <w:tcW w:w="2789" w:type="dxa"/>
            <w:gridSpan w:val="2"/>
            <w:vMerge w:val="restart"/>
            <w:vAlign w:val="center"/>
          </w:tcPr>
          <w:p w14:paraId="47D8FCA8">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主要内容</w:t>
            </w:r>
          </w:p>
        </w:tc>
        <w:tc>
          <w:tcPr>
            <w:tcW w:w="3630" w:type="dxa"/>
            <w:gridSpan w:val="3"/>
            <w:vAlign w:val="center"/>
          </w:tcPr>
          <w:p w14:paraId="4B509C4A">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预算金额（万元）</w:t>
            </w:r>
          </w:p>
        </w:tc>
      </w:tr>
      <w:tr w14:paraId="1BB3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14:paraId="700771E1">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2656" w:type="dxa"/>
            <w:gridSpan w:val="3"/>
            <w:vMerge w:val="continue"/>
            <w:vAlign w:val="center"/>
          </w:tcPr>
          <w:p w14:paraId="3456478F">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2789" w:type="dxa"/>
            <w:gridSpan w:val="2"/>
            <w:vMerge w:val="continue"/>
            <w:vAlign w:val="center"/>
          </w:tcPr>
          <w:p w14:paraId="02BC2CD4">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095" w:type="dxa"/>
            <w:vAlign w:val="center"/>
          </w:tcPr>
          <w:p w14:paraId="1C633170">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总额</w:t>
            </w:r>
          </w:p>
        </w:tc>
        <w:tc>
          <w:tcPr>
            <w:tcW w:w="1147" w:type="dxa"/>
            <w:vAlign w:val="center"/>
          </w:tcPr>
          <w:p w14:paraId="559AB21A">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财政拨款</w:t>
            </w:r>
          </w:p>
        </w:tc>
        <w:tc>
          <w:tcPr>
            <w:tcW w:w="1388" w:type="dxa"/>
            <w:vAlign w:val="center"/>
          </w:tcPr>
          <w:p w14:paraId="6C3D6AEB">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其他资金</w:t>
            </w:r>
          </w:p>
        </w:tc>
      </w:tr>
      <w:tr w14:paraId="4807C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14:paraId="6DA10B4B">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2656" w:type="dxa"/>
            <w:gridSpan w:val="3"/>
            <w:vAlign w:val="center"/>
          </w:tcPr>
          <w:p w14:paraId="139BD00D">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社区基层组织活动</w:t>
            </w:r>
          </w:p>
        </w:tc>
        <w:tc>
          <w:tcPr>
            <w:tcW w:w="2789" w:type="dxa"/>
            <w:gridSpan w:val="2"/>
            <w:vAlign w:val="center"/>
          </w:tcPr>
          <w:p w14:paraId="5D2A1682">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保障社区基层组织开展各项工作、社区服务群众专项经费等、场镇清扫保洁转运费用</w:t>
            </w:r>
          </w:p>
        </w:tc>
        <w:tc>
          <w:tcPr>
            <w:tcW w:w="1095" w:type="dxa"/>
            <w:vAlign w:val="center"/>
          </w:tcPr>
          <w:p w14:paraId="05C753A6">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417.5</w:t>
            </w:r>
          </w:p>
        </w:tc>
        <w:tc>
          <w:tcPr>
            <w:tcW w:w="1147" w:type="dxa"/>
            <w:vAlign w:val="center"/>
          </w:tcPr>
          <w:p w14:paraId="68DE828E">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417.5</w:t>
            </w:r>
          </w:p>
        </w:tc>
        <w:tc>
          <w:tcPr>
            <w:tcW w:w="1388" w:type="dxa"/>
            <w:vAlign w:val="center"/>
          </w:tcPr>
          <w:p w14:paraId="7287B6B4">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r>
      <w:tr w14:paraId="033E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14:paraId="07E3192B">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2656" w:type="dxa"/>
            <w:gridSpan w:val="3"/>
            <w:vAlign w:val="center"/>
          </w:tcPr>
          <w:p w14:paraId="255FC65B">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村级专项运行</w:t>
            </w:r>
          </w:p>
        </w:tc>
        <w:tc>
          <w:tcPr>
            <w:tcW w:w="2789" w:type="dxa"/>
            <w:gridSpan w:val="2"/>
            <w:vAlign w:val="center"/>
          </w:tcPr>
          <w:p w14:paraId="0E191058">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村级基层组织活动资金、乡村振兴驻村第一书记和工作队帮扶事务管理、公共服务运行资金、农村生活垃圾处理等专项资金</w:t>
            </w:r>
          </w:p>
        </w:tc>
        <w:tc>
          <w:tcPr>
            <w:tcW w:w="1095" w:type="dxa"/>
            <w:vAlign w:val="center"/>
          </w:tcPr>
          <w:p w14:paraId="058C6D22">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232.78</w:t>
            </w:r>
          </w:p>
        </w:tc>
        <w:tc>
          <w:tcPr>
            <w:tcW w:w="1147" w:type="dxa"/>
            <w:vAlign w:val="center"/>
          </w:tcPr>
          <w:p w14:paraId="6EA8B7F9">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232.78</w:t>
            </w:r>
          </w:p>
        </w:tc>
        <w:tc>
          <w:tcPr>
            <w:tcW w:w="1388" w:type="dxa"/>
            <w:vAlign w:val="center"/>
          </w:tcPr>
          <w:p w14:paraId="53390013">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r>
      <w:tr w14:paraId="5C0D9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14:paraId="2F35209C">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2656" w:type="dxa"/>
            <w:gridSpan w:val="3"/>
            <w:vAlign w:val="center"/>
          </w:tcPr>
          <w:p w14:paraId="39F2B81D">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民政事务</w:t>
            </w:r>
          </w:p>
        </w:tc>
        <w:tc>
          <w:tcPr>
            <w:tcW w:w="2789" w:type="dxa"/>
            <w:gridSpan w:val="2"/>
            <w:vAlign w:val="center"/>
          </w:tcPr>
          <w:p w14:paraId="33001E6D">
            <w:pPr>
              <w:pStyle w:val="1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拥军优属慰问等民政事业费</w:t>
            </w:r>
          </w:p>
        </w:tc>
        <w:tc>
          <w:tcPr>
            <w:tcW w:w="1095" w:type="dxa"/>
            <w:vAlign w:val="center"/>
          </w:tcPr>
          <w:p w14:paraId="03A80254">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4.6</w:t>
            </w:r>
          </w:p>
        </w:tc>
        <w:tc>
          <w:tcPr>
            <w:tcW w:w="1147" w:type="dxa"/>
            <w:vAlign w:val="center"/>
          </w:tcPr>
          <w:p w14:paraId="28199502">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4.6</w:t>
            </w:r>
          </w:p>
        </w:tc>
        <w:tc>
          <w:tcPr>
            <w:tcW w:w="1388" w:type="dxa"/>
            <w:vAlign w:val="center"/>
          </w:tcPr>
          <w:p w14:paraId="04B64A46">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r>
      <w:tr w14:paraId="683B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49DB1AC5">
            <w:pPr>
              <w:pStyle w:val="16"/>
              <w:rPr>
                <w:rFonts w:hint="default" w:ascii="仿宋" w:hAnsi="仿宋" w:eastAsia="仿宋" w:cs="仿宋_GB2312"/>
                <w:b w:val="0"/>
                <w:bCs/>
                <w:kern w:val="2"/>
                <w:sz w:val="24"/>
                <w:szCs w:val="24"/>
                <w:lang w:val="en-US" w:eastAsia="zh-CN" w:bidi="ar-SA"/>
              </w:rPr>
            </w:pPr>
          </w:p>
        </w:tc>
        <w:tc>
          <w:tcPr>
            <w:tcW w:w="2656" w:type="dxa"/>
            <w:gridSpan w:val="3"/>
            <w:vAlign w:val="center"/>
          </w:tcPr>
          <w:p w14:paraId="033B8D06">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卫生计生事务</w:t>
            </w:r>
          </w:p>
        </w:tc>
        <w:tc>
          <w:tcPr>
            <w:tcW w:w="2789" w:type="dxa"/>
            <w:gridSpan w:val="2"/>
            <w:vAlign w:val="center"/>
          </w:tcPr>
          <w:p w14:paraId="03BCC82C">
            <w:pPr>
              <w:pStyle w:val="16"/>
              <w:ind w:left="0" w:leftChars="0" w:firstLine="0" w:firstLineChars="0"/>
              <w:jc w:val="both"/>
              <w:rPr>
                <w:rFonts w:hint="default" w:ascii="仿宋" w:hAnsi="仿宋" w:eastAsia="仿宋" w:cs="仿宋_GB2312"/>
                <w:b w:val="0"/>
                <w:bCs/>
                <w:kern w:val="2"/>
                <w:sz w:val="24"/>
                <w:szCs w:val="24"/>
                <w:lang w:val="en-US" w:eastAsia="zh-CN" w:bidi="ar-SA"/>
              </w:rPr>
            </w:pPr>
            <w:r>
              <w:rPr>
                <w:rFonts w:hint="default" w:ascii="仿宋" w:hAnsi="仿宋" w:eastAsia="仿宋" w:cs="仿宋_GB2312"/>
                <w:b w:val="0"/>
                <w:bCs/>
                <w:kern w:val="2"/>
                <w:sz w:val="24"/>
                <w:szCs w:val="24"/>
                <w:lang w:val="en-US" w:eastAsia="zh-CN" w:bidi="ar-SA"/>
              </w:rPr>
              <w:t>农村“爱心血库”</w:t>
            </w:r>
            <w:r>
              <w:rPr>
                <w:rFonts w:hint="eastAsia" w:ascii="仿宋" w:hAnsi="仿宋" w:eastAsia="仿宋" w:cs="仿宋_GB2312"/>
                <w:b w:val="0"/>
                <w:bCs/>
                <w:kern w:val="2"/>
                <w:sz w:val="24"/>
                <w:szCs w:val="24"/>
                <w:lang w:val="en-US" w:eastAsia="zh-CN" w:bidi="ar-SA"/>
              </w:rPr>
              <w:t>、</w:t>
            </w:r>
            <w:r>
              <w:rPr>
                <w:rFonts w:hint="default" w:ascii="仿宋" w:hAnsi="仿宋" w:eastAsia="仿宋" w:cs="仿宋_GB2312"/>
                <w:b w:val="0"/>
                <w:bCs/>
                <w:kern w:val="2"/>
                <w:sz w:val="24"/>
                <w:szCs w:val="24"/>
                <w:lang w:val="en-US" w:eastAsia="zh-CN" w:bidi="ar-SA"/>
              </w:rPr>
              <w:t>农民交通、务工补贴经费</w:t>
            </w:r>
          </w:p>
        </w:tc>
        <w:tc>
          <w:tcPr>
            <w:tcW w:w="1095" w:type="dxa"/>
            <w:vAlign w:val="center"/>
          </w:tcPr>
          <w:p w14:paraId="5D9D30C9">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11.05</w:t>
            </w:r>
          </w:p>
        </w:tc>
        <w:tc>
          <w:tcPr>
            <w:tcW w:w="1147" w:type="dxa"/>
            <w:vAlign w:val="center"/>
          </w:tcPr>
          <w:p w14:paraId="54D814CB">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11.05</w:t>
            </w:r>
          </w:p>
        </w:tc>
        <w:tc>
          <w:tcPr>
            <w:tcW w:w="1388" w:type="dxa"/>
          </w:tcPr>
          <w:p w14:paraId="117915F6">
            <w:pPr>
              <w:pStyle w:val="16"/>
              <w:rPr>
                <w:rFonts w:hint="default" w:ascii="仿宋" w:hAnsi="仿宋" w:eastAsia="仿宋" w:cs="仿宋_GB2312"/>
                <w:b w:val="0"/>
                <w:bCs/>
                <w:kern w:val="2"/>
                <w:sz w:val="24"/>
                <w:szCs w:val="24"/>
                <w:lang w:val="en-US" w:eastAsia="zh-CN" w:bidi="ar-SA"/>
              </w:rPr>
            </w:pPr>
          </w:p>
        </w:tc>
      </w:tr>
      <w:tr w14:paraId="4D06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0373477F">
            <w:pPr>
              <w:pStyle w:val="16"/>
              <w:rPr>
                <w:rFonts w:hint="default" w:ascii="仿宋" w:hAnsi="仿宋" w:eastAsia="仿宋" w:cs="仿宋_GB2312"/>
                <w:b/>
                <w:kern w:val="2"/>
                <w:sz w:val="24"/>
                <w:szCs w:val="24"/>
                <w:lang w:val="en-US" w:eastAsia="zh-CN" w:bidi="ar-SA"/>
              </w:rPr>
            </w:pPr>
          </w:p>
        </w:tc>
        <w:tc>
          <w:tcPr>
            <w:tcW w:w="2656" w:type="dxa"/>
            <w:gridSpan w:val="3"/>
            <w:vAlign w:val="center"/>
          </w:tcPr>
          <w:p w14:paraId="5E8A11EC">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default" w:ascii="仿宋" w:hAnsi="仿宋" w:eastAsia="仿宋" w:cs="仿宋_GB2312"/>
                <w:b w:val="0"/>
                <w:bCs/>
                <w:kern w:val="2"/>
                <w:sz w:val="24"/>
                <w:szCs w:val="24"/>
                <w:lang w:val="en-US" w:eastAsia="zh-CN" w:bidi="ar-SA"/>
              </w:rPr>
              <w:t>综合事务管理</w:t>
            </w:r>
          </w:p>
        </w:tc>
        <w:tc>
          <w:tcPr>
            <w:tcW w:w="2789" w:type="dxa"/>
            <w:gridSpan w:val="2"/>
            <w:vAlign w:val="center"/>
          </w:tcPr>
          <w:p w14:paraId="201806AC">
            <w:pPr>
              <w:pStyle w:val="16"/>
              <w:ind w:left="0" w:leftChars="0" w:firstLine="0" w:firstLineChars="0"/>
              <w:jc w:val="both"/>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确保人代会顺利召开，做好人大代表活动工作，确保基层宣传思想文化工作、民兵、广播、老龄等工作顺利开展</w:t>
            </w:r>
          </w:p>
        </w:tc>
        <w:tc>
          <w:tcPr>
            <w:tcW w:w="1095" w:type="dxa"/>
            <w:vAlign w:val="center"/>
          </w:tcPr>
          <w:p w14:paraId="401B1486">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6</w:t>
            </w:r>
          </w:p>
        </w:tc>
        <w:tc>
          <w:tcPr>
            <w:tcW w:w="1147" w:type="dxa"/>
            <w:vAlign w:val="center"/>
          </w:tcPr>
          <w:p w14:paraId="7C1A1229">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6</w:t>
            </w:r>
          </w:p>
        </w:tc>
        <w:tc>
          <w:tcPr>
            <w:tcW w:w="1388" w:type="dxa"/>
          </w:tcPr>
          <w:p w14:paraId="01FCD995">
            <w:pPr>
              <w:pStyle w:val="16"/>
              <w:rPr>
                <w:rFonts w:hint="default" w:ascii="仿宋" w:hAnsi="仿宋" w:eastAsia="仿宋" w:cs="仿宋_GB2312"/>
                <w:b/>
                <w:kern w:val="2"/>
                <w:sz w:val="24"/>
                <w:szCs w:val="24"/>
                <w:lang w:val="en-US" w:eastAsia="zh-CN" w:bidi="ar-SA"/>
              </w:rPr>
            </w:pPr>
          </w:p>
        </w:tc>
      </w:tr>
      <w:tr w14:paraId="34B6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4708F901">
            <w:pPr>
              <w:pStyle w:val="16"/>
              <w:rPr>
                <w:rFonts w:hint="default" w:ascii="仿宋" w:hAnsi="仿宋" w:eastAsia="仿宋" w:cs="仿宋_GB2312"/>
                <w:b/>
                <w:kern w:val="2"/>
                <w:sz w:val="24"/>
                <w:szCs w:val="24"/>
                <w:lang w:val="en-US" w:eastAsia="zh-CN" w:bidi="ar-SA"/>
              </w:rPr>
            </w:pPr>
          </w:p>
        </w:tc>
        <w:tc>
          <w:tcPr>
            <w:tcW w:w="2656" w:type="dxa"/>
            <w:gridSpan w:val="3"/>
            <w:vAlign w:val="center"/>
          </w:tcPr>
          <w:p w14:paraId="5479AC03">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default" w:ascii="仿宋" w:hAnsi="仿宋" w:eastAsia="仿宋" w:cs="仿宋_GB2312"/>
                <w:b w:val="0"/>
                <w:bCs/>
                <w:kern w:val="2"/>
                <w:sz w:val="24"/>
                <w:szCs w:val="24"/>
                <w:lang w:val="en-US" w:eastAsia="zh-CN" w:bidi="ar-SA"/>
              </w:rPr>
              <w:t>关心下一代工作事务管理</w:t>
            </w:r>
          </w:p>
        </w:tc>
        <w:tc>
          <w:tcPr>
            <w:tcW w:w="2789" w:type="dxa"/>
            <w:gridSpan w:val="2"/>
            <w:vAlign w:val="center"/>
          </w:tcPr>
          <w:p w14:paraId="2D3DE6E6">
            <w:pPr>
              <w:pStyle w:val="16"/>
              <w:ind w:left="0" w:leftChars="0" w:firstLine="0" w:firstLineChars="0"/>
              <w:jc w:val="both"/>
              <w:rPr>
                <w:rFonts w:hint="default" w:ascii="仿宋" w:hAnsi="仿宋" w:eastAsia="仿宋" w:cs="仿宋_GB2312"/>
                <w:b w:val="0"/>
                <w:bCs/>
                <w:kern w:val="2"/>
                <w:sz w:val="24"/>
                <w:szCs w:val="24"/>
                <w:lang w:val="en-US" w:eastAsia="zh-CN" w:bidi="ar-SA"/>
              </w:rPr>
            </w:pPr>
            <w:r>
              <w:rPr>
                <w:rFonts w:hint="default" w:ascii="仿宋" w:hAnsi="仿宋" w:eastAsia="仿宋" w:cs="仿宋_GB2312"/>
                <w:b w:val="0"/>
                <w:bCs/>
                <w:kern w:val="2"/>
                <w:sz w:val="24"/>
                <w:szCs w:val="24"/>
                <w:lang w:val="en-US" w:eastAsia="zh-CN" w:bidi="ar-SA"/>
              </w:rPr>
              <w:t>坚持日常对青少年进行社会主义价值观教育，关心关爱贫困儿童、留守儿童</w:t>
            </w:r>
          </w:p>
        </w:tc>
        <w:tc>
          <w:tcPr>
            <w:tcW w:w="1095" w:type="dxa"/>
            <w:vAlign w:val="center"/>
          </w:tcPr>
          <w:p w14:paraId="53F6D6BB">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2.7</w:t>
            </w:r>
          </w:p>
        </w:tc>
        <w:tc>
          <w:tcPr>
            <w:tcW w:w="1147" w:type="dxa"/>
            <w:vAlign w:val="center"/>
          </w:tcPr>
          <w:p w14:paraId="77A7A07E">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2.7</w:t>
            </w:r>
          </w:p>
        </w:tc>
        <w:tc>
          <w:tcPr>
            <w:tcW w:w="1388" w:type="dxa"/>
          </w:tcPr>
          <w:p w14:paraId="540093CD">
            <w:pPr>
              <w:pStyle w:val="16"/>
              <w:rPr>
                <w:rFonts w:hint="default" w:ascii="仿宋" w:hAnsi="仿宋" w:eastAsia="仿宋" w:cs="仿宋_GB2312"/>
                <w:b/>
                <w:kern w:val="2"/>
                <w:sz w:val="24"/>
                <w:szCs w:val="24"/>
                <w:lang w:val="en-US" w:eastAsia="zh-CN" w:bidi="ar-SA"/>
              </w:rPr>
            </w:pPr>
          </w:p>
        </w:tc>
      </w:tr>
      <w:tr w14:paraId="34A3A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10B77C17">
            <w:pPr>
              <w:pStyle w:val="16"/>
              <w:rPr>
                <w:rFonts w:hint="default" w:ascii="仿宋" w:hAnsi="仿宋" w:eastAsia="仿宋" w:cs="仿宋_GB2312"/>
                <w:b/>
                <w:kern w:val="2"/>
                <w:sz w:val="24"/>
                <w:szCs w:val="24"/>
                <w:lang w:val="en-US" w:eastAsia="zh-CN" w:bidi="ar-SA"/>
              </w:rPr>
            </w:pPr>
          </w:p>
        </w:tc>
        <w:tc>
          <w:tcPr>
            <w:tcW w:w="2656" w:type="dxa"/>
            <w:gridSpan w:val="3"/>
            <w:vAlign w:val="center"/>
          </w:tcPr>
          <w:p w14:paraId="1AB373AD">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w:t>
            </w:r>
            <w:r>
              <w:rPr>
                <w:rFonts w:hint="default" w:ascii="仿宋" w:hAnsi="仿宋" w:eastAsia="仿宋" w:cs="仿宋_GB2312"/>
                <w:b w:val="0"/>
                <w:bCs/>
                <w:kern w:val="2"/>
                <w:sz w:val="24"/>
                <w:szCs w:val="24"/>
                <w:lang w:val="en-US" w:eastAsia="zh-CN" w:bidi="ar-SA"/>
              </w:rPr>
              <w:t>有事来协商</w:t>
            </w:r>
            <w:r>
              <w:rPr>
                <w:rFonts w:hint="eastAsia" w:ascii="仿宋" w:hAnsi="仿宋" w:eastAsia="仿宋" w:cs="仿宋_GB2312"/>
                <w:b w:val="0"/>
                <w:bCs/>
                <w:kern w:val="2"/>
                <w:sz w:val="24"/>
                <w:szCs w:val="24"/>
                <w:lang w:val="en-US" w:eastAsia="zh-CN" w:bidi="ar-SA"/>
              </w:rPr>
              <w:t>”</w:t>
            </w:r>
            <w:r>
              <w:rPr>
                <w:rFonts w:hint="default" w:ascii="仿宋" w:hAnsi="仿宋" w:eastAsia="仿宋" w:cs="仿宋_GB2312"/>
                <w:b w:val="0"/>
                <w:bCs/>
                <w:kern w:val="2"/>
                <w:sz w:val="24"/>
                <w:szCs w:val="24"/>
                <w:lang w:val="en-US" w:eastAsia="zh-CN" w:bidi="ar-SA"/>
              </w:rPr>
              <w:t>平台运行经费</w:t>
            </w:r>
          </w:p>
        </w:tc>
        <w:tc>
          <w:tcPr>
            <w:tcW w:w="2789" w:type="dxa"/>
            <w:gridSpan w:val="2"/>
          </w:tcPr>
          <w:p w14:paraId="6A821A08">
            <w:pPr>
              <w:pStyle w:val="16"/>
              <w:ind w:left="0" w:leftChars="0" w:firstLine="0" w:firstLineChars="0"/>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推动政协协商向基层延伸，助推基层社会治理，充分发挥政协专门协商机构作用</w:t>
            </w:r>
          </w:p>
        </w:tc>
        <w:tc>
          <w:tcPr>
            <w:tcW w:w="1095" w:type="dxa"/>
            <w:vAlign w:val="center"/>
          </w:tcPr>
          <w:p w14:paraId="6764A5CA">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3</w:t>
            </w:r>
          </w:p>
        </w:tc>
        <w:tc>
          <w:tcPr>
            <w:tcW w:w="1147" w:type="dxa"/>
            <w:vAlign w:val="center"/>
          </w:tcPr>
          <w:p w14:paraId="3E4FD81F">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3</w:t>
            </w:r>
          </w:p>
        </w:tc>
        <w:tc>
          <w:tcPr>
            <w:tcW w:w="1388" w:type="dxa"/>
          </w:tcPr>
          <w:p w14:paraId="605B2A89">
            <w:pPr>
              <w:pStyle w:val="16"/>
              <w:rPr>
                <w:rFonts w:hint="default" w:ascii="仿宋" w:hAnsi="仿宋" w:eastAsia="仿宋" w:cs="仿宋_GB2312"/>
                <w:b/>
                <w:kern w:val="2"/>
                <w:sz w:val="24"/>
                <w:szCs w:val="24"/>
                <w:lang w:val="en-US" w:eastAsia="zh-CN" w:bidi="ar-SA"/>
              </w:rPr>
            </w:pPr>
          </w:p>
        </w:tc>
      </w:tr>
      <w:tr w14:paraId="5CA52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0016FAA2">
            <w:pPr>
              <w:pStyle w:val="16"/>
              <w:rPr>
                <w:rFonts w:hint="default" w:ascii="仿宋" w:hAnsi="仿宋" w:eastAsia="仿宋" w:cs="仿宋_GB2312"/>
                <w:b/>
                <w:kern w:val="2"/>
                <w:sz w:val="24"/>
                <w:szCs w:val="24"/>
                <w:lang w:val="en-US" w:eastAsia="zh-CN" w:bidi="ar-SA"/>
              </w:rPr>
            </w:pPr>
          </w:p>
        </w:tc>
        <w:tc>
          <w:tcPr>
            <w:tcW w:w="2656" w:type="dxa"/>
            <w:gridSpan w:val="3"/>
            <w:vAlign w:val="center"/>
          </w:tcPr>
          <w:p w14:paraId="7A2022D0">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default" w:ascii="仿宋" w:hAnsi="仿宋" w:eastAsia="仿宋" w:cs="仿宋_GB2312"/>
                <w:b w:val="0"/>
                <w:bCs/>
                <w:kern w:val="2"/>
                <w:sz w:val="24"/>
                <w:szCs w:val="24"/>
                <w:lang w:val="en-US" w:eastAsia="zh-CN" w:bidi="ar-SA"/>
              </w:rPr>
              <w:t>安全监管监察</w:t>
            </w:r>
          </w:p>
        </w:tc>
        <w:tc>
          <w:tcPr>
            <w:tcW w:w="2789" w:type="dxa"/>
            <w:gridSpan w:val="2"/>
          </w:tcPr>
          <w:p w14:paraId="6A679CDD">
            <w:pPr>
              <w:pStyle w:val="16"/>
              <w:ind w:left="0" w:leftChars="0" w:firstLine="0" w:firstLineChars="0"/>
              <w:rPr>
                <w:rFonts w:hint="default" w:ascii="仿宋" w:hAnsi="仿宋" w:eastAsia="仿宋" w:cs="仿宋_GB2312"/>
                <w:b w:val="0"/>
                <w:bCs/>
                <w:kern w:val="2"/>
                <w:sz w:val="24"/>
                <w:szCs w:val="24"/>
                <w:lang w:val="en-US" w:eastAsia="zh-CN" w:bidi="ar-SA"/>
              </w:rPr>
            </w:pPr>
            <w:r>
              <w:rPr>
                <w:rFonts w:hint="default" w:ascii="仿宋" w:hAnsi="仿宋" w:eastAsia="仿宋" w:cs="仿宋_GB2312"/>
                <w:b w:val="0"/>
                <w:bCs/>
                <w:kern w:val="2"/>
                <w:sz w:val="24"/>
                <w:szCs w:val="24"/>
                <w:lang w:val="en-US" w:eastAsia="zh-CN" w:bidi="ar-SA"/>
              </w:rPr>
              <w:t>农村交通安全监管监察、交通督导员补助资金、安全监管资金</w:t>
            </w:r>
          </w:p>
        </w:tc>
        <w:tc>
          <w:tcPr>
            <w:tcW w:w="1095" w:type="dxa"/>
            <w:vAlign w:val="center"/>
          </w:tcPr>
          <w:p w14:paraId="527B80F2">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9.5</w:t>
            </w:r>
          </w:p>
        </w:tc>
        <w:tc>
          <w:tcPr>
            <w:tcW w:w="1147" w:type="dxa"/>
            <w:vAlign w:val="center"/>
          </w:tcPr>
          <w:p w14:paraId="7B8CB6A1">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9.5</w:t>
            </w:r>
          </w:p>
        </w:tc>
        <w:tc>
          <w:tcPr>
            <w:tcW w:w="1388" w:type="dxa"/>
          </w:tcPr>
          <w:p w14:paraId="1666F412">
            <w:pPr>
              <w:pStyle w:val="16"/>
              <w:rPr>
                <w:rFonts w:hint="default" w:ascii="仿宋" w:hAnsi="仿宋" w:eastAsia="仿宋" w:cs="仿宋_GB2312"/>
                <w:b/>
                <w:kern w:val="2"/>
                <w:sz w:val="24"/>
                <w:szCs w:val="24"/>
                <w:lang w:val="en-US" w:eastAsia="zh-CN" w:bidi="ar-SA"/>
              </w:rPr>
            </w:pPr>
          </w:p>
        </w:tc>
      </w:tr>
      <w:tr w14:paraId="5B3B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6136B517">
            <w:pPr>
              <w:pStyle w:val="16"/>
              <w:rPr>
                <w:rFonts w:hint="default" w:ascii="仿宋" w:hAnsi="仿宋" w:eastAsia="仿宋" w:cs="仿宋_GB2312"/>
                <w:b/>
                <w:kern w:val="2"/>
                <w:sz w:val="24"/>
                <w:szCs w:val="24"/>
                <w:lang w:val="en-US" w:eastAsia="zh-CN" w:bidi="ar-SA"/>
              </w:rPr>
            </w:pPr>
          </w:p>
        </w:tc>
        <w:tc>
          <w:tcPr>
            <w:tcW w:w="2656" w:type="dxa"/>
            <w:gridSpan w:val="3"/>
            <w:vAlign w:val="center"/>
          </w:tcPr>
          <w:p w14:paraId="70AEF98F">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default" w:ascii="仿宋" w:hAnsi="仿宋" w:eastAsia="仿宋" w:cs="仿宋_GB2312"/>
                <w:b w:val="0"/>
                <w:bCs/>
                <w:kern w:val="2"/>
                <w:sz w:val="24"/>
                <w:szCs w:val="24"/>
                <w:lang w:val="en-US" w:eastAsia="zh-CN" w:bidi="ar-SA"/>
              </w:rPr>
              <w:t>路灯照明和网格化工作</w:t>
            </w:r>
            <w:r>
              <w:rPr>
                <w:rFonts w:hint="eastAsia" w:ascii="仿宋" w:hAnsi="仿宋" w:eastAsia="仿宋" w:cs="仿宋_GB2312"/>
                <w:b w:val="0"/>
                <w:bCs/>
                <w:kern w:val="2"/>
                <w:sz w:val="24"/>
                <w:szCs w:val="24"/>
                <w:lang w:val="en-US" w:eastAsia="zh-CN" w:bidi="ar-SA"/>
              </w:rPr>
              <w:t>，社区戒毒工作</w:t>
            </w:r>
          </w:p>
        </w:tc>
        <w:tc>
          <w:tcPr>
            <w:tcW w:w="2789" w:type="dxa"/>
            <w:gridSpan w:val="2"/>
          </w:tcPr>
          <w:p w14:paraId="0D76FDB8">
            <w:pPr>
              <w:pStyle w:val="16"/>
              <w:ind w:left="0" w:leftChars="0" w:firstLine="0" w:firstLineChars="0"/>
              <w:rPr>
                <w:rFonts w:hint="default" w:ascii="仿宋" w:hAnsi="仿宋" w:eastAsia="仿宋" w:cs="仿宋_GB2312"/>
                <w:b w:val="0"/>
                <w:bCs/>
                <w:kern w:val="2"/>
                <w:sz w:val="24"/>
                <w:szCs w:val="24"/>
                <w:lang w:val="en-US" w:eastAsia="zh-CN" w:bidi="ar-SA"/>
              </w:rPr>
            </w:pPr>
            <w:r>
              <w:rPr>
                <w:rFonts w:hint="default" w:ascii="仿宋" w:hAnsi="仿宋" w:eastAsia="仿宋" w:cs="仿宋_GB2312"/>
                <w:b w:val="0"/>
                <w:bCs/>
                <w:kern w:val="2"/>
                <w:sz w:val="24"/>
                <w:szCs w:val="24"/>
                <w:lang w:val="en-US" w:eastAsia="zh-CN" w:bidi="ar-SA"/>
              </w:rPr>
              <w:t>确保场镇内所有路灯的照明、网格化服务等其他工作正常开展</w:t>
            </w:r>
          </w:p>
        </w:tc>
        <w:tc>
          <w:tcPr>
            <w:tcW w:w="1095" w:type="dxa"/>
            <w:vAlign w:val="center"/>
          </w:tcPr>
          <w:p w14:paraId="36C5569C">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0.66</w:t>
            </w:r>
          </w:p>
        </w:tc>
        <w:tc>
          <w:tcPr>
            <w:tcW w:w="1147" w:type="dxa"/>
            <w:vAlign w:val="center"/>
          </w:tcPr>
          <w:p w14:paraId="18F690E6">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0.66</w:t>
            </w:r>
          </w:p>
        </w:tc>
        <w:tc>
          <w:tcPr>
            <w:tcW w:w="1388" w:type="dxa"/>
          </w:tcPr>
          <w:p w14:paraId="11796F0D">
            <w:pPr>
              <w:pStyle w:val="16"/>
              <w:rPr>
                <w:rFonts w:hint="default" w:ascii="仿宋" w:hAnsi="仿宋" w:eastAsia="仿宋" w:cs="仿宋_GB2312"/>
                <w:b/>
                <w:kern w:val="2"/>
                <w:sz w:val="24"/>
                <w:szCs w:val="24"/>
                <w:lang w:val="en-US" w:eastAsia="zh-CN" w:bidi="ar-SA"/>
              </w:rPr>
            </w:pPr>
          </w:p>
        </w:tc>
      </w:tr>
      <w:tr w14:paraId="13EC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69D41FC1">
            <w:pPr>
              <w:pStyle w:val="16"/>
              <w:rPr>
                <w:rFonts w:hint="default" w:ascii="仿宋" w:hAnsi="仿宋" w:eastAsia="仿宋" w:cs="仿宋_GB2312"/>
                <w:b/>
                <w:kern w:val="2"/>
                <w:sz w:val="24"/>
                <w:szCs w:val="24"/>
                <w:lang w:val="en-US" w:eastAsia="zh-CN" w:bidi="ar-SA"/>
              </w:rPr>
            </w:pPr>
          </w:p>
        </w:tc>
        <w:tc>
          <w:tcPr>
            <w:tcW w:w="2656" w:type="dxa"/>
            <w:gridSpan w:val="3"/>
            <w:vAlign w:val="center"/>
          </w:tcPr>
          <w:p w14:paraId="67EABCB1">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default" w:ascii="仿宋" w:hAnsi="仿宋" w:eastAsia="仿宋" w:cs="仿宋_GB2312"/>
                <w:b w:val="0"/>
                <w:bCs/>
                <w:kern w:val="2"/>
                <w:sz w:val="24"/>
                <w:szCs w:val="24"/>
                <w:lang w:val="en-US" w:eastAsia="zh-CN" w:bidi="ar-SA"/>
              </w:rPr>
              <w:t>机关运行基本支出</w:t>
            </w:r>
          </w:p>
        </w:tc>
        <w:tc>
          <w:tcPr>
            <w:tcW w:w="2789" w:type="dxa"/>
            <w:gridSpan w:val="2"/>
            <w:vAlign w:val="top"/>
          </w:tcPr>
          <w:p w14:paraId="776BCBB9">
            <w:pPr>
              <w:pStyle w:val="16"/>
              <w:ind w:left="0" w:leftChars="0" w:firstLine="0" w:firstLineChars="0"/>
              <w:rPr>
                <w:rFonts w:hint="default" w:ascii="仿宋" w:hAnsi="仿宋" w:eastAsia="仿宋" w:cs="仿宋_GB2312"/>
                <w:b w:val="0"/>
                <w:bCs/>
                <w:kern w:val="2"/>
                <w:sz w:val="24"/>
                <w:szCs w:val="24"/>
                <w:lang w:val="en-US" w:eastAsia="zh-CN" w:bidi="ar-SA"/>
              </w:rPr>
            </w:pPr>
            <w:r>
              <w:rPr>
                <w:rFonts w:hint="default" w:ascii="仿宋" w:hAnsi="仿宋" w:eastAsia="仿宋" w:cs="仿宋_GB2312"/>
                <w:b w:val="0"/>
                <w:bCs/>
                <w:kern w:val="2"/>
                <w:sz w:val="24"/>
                <w:szCs w:val="24"/>
                <w:lang w:val="en-US" w:eastAsia="zh-CN" w:bidi="ar-SA"/>
              </w:rPr>
              <w:t>保障政府机关、下属事业单位的正常运转</w:t>
            </w:r>
          </w:p>
        </w:tc>
        <w:tc>
          <w:tcPr>
            <w:tcW w:w="1095" w:type="dxa"/>
            <w:vAlign w:val="center"/>
          </w:tcPr>
          <w:p w14:paraId="62DDD9C5">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1708.84</w:t>
            </w:r>
          </w:p>
        </w:tc>
        <w:tc>
          <w:tcPr>
            <w:tcW w:w="1147" w:type="dxa"/>
            <w:vAlign w:val="center"/>
          </w:tcPr>
          <w:p w14:paraId="19B5B771">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1708.84</w:t>
            </w:r>
          </w:p>
        </w:tc>
        <w:tc>
          <w:tcPr>
            <w:tcW w:w="1388" w:type="dxa"/>
          </w:tcPr>
          <w:p w14:paraId="154E9189">
            <w:pPr>
              <w:pStyle w:val="16"/>
              <w:rPr>
                <w:rFonts w:hint="default" w:ascii="仿宋" w:hAnsi="仿宋" w:eastAsia="仿宋" w:cs="仿宋_GB2312"/>
                <w:b/>
                <w:kern w:val="2"/>
                <w:sz w:val="24"/>
                <w:szCs w:val="24"/>
                <w:lang w:val="en-US" w:eastAsia="zh-CN" w:bidi="ar-SA"/>
              </w:rPr>
            </w:pPr>
          </w:p>
        </w:tc>
      </w:tr>
      <w:tr w14:paraId="1561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31C89E4E">
            <w:pPr>
              <w:pStyle w:val="16"/>
              <w:rPr>
                <w:rFonts w:hint="default" w:ascii="仿宋" w:hAnsi="仿宋" w:eastAsia="仿宋" w:cs="仿宋_GB2312"/>
                <w:b/>
                <w:kern w:val="2"/>
                <w:sz w:val="24"/>
                <w:szCs w:val="24"/>
                <w:lang w:val="en-US" w:eastAsia="zh-CN" w:bidi="ar-SA"/>
              </w:rPr>
            </w:pPr>
          </w:p>
        </w:tc>
        <w:tc>
          <w:tcPr>
            <w:tcW w:w="5445" w:type="dxa"/>
            <w:gridSpan w:val="5"/>
            <w:vAlign w:val="center"/>
          </w:tcPr>
          <w:p w14:paraId="7A66A029">
            <w:pPr>
              <w:pStyle w:val="16"/>
              <w:jc w:val="center"/>
              <w:rPr>
                <w:rFonts w:hint="default" w:ascii="仿宋" w:hAnsi="仿宋" w:eastAsia="仿宋" w:cs="仿宋_GB2312"/>
                <w:b/>
                <w:kern w:val="2"/>
                <w:sz w:val="24"/>
                <w:szCs w:val="24"/>
                <w:lang w:val="en-US" w:eastAsia="zh-CN" w:bidi="ar-SA"/>
              </w:rPr>
            </w:pPr>
            <w:r>
              <w:rPr>
                <w:rFonts w:hint="eastAsia" w:ascii="仿宋" w:hAnsi="仿宋" w:eastAsia="仿宋" w:cs="仿宋_GB2312"/>
                <w:b/>
                <w:kern w:val="2"/>
                <w:sz w:val="24"/>
                <w:szCs w:val="24"/>
                <w:lang w:val="en-US" w:eastAsia="zh-CN" w:bidi="ar-SA"/>
              </w:rPr>
              <w:t>金额合计</w:t>
            </w:r>
          </w:p>
        </w:tc>
        <w:tc>
          <w:tcPr>
            <w:tcW w:w="1095" w:type="dxa"/>
          </w:tcPr>
          <w:p w14:paraId="64182E20">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kern w:val="2"/>
                <w:sz w:val="24"/>
                <w:szCs w:val="24"/>
                <w:lang w:val="en-US" w:eastAsia="zh-CN" w:bidi="ar-SA"/>
              </w:rPr>
            </w:pPr>
            <w:r>
              <w:rPr>
                <w:rFonts w:hint="eastAsia" w:ascii="仿宋" w:hAnsi="仿宋" w:eastAsia="仿宋" w:cs="仿宋_GB2312"/>
                <w:b/>
                <w:kern w:val="2"/>
                <w:sz w:val="24"/>
                <w:szCs w:val="24"/>
                <w:lang w:val="en-US" w:eastAsia="zh-CN" w:bidi="ar-SA"/>
              </w:rPr>
              <w:t>2396.63</w:t>
            </w:r>
          </w:p>
        </w:tc>
        <w:tc>
          <w:tcPr>
            <w:tcW w:w="1147" w:type="dxa"/>
          </w:tcPr>
          <w:p w14:paraId="3F31C418">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kern w:val="2"/>
                <w:sz w:val="24"/>
                <w:szCs w:val="24"/>
                <w:lang w:val="en-US" w:eastAsia="zh-CN" w:bidi="ar-SA"/>
              </w:rPr>
            </w:pPr>
            <w:r>
              <w:rPr>
                <w:rFonts w:hint="eastAsia" w:ascii="仿宋" w:hAnsi="仿宋" w:eastAsia="仿宋" w:cs="仿宋_GB2312"/>
                <w:b/>
                <w:kern w:val="2"/>
                <w:sz w:val="24"/>
                <w:szCs w:val="24"/>
                <w:lang w:val="en-US" w:eastAsia="zh-CN" w:bidi="ar-SA"/>
              </w:rPr>
              <w:t>2396.63</w:t>
            </w:r>
          </w:p>
        </w:tc>
        <w:tc>
          <w:tcPr>
            <w:tcW w:w="1388" w:type="dxa"/>
          </w:tcPr>
          <w:p w14:paraId="4CCB5A4B">
            <w:pPr>
              <w:pStyle w:val="16"/>
              <w:rPr>
                <w:rFonts w:hint="default" w:ascii="仿宋" w:hAnsi="仿宋" w:eastAsia="仿宋" w:cs="仿宋_GB2312"/>
                <w:b/>
                <w:kern w:val="2"/>
                <w:sz w:val="24"/>
                <w:szCs w:val="24"/>
                <w:lang w:val="en-US" w:eastAsia="zh-CN" w:bidi="ar-SA"/>
              </w:rPr>
            </w:pPr>
          </w:p>
        </w:tc>
      </w:tr>
      <w:tr w14:paraId="05961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14:paraId="2ADDD463">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年度总体目标</w:t>
            </w:r>
          </w:p>
        </w:tc>
        <w:tc>
          <w:tcPr>
            <w:tcW w:w="9075" w:type="dxa"/>
            <w:gridSpan w:val="8"/>
            <w:vAlign w:val="center"/>
          </w:tcPr>
          <w:p w14:paraId="5442AD0B">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确保全镇各项工作任务顺利完成，更好地服务群众</w:t>
            </w:r>
          </w:p>
        </w:tc>
      </w:tr>
      <w:tr w14:paraId="0571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restart"/>
            <w:vAlign w:val="center"/>
          </w:tcPr>
          <w:p w14:paraId="77AF0255">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年度绩效指标</w:t>
            </w:r>
          </w:p>
        </w:tc>
        <w:tc>
          <w:tcPr>
            <w:tcW w:w="1306" w:type="dxa"/>
          </w:tcPr>
          <w:p w14:paraId="5D442C2F">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一级指标</w:t>
            </w:r>
          </w:p>
        </w:tc>
        <w:tc>
          <w:tcPr>
            <w:tcW w:w="1350" w:type="dxa"/>
            <w:gridSpan w:val="2"/>
          </w:tcPr>
          <w:p w14:paraId="68339056">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二级指标</w:t>
            </w:r>
          </w:p>
        </w:tc>
        <w:tc>
          <w:tcPr>
            <w:tcW w:w="3884" w:type="dxa"/>
            <w:gridSpan w:val="3"/>
          </w:tcPr>
          <w:p w14:paraId="51AE1E8F">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三级指标</w:t>
            </w:r>
          </w:p>
        </w:tc>
        <w:tc>
          <w:tcPr>
            <w:tcW w:w="2535" w:type="dxa"/>
            <w:gridSpan w:val="2"/>
          </w:tcPr>
          <w:p w14:paraId="5BD71EAF">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指标值（包含数字及文字描述）</w:t>
            </w:r>
          </w:p>
        </w:tc>
      </w:tr>
      <w:tr w14:paraId="4D38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4F84C905">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restart"/>
            <w:vAlign w:val="center"/>
          </w:tcPr>
          <w:p w14:paraId="2AA41F0F">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完成指标</w:t>
            </w:r>
          </w:p>
        </w:tc>
        <w:tc>
          <w:tcPr>
            <w:tcW w:w="1345" w:type="dxa"/>
            <w:vMerge w:val="restart"/>
            <w:vAlign w:val="center"/>
          </w:tcPr>
          <w:p w14:paraId="2B8345B8">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数量指标</w:t>
            </w:r>
          </w:p>
        </w:tc>
        <w:tc>
          <w:tcPr>
            <w:tcW w:w="1065" w:type="dxa"/>
            <w:vAlign w:val="center"/>
          </w:tcPr>
          <w:p w14:paraId="63D3D7F7">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指标1：</w:t>
            </w:r>
          </w:p>
        </w:tc>
        <w:tc>
          <w:tcPr>
            <w:tcW w:w="2819" w:type="dxa"/>
            <w:gridSpan w:val="2"/>
            <w:vAlign w:val="top"/>
          </w:tcPr>
          <w:p w14:paraId="6AE71D5F">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完成镇人大会议</w:t>
            </w:r>
          </w:p>
        </w:tc>
        <w:tc>
          <w:tcPr>
            <w:tcW w:w="2535" w:type="dxa"/>
            <w:gridSpan w:val="2"/>
            <w:vAlign w:val="top"/>
          </w:tcPr>
          <w:p w14:paraId="6872B4DB">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1次</w:t>
            </w:r>
          </w:p>
        </w:tc>
      </w:tr>
      <w:tr w14:paraId="14CF8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5321402E">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vAlign w:val="center"/>
          </w:tcPr>
          <w:p w14:paraId="7709A87F">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345" w:type="dxa"/>
            <w:vMerge w:val="continue"/>
            <w:vAlign w:val="center"/>
          </w:tcPr>
          <w:p w14:paraId="0BFDB133">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065" w:type="dxa"/>
            <w:vAlign w:val="center"/>
          </w:tcPr>
          <w:p w14:paraId="0701A1C7">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指标2：</w:t>
            </w:r>
          </w:p>
        </w:tc>
        <w:tc>
          <w:tcPr>
            <w:tcW w:w="2819" w:type="dxa"/>
            <w:gridSpan w:val="2"/>
            <w:vAlign w:val="top"/>
          </w:tcPr>
          <w:p w14:paraId="77B56105">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完成全镇民兵大集合点验</w:t>
            </w:r>
          </w:p>
        </w:tc>
        <w:tc>
          <w:tcPr>
            <w:tcW w:w="2535" w:type="dxa"/>
            <w:gridSpan w:val="2"/>
            <w:vAlign w:val="top"/>
          </w:tcPr>
          <w:p w14:paraId="6E9D8467">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1次</w:t>
            </w:r>
          </w:p>
        </w:tc>
      </w:tr>
      <w:tr w14:paraId="65BBE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1478FD1C">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vAlign w:val="center"/>
          </w:tcPr>
          <w:p w14:paraId="5FEA437F">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345" w:type="dxa"/>
            <w:vMerge w:val="continue"/>
            <w:vAlign w:val="center"/>
          </w:tcPr>
          <w:p w14:paraId="5CFB5C85">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065" w:type="dxa"/>
            <w:vAlign w:val="center"/>
          </w:tcPr>
          <w:p w14:paraId="723FB2C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指标3：</w:t>
            </w:r>
          </w:p>
        </w:tc>
        <w:tc>
          <w:tcPr>
            <w:tcW w:w="2819" w:type="dxa"/>
            <w:gridSpan w:val="2"/>
            <w:vAlign w:val="top"/>
          </w:tcPr>
          <w:p w14:paraId="1512939F">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村社区基层互动</w:t>
            </w:r>
          </w:p>
        </w:tc>
        <w:tc>
          <w:tcPr>
            <w:tcW w:w="2535" w:type="dxa"/>
            <w:gridSpan w:val="2"/>
            <w:vAlign w:val="top"/>
          </w:tcPr>
          <w:p w14:paraId="19FA8823">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村25个，社区6个</w:t>
            </w:r>
          </w:p>
        </w:tc>
      </w:tr>
      <w:tr w14:paraId="30ACA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39C6C202">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vAlign w:val="center"/>
          </w:tcPr>
          <w:p w14:paraId="0ADC2B32">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345" w:type="dxa"/>
            <w:vMerge w:val="restart"/>
            <w:vAlign w:val="center"/>
          </w:tcPr>
          <w:p w14:paraId="4D50374F">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质量指标</w:t>
            </w:r>
          </w:p>
        </w:tc>
        <w:tc>
          <w:tcPr>
            <w:tcW w:w="1065" w:type="dxa"/>
            <w:vAlign w:val="center"/>
          </w:tcPr>
          <w:p w14:paraId="4D199FC2">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指标1：</w:t>
            </w:r>
          </w:p>
        </w:tc>
        <w:tc>
          <w:tcPr>
            <w:tcW w:w="2819" w:type="dxa"/>
            <w:gridSpan w:val="2"/>
          </w:tcPr>
          <w:p w14:paraId="6EE34841">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各项工作完成质量</w:t>
            </w:r>
          </w:p>
        </w:tc>
        <w:tc>
          <w:tcPr>
            <w:tcW w:w="2535" w:type="dxa"/>
            <w:gridSpan w:val="2"/>
          </w:tcPr>
          <w:p w14:paraId="1C21987A">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default" w:ascii="Arial" w:hAnsi="Arial" w:eastAsia="仿宋" w:cs="Arial"/>
                <w:b w:val="0"/>
                <w:bCs/>
                <w:kern w:val="2"/>
                <w:sz w:val="24"/>
                <w:szCs w:val="24"/>
                <w:lang w:val="en-US" w:eastAsia="zh-CN" w:bidi="ar-SA"/>
              </w:rPr>
              <w:t>≥</w:t>
            </w:r>
            <w:r>
              <w:rPr>
                <w:rFonts w:hint="eastAsia" w:ascii="仿宋" w:hAnsi="仿宋" w:eastAsia="仿宋" w:cs="仿宋_GB2312"/>
                <w:b w:val="0"/>
                <w:bCs/>
                <w:kern w:val="2"/>
                <w:sz w:val="24"/>
                <w:szCs w:val="24"/>
                <w:lang w:val="en-US" w:eastAsia="zh-CN" w:bidi="ar-SA"/>
              </w:rPr>
              <w:t>100%</w:t>
            </w:r>
          </w:p>
        </w:tc>
      </w:tr>
      <w:tr w14:paraId="31D3B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277E593C">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vAlign w:val="center"/>
          </w:tcPr>
          <w:p w14:paraId="1774D3EC">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345" w:type="dxa"/>
            <w:vMerge w:val="continue"/>
            <w:vAlign w:val="center"/>
          </w:tcPr>
          <w:p w14:paraId="5B5D3210">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065" w:type="dxa"/>
            <w:vAlign w:val="center"/>
          </w:tcPr>
          <w:p w14:paraId="39466EF4">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指标2：</w:t>
            </w:r>
          </w:p>
        </w:tc>
        <w:tc>
          <w:tcPr>
            <w:tcW w:w="2819" w:type="dxa"/>
            <w:gridSpan w:val="2"/>
          </w:tcPr>
          <w:p w14:paraId="1ED06FA8">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各项资金专项用于项目，资金无截留、无挪用</w:t>
            </w:r>
          </w:p>
        </w:tc>
        <w:tc>
          <w:tcPr>
            <w:tcW w:w="2535" w:type="dxa"/>
            <w:gridSpan w:val="2"/>
          </w:tcPr>
          <w:p w14:paraId="4ED0E327">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default" w:ascii="Arial" w:hAnsi="Arial" w:eastAsia="仿宋" w:cs="Arial"/>
                <w:b w:val="0"/>
                <w:bCs/>
                <w:kern w:val="2"/>
                <w:sz w:val="24"/>
                <w:szCs w:val="24"/>
                <w:lang w:val="en-US" w:eastAsia="zh-CN" w:bidi="ar-SA"/>
              </w:rPr>
              <w:t>≥</w:t>
            </w:r>
            <w:r>
              <w:rPr>
                <w:rFonts w:hint="eastAsia" w:ascii="Arial" w:hAnsi="Arial" w:eastAsia="仿宋" w:cs="Arial"/>
                <w:b w:val="0"/>
                <w:bCs/>
                <w:kern w:val="2"/>
                <w:sz w:val="24"/>
                <w:szCs w:val="24"/>
                <w:lang w:val="en-US" w:eastAsia="zh-CN" w:bidi="ar-SA"/>
              </w:rPr>
              <w:t>10</w:t>
            </w:r>
            <w:r>
              <w:rPr>
                <w:rFonts w:hint="eastAsia" w:ascii="仿宋" w:hAnsi="仿宋" w:eastAsia="仿宋" w:cs="仿宋_GB2312"/>
                <w:b w:val="0"/>
                <w:bCs/>
                <w:kern w:val="2"/>
                <w:sz w:val="24"/>
                <w:szCs w:val="24"/>
                <w:lang w:val="en-US" w:eastAsia="zh-CN" w:bidi="ar-SA"/>
              </w:rPr>
              <w:t>0%</w:t>
            </w:r>
          </w:p>
        </w:tc>
      </w:tr>
      <w:tr w14:paraId="0F4A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7ACD7E69">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vAlign w:val="center"/>
          </w:tcPr>
          <w:p w14:paraId="3233CD34">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345" w:type="dxa"/>
            <w:vAlign w:val="center"/>
          </w:tcPr>
          <w:p w14:paraId="6DAA8775">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时效指标</w:t>
            </w:r>
          </w:p>
        </w:tc>
        <w:tc>
          <w:tcPr>
            <w:tcW w:w="1065" w:type="dxa"/>
            <w:vAlign w:val="center"/>
          </w:tcPr>
          <w:p w14:paraId="28DFD07A">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指标1：</w:t>
            </w:r>
          </w:p>
        </w:tc>
        <w:tc>
          <w:tcPr>
            <w:tcW w:w="2819" w:type="dxa"/>
            <w:gridSpan w:val="2"/>
          </w:tcPr>
          <w:p w14:paraId="2ADA3721">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工作经费及时拨付，保障各项工作顺利开展</w:t>
            </w:r>
          </w:p>
        </w:tc>
        <w:tc>
          <w:tcPr>
            <w:tcW w:w="2535" w:type="dxa"/>
            <w:gridSpan w:val="2"/>
          </w:tcPr>
          <w:p w14:paraId="346A166B">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default" w:ascii="Arial" w:hAnsi="Arial" w:eastAsia="仿宋" w:cs="Arial"/>
                <w:b w:val="0"/>
                <w:bCs/>
                <w:kern w:val="2"/>
                <w:sz w:val="24"/>
                <w:szCs w:val="24"/>
                <w:lang w:val="en-US" w:eastAsia="zh-CN" w:bidi="ar-SA"/>
              </w:rPr>
              <w:t>≥</w:t>
            </w:r>
            <w:r>
              <w:rPr>
                <w:rFonts w:hint="eastAsia" w:ascii="Arial" w:hAnsi="Arial" w:eastAsia="仿宋" w:cs="Arial"/>
                <w:b w:val="0"/>
                <w:bCs/>
                <w:kern w:val="2"/>
                <w:sz w:val="24"/>
                <w:szCs w:val="24"/>
                <w:lang w:val="en-US" w:eastAsia="zh-CN" w:bidi="ar-SA"/>
              </w:rPr>
              <w:t>10</w:t>
            </w:r>
            <w:r>
              <w:rPr>
                <w:rFonts w:hint="eastAsia" w:ascii="仿宋" w:hAnsi="仿宋" w:eastAsia="仿宋" w:cs="仿宋_GB2312"/>
                <w:b w:val="0"/>
                <w:bCs/>
                <w:kern w:val="2"/>
                <w:sz w:val="24"/>
                <w:szCs w:val="24"/>
                <w:lang w:val="en-US" w:eastAsia="zh-CN" w:bidi="ar-SA"/>
              </w:rPr>
              <w:t>0%</w:t>
            </w:r>
          </w:p>
        </w:tc>
      </w:tr>
      <w:tr w14:paraId="5D02A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349AD02A">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vAlign w:val="center"/>
          </w:tcPr>
          <w:p w14:paraId="15E3EEDA">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345" w:type="dxa"/>
            <w:vMerge w:val="restart"/>
            <w:vAlign w:val="center"/>
          </w:tcPr>
          <w:p w14:paraId="07D9040D">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成本指标</w:t>
            </w:r>
          </w:p>
        </w:tc>
        <w:tc>
          <w:tcPr>
            <w:tcW w:w="1065" w:type="dxa"/>
            <w:vAlign w:val="center"/>
          </w:tcPr>
          <w:p w14:paraId="2D885253">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指标1：</w:t>
            </w:r>
          </w:p>
        </w:tc>
        <w:tc>
          <w:tcPr>
            <w:tcW w:w="2819" w:type="dxa"/>
            <w:gridSpan w:val="2"/>
          </w:tcPr>
          <w:p w14:paraId="6DC547B1">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非建档立卡村帮扶</w:t>
            </w:r>
          </w:p>
        </w:tc>
        <w:tc>
          <w:tcPr>
            <w:tcW w:w="2535" w:type="dxa"/>
            <w:gridSpan w:val="2"/>
          </w:tcPr>
          <w:p w14:paraId="400C8F64">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5000元/村/年</w:t>
            </w:r>
          </w:p>
        </w:tc>
      </w:tr>
      <w:tr w14:paraId="5646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37FF519B">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tcPr>
          <w:p w14:paraId="33732C30">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45" w:type="dxa"/>
            <w:vMerge w:val="continue"/>
          </w:tcPr>
          <w:p w14:paraId="772FA90E">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065" w:type="dxa"/>
            <w:vAlign w:val="center"/>
          </w:tcPr>
          <w:p w14:paraId="37518A52">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指标2：</w:t>
            </w:r>
          </w:p>
        </w:tc>
        <w:tc>
          <w:tcPr>
            <w:tcW w:w="2819" w:type="dxa"/>
            <w:gridSpan w:val="2"/>
          </w:tcPr>
          <w:p w14:paraId="28757043">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社区服务建设维护</w:t>
            </w:r>
          </w:p>
        </w:tc>
        <w:tc>
          <w:tcPr>
            <w:tcW w:w="2535" w:type="dxa"/>
            <w:gridSpan w:val="2"/>
          </w:tcPr>
          <w:p w14:paraId="169F5B17">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50万元</w:t>
            </w:r>
          </w:p>
        </w:tc>
      </w:tr>
      <w:tr w14:paraId="4C78E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01CFF984">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restart"/>
            <w:vAlign w:val="center"/>
          </w:tcPr>
          <w:p w14:paraId="0637E2CA">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效益指标</w:t>
            </w:r>
          </w:p>
        </w:tc>
        <w:tc>
          <w:tcPr>
            <w:tcW w:w="1345" w:type="dxa"/>
            <w:vAlign w:val="center"/>
          </w:tcPr>
          <w:p w14:paraId="4AD6FE8D">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经济效益指标</w:t>
            </w:r>
          </w:p>
        </w:tc>
        <w:tc>
          <w:tcPr>
            <w:tcW w:w="1065" w:type="dxa"/>
            <w:vAlign w:val="center"/>
          </w:tcPr>
          <w:p w14:paraId="63A17D9F">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指标1：</w:t>
            </w:r>
          </w:p>
        </w:tc>
        <w:tc>
          <w:tcPr>
            <w:tcW w:w="2819" w:type="dxa"/>
            <w:gridSpan w:val="2"/>
            <w:vAlign w:val="center"/>
          </w:tcPr>
          <w:p w14:paraId="4D20B60A">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顺利开展各项工作，资金使用与预算数基本一致</w:t>
            </w:r>
          </w:p>
        </w:tc>
        <w:tc>
          <w:tcPr>
            <w:tcW w:w="2535" w:type="dxa"/>
            <w:gridSpan w:val="2"/>
            <w:vAlign w:val="center"/>
          </w:tcPr>
          <w:p w14:paraId="13AC40D3">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default" w:ascii="Arial" w:hAnsi="Arial" w:eastAsia="仿宋" w:cs="Arial"/>
                <w:b w:val="0"/>
                <w:bCs/>
                <w:kern w:val="2"/>
                <w:sz w:val="24"/>
                <w:szCs w:val="24"/>
                <w:lang w:val="en-US" w:eastAsia="zh-CN" w:bidi="ar-SA"/>
              </w:rPr>
              <w:t>≥</w:t>
            </w:r>
            <w:r>
              <w:rPr>
                <w:rFonts w:hint="eastAsia" w:ascii="Arial" w:hAnsi="Arial" w:eastAsia="仿宋" w:cs="Arial"/>
                <w:b w:val="0"/>
                <w:bCs/>
                <w:kern w:val="2"/>
                <w:sz w:val="24"/>
                <w:szCs w:val="24"/>
                <w:lang w:val="en-US" w:eastAsia="zh-CN" w:bidi="ar-SA"/>
              </w:rPr>
              <w:t>90</w:t>
            </w:r>
            <w:r>
              <w:rPr>
                <w:rFonts w:hint="eastAsia" w:ascii="仿宋" w:hAnsi="仿宋" w:eastAsia="仿宋" w:cs="仿宋_GB2312"/>
                <w:b w:val="0"/>
                <w:bCs/>
                <w:kern w:val="2"/>
                <w:sz w:val="24"/>
                <w:szCs w:val="24"/>
                <w:lang w:val="en-US" w:eastAsia="zh-CN" w:bidi="ar-SA"/>
              </w:rPr>
              <w:t>%</w:t>
            </w:r>
          </w:p>
        </w:tc>
      </w:tr>
      <w:tr w14:paraId="1287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810" w:type="dxa"/>
            <w:vMerge w:val="continue"/>
          </w:tcPr>
          <w:p w14:paraId="09F652A3">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vAlign w:val="center"/>
          </w:tcPr>
          <w:p w14:paraId="75F9928A">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345" w:type="dxa"/>
            <w:vMerge w:val="restart"/>
            <w:vAlign w:val="center"/>
          </w:tcPr>
          <w:p w14:paraId="3E749E93">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社会效益指标</w:t>
            </w:r>
          </w:p>
        </w:tc>
        <w:tc>
          <w:tcPr>
            <w:tcW w:w="1065" w:type="dxa"/>
            <w:vAlign w:val="center"/>
          </w:tcPr>
          <w:p w14:paraId="62738BE6">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指标1：</w:t>
            </w:r>
          </w:p>
        </w:tc>
        <w:tc>
          <w:tcPr>
            <w:tcW w:w="2819" w:type="dxa"/>
            <w:gridSpan w:val="2"/>
            <w:vAlign w:val="center"/>
          </w:tcPr>
          <w:p w14:paraId="2A7E78BD">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社会民生持续改善，群众幸福指数增强</w:t>
            </w:r>
          </w:p>
        </w:tc>
        <w:tc>
          <w:tcPr>
            <w:tcW w:w="2535" w:type="dxa"/>
            <w:gridSpan w:val="2"/>
            <w:vAlign w:val="center"/>
          </w:tcPr>
          <w:p w14:paraId="4376F1DB">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积极引导就业，进行创业培训</w:t>
            </w:r>
          </w:p>
        </w:tc>
      </w:tr>
      <w:tr w14:paraId="29AD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39883FE5">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vAlign w:val="center"/>
          </w:tcPr>
          <w:p w14:paraId="78F16C8A">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345" w:type="dxa"/>
            <w:vMerge w:val="continue"/>
            <w:vAlign w:val="center"/>
          </w:tcPr>
          <w:p w14:paraId="5D1731F0">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065" w:type="dxa"/>
            <w:vAlign w:val="center"/>
          </w:tcPr>
          <w:p w14:paraId="073273AC">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指标2：</w:t>
            </w:r>
          </w:p>
        </w:tc>
        <w:tc>
          <w:tcPr>
            <w:tcW w:w="2819" w:type="dxa"/>
            <w:gridSpan w:val="2"/>
            <w:vAlign w:val="center"/>
          </w:tcPr>
          <w:p w14:paraId="1803A88D">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全镇经济持续发展</w:t>
            </w:r>
          </w:p>
        </w:tc>
        <w:tc>
          <w:tcPr>
            <w:tcW w:w="2535" w:type="dxa"/>
            <w:gridSpan w:val="2"/>
            <w:vAlign w:val="center"/>
          </w:tcPr>
          <w:p w14:paraId="07959AD7">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完善村社基础设施建设</w:t>
            </w:r>
          </w:p>
        </w:tc>
      </w:tr>
      <w:tr w14:paraId="7A12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65CEB430">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vAlign w:val="center"/>
          </w:tcPr>
          <w:p w14:paraId="1CAA2F9A">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345" w:type="dxa"/>
            <w:vMerge w:val="continue"/>
            <w:vAlign w:val="center"/>
          </w:tcPr>
          <w:p w14:paraId="2D22F24F">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065" w:type="dxa"/>
            <w:vAlign w:val="center"/>
          </w:tcPr>
          <w:p w14:paraId="28ED8AB9">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指标3：</w:t>
            </w:r>
          </w:p>
        </w:tc>
        <w:tc>
          <w:tcPr>
            <w:tcW w:w="2819" w:type="dxa"/>
            <w:gridSpan w:val="2"/>
            <w:vAlign w:val="center"/>
          </w:tcPr>
          <w:p w14:paraId="7715D09A">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推动党建工作再上台阶</w:t>
            </w:r>
          </w:p>
        </w:tc>
        <w:tc>
          <w:tcPr>
            <w:tcW w:w="2535" w:type="dxa"/>
            <w:gridSpan w:val="2"/>
            <w:vAlign w:val="center"/>
          </w:tcPr>
          <w:p w14:paraId="650C8989">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聚焦工作重点，突出抓好班子建设</w:t>
            </w:r>
          </w:p>
        </w:tc>
      </w:tr>
      <w:tr w14:paraId="7A3D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1641CE2D">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vAlign w:val="center"/>
          </w:tcPr>
          <w:p w14:paraId="1B00D13F">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345" w:type="dxa"/>
            <w:vAlign w:val="center"/>
          </w:tcPr>
          <w:p w14:paraId="1A81959F">
            <w:pPr>
              <w:pStyle w:val="16"/>
              <w:ind w:left="0" w:leftChars="0" w:firstLine="0" w:firstLineChars="0"/>
              <w:jc w:val="center"/>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生态效益指标</w:t>
            </w:r>
          </w:p>
        </w:tc>
        <w:tc>
          <w:tcPr>
            <w:tcW w:w="1065" w:type="dxa"/>
            <w:vAlign w:val="center"/>
          </w:tcPr>
          <w:p w14:paraId="7DA47BAA">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指标1：</w:t>
            </w:r>
          </w:p>
        </w:tc>
        <w:tc>
          <w:tcPr>
            <w:tcW w:w="2819" w:type="dxa"/>
            <w:gridSpan w:val="2"/>
            <w:vAlign w:val="center"/>
          </w:tcPr>
          <w:p w14:paraId="04A73A83">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生态发展</w:t>
            </w:r>
          </w:p>
        </w:tc>
        <w:tc>
          <w:tcPr>
            <w:tcW w:w="2535" w:type="dxa"/>
            <w:gridSpan w:val="2"/>
            <w:vAlign w:val="center"/>
          </w:tcPr>
          <w:p w14:paraId="3A9025A6">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绿色发展贯穿全镇建设</w:t>
            </w:r>
          </w:p>
        </w:tc>
      </w:tr>
      <w:tr w14:paraId="50FC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69F55D5E">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restart"/>
            <w:vAlign w:val="center"/>
          </w:tcPr>
          <w:p w14:paraId="5615A779">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满意度指标</w:t>
            </w:r>
          </w:p>
        </w:tc>
        <w:tc>
          <w:tcPr>
            <w:tcW w:w="1345" w:type="dxa"/>
            <w:vMerge w:val="restart"/>
            <w:vAlign w:val="center"/>
          </w:tcPr>
          <w:p w14:paraId="4EAFCE25">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满意度指标</w:t>
            </w:r>
          </w:p>
        </w:tc>
        <w:tc>
          <w:tcPr>
            <w:tcW w:w="1065" w:type="dxa"/>
            <w:vAlign w:val="center"/>
          </w:tcPr>
          <w:p w14:paraId="1B378540">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指标1：</w:t>
            </w:r>
          </w:p>
        </w:tc>
        <w:tc>
          <w:tcPr>
            <w:tcW w:w="2819" w:type="dxa"/>
            <w:gridSpan w:val="2"/>
            <w:vAlign w:val="center"/>
          </w:tcPr>
          <w:p w14:paraId="0DE5C408">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公众满意率</w:t>
            </w:r>
          </w:p>
        </w:tc>
        <w:tc>
          <w:tcPr>
            <w:tcW w:w="2535" w:type="dxa"/>
            <w:gridSpan w:val="2"/>
            <w:vAlign w:val="center"/>
          </w:tcPr>
          <w:p w14:paraId="14990059">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default" w:ascii="Arial" w:hAnsi="Arial" w:eastAsia="仿宋" w:cs="Arial"/>
                <w:b w:val="0"/>
                <w:bCs/>
                <w:kern w:val="2"/>
                <w:sz w:val="24"/>
                <w:szCs w:val="24"/>
                <w:lang w:val="en-US" w:eastAsia="zh-CN" w:bidi="ar-SA"/>
              </w:rPr>
              <w:t>≥</w:t>
            </w:r>
            <w:r>
              <w:rPr>
                <w:rFonts w:hint="eastAsia" w:ascii="仿宋" w:hAnsi="仿宋" w:eastAsia="仿宋" w:cs="仿宋_GB2312"/>
                <w:b w:val="0"/>
                <w:bCs/>
                <w:kern w:val="2"/>
                <w:sz w:val="24"/>
                <w:szCs w:val="24"/>
                <w:lang w:val="en-US" w:eastAsia="zh-CN" w:bidi="ar-SA"/>
              </w:rPr>
              <w:t>90%</w:t>
            </w:r>
          </w:p>
        </w:tc>
      </w:tr>
      <w:tr w14:paraId="765C2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tcPr>
          <w:p w14:paraId="3242EC62">
            <w:pPr>
              <w:pStyle w:val="16"/>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仿宋" w:hAnsi="仿宋" w:eastAsia="仿宋" w:cs="仿宋_GB2312"/>
                <w:b w:val="0"/>
                <w:bCs/>
                <w:kern w:val="2"/>
                <w:sz w:val="24"/>
                <w:szCs w:val="24"/>
                <w:lang w:val="en-US" w:eastAsia="zh-CN" w:bidi="ar-SA"/>
              </w:rPr>
            </w:pPr>
          </w:p>
        </w:tc>
        <w:tc>
          <w:tcPr>
            <w:tcW w:w="1311" w:type="dxa"/>
            <w:gridSpan w:val="2"/>
            <w:vMerge w:val="continue"/>
            <w:vAlign w:val="center"/>
          </w:tcPr>
          <w:p w14:paraId="2268679F">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345" w:type="dxa"/>
            <w:vMerge w:val="continue"/>
            <w:vAlign w:val="center"/>
          </w:tcPr>
          <w:p w14:paraId="2C48BA54">
            <w:pPr>
              <w:pStyle w:val="16"/>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p>
        </w:tc>
        <w:tc>
          <w:tcPr>
            <w:tcW w:w="1065" w:type="dxa"/>
            <w:vAlign w:val="center"/>
          </w:tcPr>
          <w:p w14:paraId="55FA209D">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指标2：</w:t>
            </w:r>
          </w:p>
        </w:tc>
        <w:tc>
          <w:tcPr>
            <w:tcW w:w="2819" w:type="dxa"/>
            <w:gridSpan w:val="2"/>
            <w:vAlign w:val="center"/>
          </w:tcPr>
          <w:p w14:paraId="46577D1A">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eastAsia" w:ascii="仿宋" w:hAnsi="仿宋" w:eastAsia="仿宋" w:cs="仿宋_GB2312"/>
                <w:b w:val="0"/>
                <w:bCs/>
                <w:kern w:val="2"/>
                <w:sz w:val="24"/>
                <w:szCs w:val="24"/>
                <w:lang w:val="en-US" w:eastAsia="zh-CN" w:bidi="ar-SA"/>
              </w:rPr>
              <w:t>项目涉及群众满意率</w:t>
            </w:r>
          </w:p>
        </w:tc>
        <w:tc>
          <w:tcPr>
            <w:tcW w:w="2535" w:type="dxa"/>
            <w:gridSpan w:val="2"/>
            <w:vAlign w:val="center"/>
          </w:tcPr>
          <w:p w14:paraId="6E1D7EEA">
            <w:pPr>
              <w:pStyle w:val="16"/>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default" w:ascii="仿宋" w:hAnsi="仿宋" w:eastAsia="仿宋" w:cs="仿宋_GB2312"/>
                <w:b w:val="0"/>
                <w:bCs/>
                <w:kern w:val="2"/>
                <w:sz w:val="24"/>
                <w:szCs w:val="24"/>
                <w:lang w:val="en-US" w:eastAsia="zh-CN" w:bidi="ar-SA"/>
              </w:rPr>
            </w:pPr>
            <w:r>
              <w:rPr>
                <w:rFonts w:hint="default" w:ascii="Arial" w:hAnsi="Arial" w:eastAsia="仿宋" w:cs="Arial"/>
                <w:b w:val="0"/>
                <w:bCs/>
                <w:kern w:val="2"/>
                <w:sz w:val="24"/>
                <w:szCs w:val="24"/>
                <w:lang w:val="en-US" w:eastAsia="zh-CN" w:bidi="ar-SA"/>
              </w:rPr>
              <w:t>≥</w:t>
            </w:r>
            <w:r>
              <w:rPr>
                <w:rFonts w:hint="eastAsia" w:ascii="仿宋" w:hAnsi="仿宋" w:eastAsia="仿宋" w:cs="仿宋_GB2312"/>
                <w:b w:val="0"/>
                <w:bCs/>
                <w:kern w:val="2"/>
                <w:sz w:val="24"/>
                <w:szCs w:val="24"/>
                <w:lang w:val="en-US" w:eastAsia="zh-CN" w:bidi="ar-SA"/>
              </w:rPr>
              <w:t>90%</w:t>
            </w:r>
          </w:p>
        </w:tc>
      </w:tr>
    </w:tbl>
    <w:p w14:paraId="0AEED986">
      <w:pPr>
        <w:pStyle w:val="8"/>
        <w:rPr>
          <w:rFonts w:hint="eastAsia"/>
          <w:lang w:eastAsia="zh-CN"/>
        </w:rPr>
      </w:pPr>
    </w:p>
    <w:p w14:paraId="307736CB">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（二）特定目标类项目绩效分析。</w:t>
      </w:r>
    </w:p>
    <w:p w14:paraId="73D6A37E">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包括项目绩效目标制定、目标实现、支出控制、及时处置、执行进度、预算完成情况、资金结余率（低效无效率）和违规记录等情况。</w:t>
      </w:r>
    </w:p>
    <w:p w14:paraId="1961A629">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en-US" w:eastAsia="zh-CN"/>
        </w:rPr>
        <w:t>1.</w:t>
      </w:r>
      <w:r>
        <w:rPr>
          <w:rFonts w:hint="eastAsia" w:ascii="仿宋_GB2312" w:hAnsi="宋体" w:eastAsia="仿宋_GB2312" w:cs="宋体"/>
          <w:color w:val="000000"/>
          <w:kern w:val="0"/>
          <w:sz w:val="32"/>
          <w:szCs w:val="32"/>
          <w:shd w:val="clear" w:color="auto" w:fill="FFFFFF"/>
          <w:lang w:val="zh-CN"/>
        </w:rPr>
        <w:t>整体情况</w:t>
      </w:r>
    </w:p>
    <w:p w14:paraId="7F61C030">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left="0" w:leftChars="0" w:firstLine="640" w:firstLineChars="200"/>
        <w:contextualSpacing/>
        <w:jc w:val="left"/>
        <w:textAlignment w:val="auto"/>
        <w:rPr>
          <w:rFonts w:hint="eastAsia" w:ascii="仿宋_GB2312" w:hAnsi="仿宋" w:eastAsia="仿宋_GB2312" w:cs="宋体"/>
          <w:kern w:val="2"/>
          <w:sz w:val="32"/>
          <w:szCs w:val="32"/>
          <w:lang w:val="zh-CN" w:eastAsia="zh-CN" w:bidi="ar-SA"/>
        </w:rPr>
      </w:pPr>
      <w:r>
        <w:rPr>
          <w:rFonts w:hint="eastAsia" w:ascii="仿宋_GB2312" w:hAnsi="仿宋" w:eastAsia="仿宋_GB2312" w:cs="宋体"/>
          <w:kern w:val="2"/>
          <w:sz w:val="32"/>
          <w:szCs w:val="32"/>
          <w:lang w:val="zh-CN" w:eastAsia="zh-CN" w:bidi="ar-SA"/>
        </w:rPr>
        <w:t>（</w:t>
      </w:r>
      <w:r>
        <w:rPr>
          <w:rFonts w:hint="eastAsia" w:ascii="仿宋_GB2312" w:hAnsi="仿宋" w:eastAsia="仿宋_GB2312" w:cs="宋体"/>
          <w:kern w:val="2"/>
          <w:sz w:val="32"/>
          <w:szCs w:val="32"/>
          <w:lang w:val="en-US" w:eastAsia="zh-CN" w:bidi="ar-SA"/>
        </w:rPr>
        <w:t>1</w:t>
      </w:r>
      <w:r>
        <w:rPr>
          <w:rFonts w:hint="eastAsia" w:ascii="仿宋_GB2312" w:hAnsi="仿宋" w:eastAsia="仿宋_GB2312" w:cs="宋体"/>
          <w:kern w:val="2"/>
          <w:sz w:val="32"/>
          <w:szCs w:val="32"/>
          <w:lang w:val="zh-CN" w:eastAsia="zh-CN" w:bidi="ar-SA"/>
        </w:rPr>
        <w:t>）目标制定</w:t>
      </w:r>
    </w:p>
    <w:p w14:paraId="4CECC5E7">
      <w:pPr>
        <w:pStyle w:val="16"/>
        <w:keepNext w:val="0"/>
        <w:keepLines w:val="0"/>
        <w:pageBreakBefore w:val="0"/>
        <w:numPr>
          <w:ilvl w:val="0"/>
          <w:numId w:val="0"/>
        </w:numPr>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zh-CN" w:eastAsia="zh-CN" w:bidi="ar-SA"/>
        </w:rPr>
        <w:t>在编制部门预算时按要求填报了部门整体支出绩效目标以及项目支出绩效目标。绩效目标的完成指标、效益指标及满意度指标三大要素基本完整，并开展部门内部绩效目标审核工作，但部分项目存在绩效目标设置亮化、细化成都不够的问题，自评得分</w:t>
      </w:r>
      <w:r>
        <w:rPr>
          <w:rFonts w:hint="eastAsia" w:ascii="仿宋_GB2312" w:hAnsi="仿宋" w:eastAsia="仿宋_GB2312" w:cs="宋体"/>
          <w:kern w:val="2"/>
          <w:sz w:val="32"/>
          <w:szCs w:val="32"/>
          <w:lang w:val="en-US" w:eastAsia="zh-CN" w:bidi="ar-SA"/>
        </w:rPr>
        <w:t>19分。</w:t>
      </w:r>
    </w:p>
    <w:p w14:paraId="71826441">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left="0" w:leftChars="0" w:firstLine="640" w:firstLineChars="200"/>
        <w:contextualSpacing/>
        <w:jc w:val="left"/>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（2）目标实现</w:t>
      </w:r>
    </w:p>
    <w:p w14:paraId="2FB089BB">
      <w:pPr>
        <w:keepNext w:val="0"/>
        <w:keepLines w:val="0"/>
        <w:pageBreakBefore w:val="0"/>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zh-CN" w:eastAsia="zh-CN" w:bidi="ar-SA"/>
        </w:rPr>
        <w:t>牛华镇</w:t>
      </w:r>
      <w:r>
        <w:rPr>
          <w:rFonts w:hint="eastAsia" w:ascii="仿宋_GB2312" w:hAnsi="仿宋" w:eastAsia="仿宋_GB2312" w:cs="宋体"/>
          <w:kern w:val="2"/>
          <w:sz w:val="32"/>
          <w:szCs w:val="32"/>
          <w:lang w:val="en-US" w:eastAsia="zh-CN" w:bidi="ar-SA"/>
        </w:rPr>
        <w:t>2025年申报了绩效目标的项目共14个，项目完成情况较好，部门预算项目绩效目标实际实现程度与预期目标的偏离度低，自评得分20分。</w:t>
      </w:r>
    </w:p>
    <w:p w14:paraId="24935B66">
      <w:pPr>
        <w:pStyle w:val="16"/>
        <w:keepNext w:val="0"/>
        <w:keepLines w:val="0"/>
        <w:pageBreakBefore w:val="0"/>
        <w:numPr>
          <w:ilvl w:val="0"/>
          <w:numId w:val="0"/>
        </w:numPr>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（3）支出控制</w:t>
      </w:r>
    </w:p>
    <w:p w14:paraId="56E92B9F">
      <w:pPr>
        <w:keepNext w:val="0"/>
        <w:keepLines w:val="0"/>
        <w:pageBreakBefore w:val="0"/>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部门日常公用经费、项目支出中“办公费、印刷费、水费、电费、邮电费、物业管理费”等科目年初预算数与决算数偏差程度在10%内，自评得分10分。</w:t>
      </w:r>
    </w:p>
    <w:p w14:paraId="04D0AD01">
      <w:pPr>
        <w:pStyle w:val="16"/>
        <w:keepNext w:val="0"/>
        <w:keepLines w:val="0"/>
        <w:pageBreakBefore w:val="0"/>
        <w:numPr>
          <w:ilvl w:val="0"/>
          <w:numId w:val="0"/>
        </w:numPr>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（4）及时处置</w:t>
      </w:r>
    </w:p>
    <w:p w14:paraId="58A6C3BF">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绩效运行监控未发现问题，自评得分5分。</w:t>
      </w:r>
    </w:p>
    <w:p w14:paraId="7956D934">
      <w:pPr>
        <w:pStyle w:val="16"/>
        <w:keepNext w:val="0"/>
        <w:keepLines w:val="0"/>
        <w:pageBreakBefore w:val="0"/>
        <w:numPr>
          <w:ilvl w:val="0"/>
          <w:numId w:val="0"/>
        </w:numPr>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（5）执行进度</w:t>
      </w:r>
    </w:p>
    <w:p w14:paraId="5398911D">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部门预算执行进度良好，自评得分5分。</w:t>
      </w:r>
    </w:p>
    <w:p w14:paraId="370B7626">
      <w:pPr>
        <w:pStyle w:val="16"/>
        <w:keepNext w:val="0"/>
        <w:keepLines w:val="0"/>
        <w:pageBreakBefore w:val="0"/>
        <w:numPr>
          <w:ilvl w:val="0"/>
          <w:numId w:val="0"/>
        </w:numPr>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（6）预算完成</w:t>
      </w:r>
    </w:p>
    <w:p w14:paraId="0A1623F4">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2024年度本单位年初预算收入2464.41万元，年初预算支出2464.41万元，决算收入2511.26万元，决算支出2511.26万元，资金结余率为0，自评得分5分。</w:t>
      </w:r>
    </w:p>
    <w:p w14:paraId="552D0627">
      <w:pPr>
        <w:pStyle w:val="16"/>
        <w:keepNext w:val="0"/>
        <w:keepLines w:val="0"/>
        <w:pageBreakBefore w:val="0"/>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（7）违规纪律</w:t>
      </w:r>
    </w:p>
    <w:p w14:paraId="1DB0ED95">
      <w:pPr>
        <w:pStyle w:val="16"/>
        <w:keepNext w:val="0"/>
        <w:keepLines w:val="0"/>
        <w:pageBreakBefore w:val="0"/>
        <w:kinsoku/>
        <w:wordWrap/>
        <w:overflowPunct/>
        <w:topLinePunct w:val="0"/>
        <w:autoSpaceDE/>
        <w:autoSpaceDN/>
        <w:bidi w:val="0"/>
        <w:spacing w:line="600" w:lineRule="exact"/>
        <w:ind w:left="0" w:leftChars="0" w:firstLine="640" w:firstLineChars="200"/>
        <w:textAlignment w:val="auto"/>
        <w:rPr>
          <w:lang w:val="zh-CN"/>
        </w:rPr>
      </w:pPr>
      <w:r>
        <w:rPr>
          <w:rFonts w:hint="eastAsia" w:ascii="仿宋_GB2312" w:hAnsi="仿宋" w:eastAsia="仿宋_GB2312" w:cs="宋体"/>
          <w:kern w:val="2"/>
          <w:sz w:val="32"/>
          <w:szCs w:val="32"/>
          <w:lang w:val="en-US" w:eastAsia="zh-CN" w:bidi="ar-SA"/>
        </w:rPr>
        <w:t>根据审计监督、财会监督和部门自查结果反映，无违规情况，自评得分5分。</w:t>
      </w:r>
    </w:p>
    <w:p w14:paraId="57D864E8">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2.</w:t>
      </w:r>
      <w:r>
        <w:rPr>
          <w:rFonts w:hint="eastAsia" w:ascii="仿宋_GB2312" w:hAnsi="宋体" w:eastAsia="仿宋_GB2312" w:cs="宋体"/>
          <w:color w:val="000000"/>
          <w:kern w:val="0"/>
          <w:sz w:val="32"/>
          <w:szCs w:val="32"/>
          <w:shd w:val="clear" w:color="auto" w:fill="FFFFFF"/>
          <w:lang w:val="en-US" w:eastAsia="zh-CN"/>
        </w:rPr>
        <w:t>5</w:t>
      </w:r>
      <w:r>
        <w:rPr>
          <w:rFonts w:hint="eastAsia" w:ascii="仿宋_GB2312" w:hAnsi="宋体" w:eastAsia="仿宋_GB2312" w:cs="宋体"/>
          <w:color w:val="000000"/>
          <w:kern w:val="0"/>
          <w:sz w:val="32"/>
          <w:szCs w:val="32"/>
          <w:shd w:val="clear" w:color="auto" w:fill="FFFFFF"/>
          <w:lang w:val="zh-CN"/>
        </w:rPr>
        <w:t>0万以上项目：</w:t>
      </w:r>
    </w:p>
    <w:p w14:paraId="6786A4A6">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项目1：</w:t>
      </w:r>
      <w:r>
        <w:rPr>
          <w:rFonts w:hint="eastAsia" w:ascii="仿宋_GB2312" w:hAnsi="宋体" w:eastAsia="仿宋_GB2312" w:cs="宋体"/>
          <w:b w:val="0"/>
          <w:bCs w:val="0"/>
          <w:color w:val="000000"/>
          <w:kern w:val="0"/>
          <w:sz w:val="32"/>
          <w:szCs w:val="32"/>
          <w:shd w:val="clear" w:color="auto" w:fill="FFFFFF"/>
          <w:lang w:val="zh-CN"/>
        </w:rPr>
        <w:t>农村基层组织活动及办公经费。</w:t>
      </w:r>
      <w:r>
        <w:rPr>
          <w:rFonts w:hint="eastAsia" w:ascii="仿宋_GB2312" w:hAnsi="宋体" w:eastAsia="仿宋_GB2312" w:cs="宋体"/>
          <w:color w:val="000000"/>
          <w:kern w:val="0"/>
          <w:sz w:val="32"/>
          <w:szCs w:val="32"/>
          <w:shd w:val="clear" w:color="auto" w:fill="FFFFFF"/>
          <w:lang w:val="zh-CN"/>
        </w:rPr>
        <w:t>按照未合并村</w:t>
      </w:r>
      <w:r>
        <w:rPr>
          <w:rFonts w:hint="eastAsia" w:ascii="仿宋_GB2312" w:hAnsi="宋体" w:eastAsia="仿宋_GB2312" w:cs="宋体"/>
          <w:color w:val="000000"/>
          <w:kern w:val="0"/>
          <w:sz w:val="32"/>
          <w:szCs w:val="32"/>
          <w:shd w:val="clear" w:color="auto" w:fill="FFFFFF"/>
          <w:lang w:val="en-US" w:eastAsia="zh-CN"/>
        </w:rPr>
        <w:t>3万元/村/年的标准，我镇共25个村（建制调整前），补助金额合计75万元，用于村级组织开展基层组织活动，服务群众活动等产生的活动费用及办公经费，实现村级组织补助应补尽发率100%。</w:t>
      </w:r>
      <w:r>
        <w:rPr>
          <w:rFonts w:hint="eastAsia" w:ascii="仿宋_GB2312" w:hAnsi="宋体" w:eastAsia="仿宋_GB2312" w:cs="宋体"/>
          <w:color w:val="000000"/>
          <w:kern w:val="0"/>
          <w:sz w:val="32"/>
          <w:szCs w:val="32"/>
          <w:shd w:val="clear" w:color="auto" w:fill="FFFFFF"/>
          <w:lang w:val="zh-CN"/>
        </w:rPr>
        <w:t xml:space="preserve"> </w:t>
      </w:r>
    </w:p>
    <w:p w14:paraId="2B130FE4">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项目2：农村公共服务运行维护费。按照5万元/村/年的标准，资金总额为</w:t>
      </w:r>
      <w:r>
        <w:rPr>
          <w:rFonts w:hint="eastAsia" w:ascii="仿宋_GB2312" w:hAnsi="宋体" w:eastAsia="仿宋_GB2312" w:cs="宋体"/>
          <w:color w:val="000000"/>
          <w:kern w:val="0"/>
          <w:sz w:val="32"/>
          <w:szCs w:val="32"/>
          <w:shd w:val="clear" w:color="auto" w:fill="FFFFFF"/>
          <w:lang w:val="en-US" w:eastAsia="zh-CN"/>
        </w:rPr>
        <w:t>125万元，已全部到位，到位率100%。</w:t>
      </w:r>
      <w:r>
        <w:rPr>
          <w:rFonts w:hint="eastAsia" w:ascii="仿宋_GB2312" w:hAnsi="宋体" w:eastAsia="仿宋_GB2312" w:cs="宋体"/>
          <w:color w:val="000000"/>
          <w:kern w:val="0"/>
          <w:sz w:val="32"/>
          <w:szCs w:val="32"/>
          <w:shd w:val="clear" w:color="auto" w:fill="FFFFFF"/>
          <w:lang w:val="zh-CN"/>
        </w:rPr>
        <w:t>经费使用严格执行财务制度，确保专款专用，保障牛华镇25个村农村基础设施建设和人居环境整治、农业生产服务、农村生活服务等项目建设，统筹农村发展和安全，搞好“五清行动”，做好森林防灭火，疫情防控，防汛减灾等工作。</w:t>
      </w:r>
    </w:p>
    <w:p w14:paraId="6A5C0C26">
      <w:pPr>
        <w:pStyle w:val="1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lang w:val="zh-CN"/>
        </w:rPr>
      </w:pPr>
      <w:r>
        <w:rPr>
          <w:rFonts w:hint="eastAsia" w:ascii="仿宋_GB2312" w:hAnsi="宋体" w:eastAsia="仿宋_GB2312" w:cs="宋体"/>
          <w:color w:val="000000"/>
          <w:kern w:val="0"/>
          <w:szCs w:val="32"/>
          <w:shd w:val="clear" w:color="auto" w:fill="FFFFFF"/>
          <w:lang w:val="zh-CN"/>
        </w:rPr>
        <w:t>项目</w:t>
      </w:r>
      <w:r>
        <w:rPr>
          <w:rFonts w:hint="eastAsia" w:ascii="仿宋_GB2312" w:hAnsi="宋体" w:eastAsia="仿宋_GB2312" w:cs="宋体"/>
          <w:color w:val="000000"/>
          <w:kern w:val="0"/>
          <w:szCs w:val="32"/>
          <w:shd w:val="clear" w:color="auto" w:fill="FFFFFF"/>
          <w:lang w:val="en-US" w:eastAsia="zh-CN"/>
        </w:rPr>
        <w:t>3：</w:t>
      </w:r>
      <w:r>
        <w:rPr>
          <w:rFonts w:hint="eastAsia" w:ascii="仿宋_GB2312" w:hAnsi="宋体" w:eastAsia="仿宋_GB2312" w:cs="宋体"/>
          <w:color w:val="000000"/>
          <w:kern w:val="0"/>
          <w:sz w:val="32"/>
          <w:szCs w:val="32"/>
          <w:shd w:val="clear" w:color="auto" w:fill="FFFFFF"/>
          <w:lang w:val="en-US" w:eastAsia="zh-CN" w:bidi="ar-SA"/>
        </w:rPr>
        <w:t>牛华片区环境卫生清扫保洁项目。主要负责市政道路、人行道、公共巷道等的清扫保洁和场镇道路人行道上的杂草清理，场镇市政道路的冲洗清扫作业和完成城市市政道路护栏的清洗、公共厕所的保洁服务及路灯和树木维护，负责城市公共区域的牛皮癣清除、果皮箱、垃圾桶、路名牌等的清洗，负责街面果皮箱的套袋及箱内垃圾收集转运，积极协助参与各类应急抢险工作及采购人要求其他相关工作任务。全面完成城镇环境卫生清扫工作</w:t>
      </w:r>
    </w:p>
    <w:p w14:paraId="4567078A">
      <w:pPr>
        <w:widowControl/>
        <w:adjustRightInd w:val="0"/>
        <w:snapToGrid w:val="0"/>
        <w:spacing w:line="580" w:lineRule="exact"/>
        <w:ind w:firstLine="640" w:firstLineChars="200"/>
        <w:contextualSpacing/>
        <w:jc w:val="left"/>
        <w:rPr>
          <w:rFonts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（三）结果应用情况。</w:t>
      </w:r>
    </w:p>
    <w:p w14:paraId="16FC159D">
      <w:pPr>
        <w:pStyle w:val="16"/>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1.内部应用</w:t>
      </w:r>
    </w:p>
    <w:p w14:paraId="57CF11F4">
      <w:pPr>
        <w:widowControl/>
        <w:adjustRightInd w:val="0"/>
        <w:snapToGrid w:val="0"/>
        <w:spacing w:line="580" w:lineRule="exact"/>
        <w:ind w:firstLine="640" w:firstLineChars="200"/>
        <w:contextualSpacing/>
        <w:jc w:val="left"/>
        <w:rPr>
          <w:rFonts w:hint="default" w:ascii="仿宋_GB2312" w:hAnsi="宋体" w:eastAsia="仿宋_GB2312" w:cs="宋体"/>
          <w:color w:val="000000"/>
          <w:kern w:val="0"/>
          <w:sz w:val="32"/>
          <w:szCs w:val="32"/>
          <w:shd w:val="clear" w:color="auto" w:fill="FFFFFF"/>
          <w:lang w:val="en-US" w:eastAsia="zh-CN"/>
        </w:rPr>
      </w:pPr>
      <w:r>
        <w:rPr>
          <w:rFonts w:hint="default" w:ascii="仿宋_GB2312" w:hAnsi="宋体" w:eastAsia="仿宋_GB2312" w:cs="宋体"/>
          <w:color w:val="000000"/>
          <w:kern w:val="0"/>
          <w:sz w:val="32"/>
          <w:szCs w:val="32"/>
          <w:shd w:val="clear" w:color="auto" w:fill="FFFFFF"/>
          <w:lang w:val="en-US" w:eastAsia="zh-CN"/>
        </w:rPr>
        <w:t>内设机构和下属单位绩效自评情况纳入内部考核体系，建立对内设机构和下属单位预算与绩效挂钩机制</w:t>
      </w:r>
      <w:r>
        <w:rPr>
          <w:rFonts w:hint="eastAsia" w:ascii="仿宋_GB2312" w:hAnsi="宋体" w:eastAsia="仿宋_GB2312" w:cs="宋体"/>
          <w:color w:val="000000"/>
          <w:kern w:val="0"/>
          <w:sz w:val="32"/>
          <w:szCs w:val="32"/>
          <w:shd w:val="clear" w:color="auto" w:fill="FFFFFF"/>
          <w:lang w:val="en-US" w:eastAsia="zh-CN"/>
        </w:rPr>
        <w:t>。“内部应用”指标满分10分。自评得分10分。</w:t>
      </w:r>
    </w:p>
    <w:p w14:paraId="64C0D360">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2.自评公开</w:t>
      </w:r>
    </w:p>
    <w:p w14:paraId="16B2BCC3">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牛华镇人民政府在乐山市五通桥区人民政府门户网站上按实按时对外公开部门年度预算情况。“自评公开”指标满分5分，自评得分5分。</w:t>
      </w:r>
    </w:p>
    <w:p w14:paraId="01220E72">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3.整改反馈情况</w:t>
      </w:r>
    </w:p>
    <w:p w14:paraId="7D9654DF">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en-US" w:eastAsia="zh-CN"/>
        </w:rPr>
        <w:t>根据提供的资料，牛华镇2024年年度接受了财政监督检查，并认真完成了整改反馈，并在规定时间内向财政部门反馈应用绩效结果报告。“整改反馈”指标满分10分，自评分10分。</w:t>
      </w:r>
    </w:p>
    <w:p w14:paraId="3EFC1AB3">
      <w:pPr>
        <w:widowControl/>
        <w:adjustRightInd w:val="0"/>
        <w:snapToGrid w:val="0"/>
        <w:spacing w:line="580" w:lineRule="exact"/>
        <w:ind w:firstLine="640" w:firstLineChars="200"/>
        <w:contextualSpacing/>
        <w:jc w:val="left"/>
        <w:rPr>
          <w:rFonts w:ascii="黑体" w:hAnsi="黑体" w:eastAsia="黑体" w:cs="宋体"/>
          <w:color w:val="000000"/>
          <w:kern w:val="0"/>
          <w:sz w:val="32"/>
          <w:szCs w:val="32"/>
          <w:shd w:val="clear" w:color="auto" w:fill="FFFFFF"/>
        </w:rPr>
      </w:pPr>
      <w:r>
        <w:rPr>
          <w:rFonts w:hint="eastAsia" w:ascii="黑体" w:hAnsi="黑体" w:eastAsia="黑体" w:cs="宋体"/>
          <w:color w:val="000000"/>
          <w:kern w:val="0"/>
          <w:sz w:val="32"/>
          <w:szCs w:val="32"/>
          <w:shd w:val="clear" w:color="auto" w:fill="FFFFFF"/>
        </w:rPr>
        <w:t>四、评价结论及建议</w:t>
      </w:r>
    </w:p>
    <w:p w14:paraId="3A04D5B6">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（一）评价结论。</w:t>
      </w:r>
    </w:p>
    <w:p w14:paraId="077679CE">
      <w:pPr>
        <w:pStyle w:val="1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lang w:val="zh-CN"/>
        </w:rPr>
      </w:pPr>
      <w:r>
        <w:rPr>
          <w:rFonts w:hint="eastAsia" w:ascii="仿宋_GB2312" w:hAnsi="宋体" w:eastAsia="仿宋_GB2312" w:cs="宋体"/>
          <w:color w:val="000000"/>
          <w:kern w:val="0"/>
          <w:sz w:val="32"/>
          <w:szCs w:val="32"/>
          <w:shd w:val="clear" w:color="auto" w:fill="FFFFFF"/>
          <w:lang w:val="zh-CN" w:eastAsia="zh-CN" w:bidi="ar-SA"/>
        </w:rPr>
        <w:t>根据区级部门整体绩效自评体系，牛华镇</w:t>
      </w:r>
      <w:r>
        <w:rPr>
          <w:rFonts w:hint="eastAsia" w:ascii="仿宋_GB2312" w:hAnsi="宋体" w:eastAsia="仿宋_GB2312" w:cs="宋体"/>
          <w:color w:val="000000"/>
          <w:kern w:val="0"/>
          <w:sz w:val="32"/>
          <w:szCs w:val="32"/>
          <w:shd w:val="clear" w:color="auto" w:fill="FFFFFF"/>
          <w:lang w:val="en-US" w:eastAsia="zh-CN" w:bidi="ar-SA"/>
        </w:rPr>
        <w:t>2024年度部门整体绩效评价得分99分，评价等级为优。</w:t>
      </w:r>
    </w:p>
    <w:p w14:paraId="5BFE6436">
      <w:pPr>
        <w:widowControl/>
        <w:numPr>
          <w:ilvl w:val="0"/>
          <w:numId w:val="18"/>
        </w:numPr>
        <w:adjustRightInd w:val="0"/>
        <w:snapToGrid w:val="0"/>
        <w:spacing w:line="580" w:lineRule="exact"/>
        <w:ind w:firstLine="640" w:firstLineChars="2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存在问题。</w:t>
      </w:r>
    </w:p>
    <w:p w14:paraId="6C945FEB">
      <w:pPr>
        <w:pStyle w:val="16"/>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宋体" w:eastAsia="仿宋_GB2312" w:cs="宋体"/>
          <w:color w:val="000000"/>
          <w:kern w:val="0"/>
          <w:sz w:val="32"/>
          <w:szCs w:val="32"/>
          <w:shd w:val="clear" w:color="auto" w:fill="FFFFFF"/>
          <w:lang w:val="zh-CN" w:eastAsia="zh-CN" w:bidi="ar-SA"/>
        </w:rPr>
      </w:pPr>
      <w:r>
        <w:rPr>
          <w:rFonts w:hint="eastAsia" w:ascii="仿宋_GB2312" w:hAnsi="宋体" w:eastAsia="仿宋_GB2312" w:cs="宋体"/>
          <w:color w:val="000000"/>
          <w:kern w:val="0"/>
          <w:sz w:val="32"/>
          <w:szCs w:val="32"/>
          <w:shd w:val="clear" w:color="auto" w:fill="FFFFFF"/>
          <w:lang w:val="en-US" w:eastAsia="zh-CN" w:bidi="ar-SA"/>
        </w:rPr>
        <w:t>牛华镇2024年度本单位年初预算收入</w:t>
      </w:r>
      <w:r>
        <w:rPr>
          <w:rFonts w:hint="eastAsia" w:ascii="仿宋_GB2312" w:hAnsi="仿宋" w:eastAsia="仿宋_GB2312" w:cs="宋体"/>
          <w:kern w:val="2"/>
          <w:sz w:val="32"/>
          <w:szCs w:val="32"/>
          <w:lang w:val="en-US" w:eastAsia="zh-CN" w:bidi="ar-SA"/>
        </w:rPr>
        <w:t>2464.41万</w:t>
      </w:r>
      <w:r>
        <w:rPr>
          <w:rFonts w:hint="eastAsia" w:ascii="仿宋_GB2312" w:hAnsi="宋体" w:eastAsia="仿宋_GB2312" w:cs="宋体"/>
          <w:color w:val="000000"/>
          <w:kern w:val="0"/>
          <w:sz w:val="32"/>
          <w:szCs w:val="32"/>
          <w:shd w:val="clear" w:color="auto" w:fill="FFFFFF"/>
          <w:lang w:val="en-US" w:eastAsia="zh-CN" w:bidi="ar-SA"/>
        </w:rPr>
        <w:t>元，年初预算支出</w:t>
      </w:r>
      <w:r>
        <w:rPr>
          <w:rFonts w:hint="eastAsia" w:ascii="仿宋_GB2312" w:hAnsi="仿宋" w:eastAsia="仿宋_GB2312" w:cs="宋体"/>
          <w:kern w:val="2"/>
          <w:sz w:val="32"/>
          <w:szCs w:val="32"/>
          <w:lang w:val="en-US" w:eastAsia="zh-CN" w:bidi="ar-SA"/>
        </w:rPr>
        <w:t>2464.41万</w:t>
      </w:r>
      <w:r>
        <w:rPr>
          <w:rFonts w:hint="eastAsia" w:ascii="仿宋_GB2312" w:hAnsi="宋体" w:eastAsia="仿宋_GB2312" w:cs="宋体"/>
          <w:color w:val="000000"/>
          <w:kern w:val="0"/>
          <w:sz w:val="32"/>
          <w:szCs w:val="32"/>
          <w:shd w:val="clear" w:color="auto" w:fill="FFFFFF"/>
          <w:lang w:val="en-US" w:eastAsia="zh-CN" w:bidi="ar-SA"/>
        </w:rPr>
        <w:t>元，全年预算收入2573.26万元，全年预算支出2573.26万元，调整金额较大，年初预算编制不够精准。</w:t>
      </w:r>
    </w:p>
    <w:p w14:paraId="5A11A79D">
      <w:pPr>
        <w:widowControl/>
        <w:numPr>
          <w:ilvl w:val="0"/>
          <w:numId w:val="18"/>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 w:val="32"/>
          <w:szCs w:val="32"/>
          <w:shd w:val="clear" w:color="auto" w:fill="FFFFFF"/>
          <w:lang w:val="zh-CN"/>
        </w:rPr>
      </w:pPr>
      <w:r>
        <w:rPr>
          <w:rFonts w:hint="eastAsia" w:ascii="楷体_GB2312" w:hAnsi="宋体" w:eastAsia="楷体_GB2312" w:cs="宋体"/>
          <w:color w:val="000000"/>
          <w:kern w:val="0"/>
          <w:sz w:val="32"/>
          <w:szCs w:val="32"/>
          <w:shd w:val="clear" w:color="auto" w:fill="FFFFFF"/>
          <w:lang w:val="zh-CN"/>
        </w:rPr>
        <w:t>改进建议。</w:t>
      </w:r>
    </w:p>
    <w:p w14:paraId="20C5B736">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textAlignment w:val="auto"/>
        <w:rPr>
          <w:rFonts w:hint="eastAsia" w:ascii="仿宋_GB2312" w:hAnsi="仿宋" w:eastAsia="仿宋_GB2312" w:cs="宋体"/>
          <w:kern w:val="2"/>
          <w:sz w:val="32"/>
          <w:szCs w:val="32"/>
          <w:lang w:val="en-US" w:eastAsia="zh-CN" w:bidi="ar-SA"/>
        </w:rPr>
      </w:pPr>
      <w:r>
        <w:rPr>
          <w:rFonts w:hint="eastAsia" w:ascii="仿宋_GB2312" w:hAnsi="仿宋" w:eastAsia="仿宋_GB2312" w:cs="宋体"/>
          <w:kern w:val="2"/>
          <w:sz w:val="32"/>
          <w:szCs w:val="32"/>
          <w:lang w:val="en-US" w:eastAsia="zh-CN" w:bidi="ar-SA"/>
        </w:rPr>
        <w:t>提高预算编制管理水平充分了解预算需求，合理安排支出结构，提高预算编制的准确度，做到科学合理、规范完整、细化量化并与预算安排相匹配。</w:t>
      </w:r>
    </w:p>
    <w:p w14:paraId="6B2272DB">
      <w:pPr>
        <w:pStyle w:val="16"/>
        <w:rPr>
          <w:rFonts w:hint="eastAsia" w:ascii="仿宋_GB2312" w:hAnsi="仿宋" w:eastAsia="仿宋_GB2312" w:cs="宋体"/>
          <w:kern w:val="2"/>
          <w:sz w:val="32"/>
          <w:szCs w:val="32"/>
          <w:lang w:val="en-US" w:eastAsia="zh-CN" w:bidi="ar-SA"/>
        </w:rPr>
      </w:pPr>
    </w:p>
    <w:p w14:paraId="6FBD355F">
      <w:pPr>
        <w:pStyle w:val="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部门预算项目支出绩效自评表（2024年度）</w:t>
      </w:r>
    </w:p>
    <w:p w14:paraId="60A56BD3">
      <w:pPr>
        <w:rPr>
          <w:rFonts w:hint="eastAsia"/>
          <w:lang w:val="en-US" w:eastAsia="zh-CN"/>
        </w:rPr>
      </w:pPr>
    </w:p>
    <w:p w14:paraId="206E8ECA">
      <w:pPr>
        <w:pStyle w:val="16"/>
        <w:rPr>
          <w:rFonts w:hint="eastAsia" w:ascii="仿宋_GB2312" w:hAnsi="仿宋" w:eastAsia="仿宋_GB2312" w:cs="宋体"/>
          <w:kern w:val="2"/>
          <w:sz w:val="32"/>
          <w:szCs w:val="32"/>
          <w:lang w:val="en-US" w:eastAsia="zh-CN" w:bidi="ar-SA"/>
        </w:rPr>
      </w:pPr>
    </w:p>
    <w:p w14:paraId="7F87AD27">
      <w:pPr>
        <w:rPr>
          <w:rFonts w:hint="eastAsia" w:ascii="仿宋_GB2312" w:hAnsi="仿宋" w:eastAsia="仿宋_GB2312" w:cs="宋体"/>
          <w:kern w:val="2"/>
          <w:sz w:val="32"/>
          <w:szCs w:val="32"/>
          <w:lang w:val="en-US" w:eastAsia="zh-CN" w:bidi="ar-SA"/>
        </w:rPr>
      </w:pPr>
    </w:p>
    <w:p w14:paraId="19740E22">
      <w:pPr>
        <w:pStyle w:val="16"/>
        <w:rPr>
          <w:rFonts w:hint="eastAsia" w:ascii="仿宋_GB2312" w:hAnsi="仿宋" w:eastAsia="仿宋_GB2312" w:cs="宋体"/>
          <w:kern w:val="2"/>
          <w:sz w:val="32"/>
          <w:szCs w:val="32"/>
          <w:lang w:val="en-US" w:eastAsia="zh-CN" w:bidi="ar-SA"/>
        </w:rPr>
      </w:pPr>
    </w:p>
    <w:p w14:paraId="1CD94E66">
      <w:pPr>
        <w:rPr>
          <w:rFonts w:hint="eastAsia" w:ascii="仿宋_GB2312" w:hAnsi="仿宋" w:eastAsia="仿宋_GB2312" w:cs="宋体"/>
          <w:kern w:val="2"/>
          <w:sz w:val="32"/>
          <w:szCs w:val="32"/>
          <w:lang w:val="en-US" w:eastAsia="zh-CN" w:bidi="ar-SA"/>
        </w:rPr>
      </w:pPr>
    </w:p>
    <w:p w14:paraId="417FD6F1">
      <w:pPr>
        <w:pStyle w:val="16"/>
        <w:rPr>
          <w:rFonts w:hint="eastAsia" w:ascii="仿宋_GB2312" w:hAnsi="仿宋" w:eastAsia="仿宋_GB2312" w:cs="宋体"/>
          <w:kern w:val="2"/>
          <w:sz w:val="32"/>
          <w:szCs w:val="32"/>
          <w:lang w:val="en-US" w:eastAsia="zh-CN" w:bidi="ar-SA"/>
        </w:rPr>
      </w:pPr>
    </w:p>
    <w:p w14:paraId="414BC794">
      <w:pPr>
        <w:rPr>
          <w:rFonts w:hint="eastAsia" w:ascii="仿宋_GB2312" w:hAnsi="仿宋" w:eastAsia="仿宋_GB2312" w:cs="宋体"/>
          <w:kern w:val="2"/>
          <w:sz w:val="32"/>
          <w:szCs w:val="32"/>
          <w:lang w:val="en-US" w:eastAsia="zh-CN" w:bidi="ar-SA"/>
        </w:rPr>
      </w:pPr>
    </w:p>
    <w:p w14:paraId="3803CF48">
      <w:pPr>
        <w:pStyle w:val="16"/>
        <w:rPr>
          <w:rFonts w:hint="eastAsia" w:ascii="仿宋_GB2312" w:hAnsi="仿宋" w:eastAsia="仿宋_GB2312" w:cs="宋体"/>
          <w:kern w:val="2"/>
          <w:sz w:val="32"/>
          <w:szCs w:val="32"/>
          <w:lang w:val="en-US" w:eastAsia="zh-CN" w:bidi="ar-SA"/>
        </w:rPr>
      </w:pPr>
    </w:p>
    <w:p w14:paraId="063F770F">
      <w:pPr>
        <w:rPr>
          <w:rFonts w:hint="eastAsia" w:ascii="仿宋_GB2312" w:hAnsi="仿宋" w:eastAsia="仿宋_GB2312" w:cs="宋体"/>
          <w:kern w:val="2"/>
          <w:sz w:val="32"/>
          <w:szCs w:val="32"/>
          <w:lang w:val="en-US" w:eastAsia="zh-CN" w:bidi="ar-SA"/>
        </w:rPr>
      </w:pPr>
    </w:p>
    <w:p w14:paraId="2A1E36C7">
      <w:pPr>
        <w:pStyle w:val="16"/>
        <w:rPr>
          <w:rFonts w:hint="eastAsia" w:ascii="仿宋_GB2312" w:hAnsi="仿宋" w:eastAsia="仿宋_GB2312" w:cs="宋体"/>
          <w:kern w:val="2"/>
          <w:sz w:val="32"/>
          <w:szCs w:val="32"/>
          <w:lang w:val="en-US" w:eastAsia="zh-CN" w:bidi="ar-SA"/>
        </w:rPr>
      </w:pPr>
    </w:p>
    <w:p w14:paraId="588CD33A">
      <w:pPr>
        <w:rPr>
          <w:rFonts w:hint="eastAsia" w:ascii="仿宋_GB2312" w:hAnsi="仿宋" w:eastAsia="仿宋_GB2312" w:cs="宋体"/>
          <w:kern w:val="2"/>
          <w:sz w:val="32"/>
          <w:szCs w:val="32"/>
          <w:lang w:val="en-US" w:eastAsia="zh-CN" w:bidi="ar-SA"/>
        </w:rPr>
      </w:pPr>
    </w:p>
    <w:p w14:paraId="3C834152">
      <w:pPr>
        <w:pStyle w:val="16"/>
        <w:rPr>
          <w:rFonts w:hint="eastAsia" w:ascii="仿宋_GB2312" w:hAnsi="仿宋" w:eastAsia="仿宋_GB2312" w:cs="宋体"/>
          <w:kern w:val="2"/>
          <w:sz w:val="32"/>
          <w:szCs w:val="32"/>
          <w:lang w:val="en-US" w:eastAsia="zh-CN" w:bidi="ar-SA"/>
        </w:rPr>
      </w:pPr>
    </w:p>
    <w:p w14:paraId="6DC4C77A">
      <w:pPr>
        <w:rPr>
          <w:rFonts w:hint="eastAsia" w:ascii="仿宋_GB2312" w:hAnsi="仿宋" w:eastAsia="仿宋_GB2312" w:cs="宋体"/>
          <w:kern w:val="2"/>
          <w:sz w:val="32"/>
          <w:szCs w:val="32"/>
          <w:lang w:val="en-US" w:eastAsia="zh-CN" w:bidi="ar-SA"/>
        </w:rPr>
      </w:pPr>
    </w:p>
    <w:p w14:paraId="691ADE26">
      <w:pPr>
        <w:pStyle w:val="16"/>
        <w:rPr>
          <w:rFonts w:hint="eastAsia" w:ascii="仿宋_GB2312" w:hAnsi="仿宋" w:eastAsia="仿宋_GB2312" w:cs="宋体"/>
          <w:kern w:val="2"/>
          <w:sz w:val="32"/>
          <w:szCs w:val="32"/>
          <w:lang w:val="en-US" w:eastAsia="zh-CN" w:bidi="ar-SA"/>
        </w:rPr>
      </w:pPr>
    </w:p>
    <w:p w14:paraId="55CF4866">
      <w:pPr>
        <w:pStyle w:val="9"/>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kern w:val="0"/>
          <w:sz w:val="32"/>
          <w:szCs w:val="32"/>
          <w:highlight w:val="none"/>
          <w:shd w:val="clear" w:color="auto" w:fill="FFFFFF"/>
          <w:lang w:val="zh-CN"/>
        </w:rPr>
        <w:t>附件</w:t>
      </w:r>
      <w:r>
        <w:rPr>
          <w:rFonts w:hint="eastAsia" w:ascii="Times New Roman" w:hAnsi="Times New Roman" w:eastAsia="黑体" w:cs="黑体"/>
          <w:color w:val="auto"/>
          <w:kern w:val="0"/>
          <w:sz w:val="32"/>
          <w:szCs w:val="32"/>
          <w:highlight w:val="none"/>
          <w:shd w:val="clear" w:color="auto" w:fill="FFFFFF"/>
          <w:lang w:val="en-US" w:eastAsia="zh-CN"/>
        </w:rPr>
        <w:t>2</w:t>
      </w:r>
    </w:p>
    <w:p w14:paraId="05A3FCF8">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16DCEAE1">
      <w:pPr>
        <w:jc w:val="center"/>
        <w:rPr>
          <w:rFonts w:hint="eastAsia" w:ascii="Times New Roman" w:hAnsi="Times New Roman" w:eastAsia="方正小标宋简体" w:cs="方正小标宋简体"/>
          <w:color w:val="auto"/>
          <w:kern w:val="2"/>
          <w:sz w:val="44"/>
          <w:szCs w:val="44"/>
          <w:highlight w:val="none"/>
          <w:lang w:val="en-US" w:eastAsia="zh-CN"/>
        </w:rPr>
      </w:pPr>
      <w:r>
        <w:rPr>
          <w:rFonts w:hint="eastAsia" w:ascii="Times New Roman" w:hAnsi="Times New Roman" w:eastAsia="方正小标宋简体" w:cs="方正小标宋简体"/>
          <w:color w:val="auto"/>
          <w:kern w:val="2"/>
          <w:sz w:val="44"/>
          <w:szCs w:val="44"/>
          <w:highlight w:val="none"/>
          <w:lang w:val="en-US" w:eastAsia="zh-CN"/>
        </w:rPr>
        <w:t>专项预算项目绩效评价报告</w:t>
      </w:r>
    </w:p>
    <w:p w14:paraId="212C88BF">
      <w:pPr>
        <w:pStyle w:val="2"/>
        <w:rPr>
          <w:rFonts w:hint="default"/>
          <w:lang w:val="en-US"/>
        </w:rPr>
      </w:pPr>
      <w:r>
        <w:rPr>
          <w:rFonts w:hint="eastAsia" w:eastAsia="方正小标宋简体" w:cs="方正小标宋简体"/>
          <w:color w:val="auto"/>
          <w:kern w:val="2"/>
          <w:sz w:val="44"/>
          <w:szCs w:val="44"/>
          <w:highlight w:val="none"/>
          <w:lang w:val="en-US" w:eastAsia="zh-CN"/>
        </w:rPr>
        <w:t xml:space="preserve">        </w:t>
      </w:r>
      <w:r>
        <w:rPr>
          <w:rFonts w:hint="eastAsia" w:eastAsia="方正小标宋简体" w:cs="方正小标宋简体"/>
          <w:color w:val="auto"/>
          <w:kern w:val="2"/>
          <w:sz w:val="32"/>
          <w:szCs w:val="32"/>
          <w:highlight w:val="none"/>
          <w:lang w:val="en-US" w:eastAsia="zh-CN"/>
        </w:rPr>
        <w:t>（牛华镇农村生活垃圾处理项目）</w:t>
      </w:r>
    </w:p>
    <w:p w14:paraId="67EB1ADA">
      <w:pPr>
        <w:ind w:firstLine="803" w:firstLineChars="250"/>
        <w:rPr>
          <w:rFonts w:ascii="仿宋_GB2312" w:eastAsia="仿宋_GB2312"/>
          <w:b/>
          <w:sz w:val="32"/>
          <w:szCs w:val="32"/>
        </w:rPr>
      </w:pPr>
      <w:r>
        <w:rPr>
          <w:rFonts w:hint="eastAsia" w:ascii="仿宋_GB2312" w:eastAsia="仿宋_GB2312"/>
          <w:b/>
          <w:sz w:val="32"/>
          <w:szCs w:val="32"/>
        </w:rPr>
        <w:t>一、项目概况</w:t>
      </w:r>
    </w:p>
    <w:p w14:paraId="6ACDC034">
      <w:pPr>
        <w:ind w:firstLine="643" w:firstLineChars="200"/>
        <w:rPr>
          <w:rFonts w:ascii="仿宋_GB2312" w:hAnsi="宋体" w:eastAsia="仿宋_GB2312"/>
          <w:bCs/>
          <w:sz w:val="32"/>
          <w:szCs w:val="32"/>
          <w:lang w:val="zh-CN"/>
        </w:rPr>
      </w:pPr>
      <w:r>
        <w:rPr>
          <w:rFonts w:hint="eastAsia" w:ascii="仿宋_GB2312" w:hAnsi="宋体" w:eastAsia="仿宋_GB2312"/>
          <w:b/>
          <w:sz w:val="32"/>
          <w:szCs w:val="32"/>
          <w:lang w:val="zh-CN"/>
        </w:rPr>
        <w:t>（一）项目资金申报及批复情况</w:t>
      </w:r>
      <w:r>
        <w:rPr>
          <w:rFonts w:hint="eastAsia" w:ascii="仿宋_GB2312" w:hAnsi="宋体" w:eastAsia="仿宋_GB2312"/>
          <w:b/>
          <w:i/>
          <w:iCs/>
          <w:sz w:val="32"/>
          <w:szCs w:val="32"/>
          <w:lang w:val="zh-CN"/>
        </w:rPr>
        <w:t>。</w:t>
      </w:r>
      <w:r>
        <w:rPr>
          <w:rFonts w:hint="eastAsia" w:ascii="仿宋_GB2312" w:hAnsi="宋体" w:eastAsia="仿宋_GB2312"/>
          <w:bCs/>
          <w:sz w:val="32"/>
          <w:szCs w:val="32"/>
          <w:lang w:val="zh-CN"/>
        </w:rPr>
        <w:t>为切实改善群众生产生活条件，提高群众生活的幸福指数，对本镇辖区范围内垃圾进行转运，清理，预计完成各村和社区场镇上百吨垃圾清运。实现本镇辖区内道路清洁、垃圾清运工作完成。该项目属于财政性专项资金，纳入我镇财政预算，资金的申报、批复等都经区财政审批，经费下拨到我镇后，再由我镇通过按时支付的方式，符合资金管理相关规定。</w:t>
      </w:r>
    </w:p>
    <w:p w14:paraId="3CC3E892">
      <w:pPr>
        <w:pStyle w:val="18"/>
        <w:widowControl/>
        <w:shd w:val="clear" w:color="auto" w:fill="FFFFFF"/>
        <w:spacing w:before="252" w:beforeAutospacing="0" w:after="252" w:afterAutospacing="0" w:line="450" w:lineRule="atLeast"/>
        <w:ind w:firstLine="420"/>
        <w:rPr>
          <w:rFonts w:ascii="仿宋_GB2312" w:hAnsi="宋体" w:eastAsia="仿宋_GB2312"/>
          <w:kern w:val="2"/>
          <w:sz w:val="32"/>
          <w:szCs w:val="32"/>
          <w:lang w:val="zh-CN"/>
        </w:rPr>
      </w:pPr>
      <w:r>
        <w:rPr>
          <w:rFonts w:hint="eastAsia" w:ascii="仿宋_GB2312" w:eastAsia="仿宋_GB2312"/>
          <w:b/>
          <w:sz w:val="32"/>
          <w:szCs w:val="32"/>
          <w:lang w:val="zh-CN"/>
        </w:rPr>
        <w:t>（二）项目绩效目标。</w:t>
      </w:r>
      <w:r>
        <w:rPr>
          <w:rFonts w:hint="eastAsia" w:ascii="仿宋_GB2312" w:hAnsi="仿宋_GB2312" w:eastAsia="仿宋_GB2312"/>
          <w:kern w:val="2"/>
          <w:sz w:val="32"/>
          <w:szCs w:val="32"/>
          <w:lang w:val="zh-CN"/>
        </w:rPr>
        <w:t>该财政专项资金用于全镇范围内的</w:t>
      </w:r>
      <w:r>
        <w:rPr>
          <w:rFonts w:hint="eastAsia" w:ascii="仿宋_GB2312" w:hAnsi="仿宋_GB2312" w:eastAsia="仿宋_GB2312"/>
          <w:kern w:val="2"/>
          <w:sz w:val="32"/>
          <w:szCs w:val="32"/>
          <w:lang w:val="en-US" w:eastAsia="zh-CN"/>
        </w:rPr>
        <w:t>农村生活垃圾清运、清理</w:t>
      </w:r>
      <w:r>
        <w:rPr>
          <w:rFonts w:hint="eastAsia" w:ascii="仿宋_GB2312" w:hAnsi="仿宋_GB2312" w:eastAsia="仿宋_GB2312"/>
          <w:kern w:val="2"/>
          <w:sz w:val="32"/>
          <w:szCs w:val="32"/>
          <w:lang w:val="zh-CN"/>
        </w:rPr>
        <w:t>。</w:t>
      </w:r>
    </w:p>
    <w:p w14:paraId="2F30D769">
      <w:pPr>
        <w:pStyle w:val="18"/>
        <w:widowControl/>
        <w:shd w:val="clear" w:color="auto" w:fill="FFFFFF"/>
        <w:spacing w:before="252" w:beforeAutospacing="0" w:after="252" w:afterAutospacing="0" w:line="450" w:lineRule="atLeast"/>
        <w:ind w:firstLine="420"/>
        <w:rPr>
          <w:rFonts w:ascii="仿宋_GB2312" w:hAnsi="宋体" w:eastAsia="仿宋_GB2312"/>
          <w:kern w:val="2"/>
          <w:sz w:val="32"/>
          <w:szCs w:val="32"/>
          <w:lang w:val="zh-CN"/>
        </w:rPr>
      </w:pPr>
      <w:r>
        <w:rPr>
          <w:rFonts w:hint="eastAsia" w:ascii="仿宋_GB2312" w:eastAsia="仿宋_GB2312"/>
          <w:b/>
          <w:sz w:val="32"/>
          <w:szCs w:val="32"/>
          <w:lang w:val="zh-CN"/>
        </w:rPr>
        <w:t>（三）项目资金申报相符性。</w:t>
      </w:r>
      <w:r>
        <w:rPr>
          <w:rFonts w:hint="eastAsia" w:ascii="仿宋_GB2312" w:hAnsi="宋体" w:eastAsia="仿宋_GB2312"/>
          <w:kern w:val="2"/>
          <w:sz w:val="32"/>
          <w:szCs w:val="32"/>
          <w:lang w:val="zh-CN"/>
        </w:rPr>
        <w:t>项目申报内容与具体实施内容相符、申报目标合理可行。</w:t>
      </w:r>
    </w:p>
    <w:p w14:paraId="0F433A02">
      <w:pPr>
        <w:ind w:firstLine="787" w:firstLineChars="245"/>
        <w:rPr>
          <w:rFonts w:ascii="仿宋_GB2312" w:eastAsia="仿宋_GB2312"/>
          <w:b/>
          <w:sz w:val="32"/>
          <w:szCs w:val="32"/>
        </w:rPr>
      </w:pPr>
      <w:r>
        <w:rPr>
          <w:rFonts w:hint="eastAsia" w:ascii="仿宋_GB2312" w:eastAsia="仿宋_GB2312"/>
          <w:b/>
          <w:sz w:val="32"/>
          <w:szCs w:val="32"/>
        </w:rPr>
        <w:t>二、项目实施及管理情况</w:t>
      </w:r>
    </w:p>
    <w:p w14:paraId="10E242D4">
      <w:pPr>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hAnsi="宋体" w:eastAsia="仿宋_GB2312"/>
          <w:b/>
          <w:sz w:val="32"/>
          <w:szCs w:val="32"/>
          <w:lang w:val="zh-CN"/>
        </w:rPr>
        <w:t>资金计划、到位及使用情况。</w:t>
      </w:r>
    </w:p>
    <w:p w14:paraId="2E9F0939">
      <w:pPr>
        <w:pStyle w:val="18"/>
        <w:ind w:firstLine="320" w:firstLineChars="100"/>
        <w:rPr>
          <w:rFonts w:ascii="仿宋_GB2312" w:hAnsi="仿宋_GB2312" w:eastAsia="仿宋_GB2312"/>
          <w:kern w:val="2"/>
          <w:sz w:val="32"/>
        </w:rPr>
      </w:pPr>
      <w:r>
        <w:rPr>
          <w:rFonts w:hint="eastAsia" w:ascii="仿宋_GB2312" w:hAnsi="仿宋_GB2312" w:eastAsia="仿宋_GB2312"/>
          <w:kern w:val="2"/>
          <w:sz w:val="32"/>
        </w:rPr>
        <w:t>1、资金计划及到位。</w:t>
      </w:r>
      <w:r>
        <w:rPr>
          <w:rFonts w:hint="eastAsia" w:ascii="仿宋_GB2312" w:hAnsi="仿宋_GB2312" w:eastAsia="仿宋_GB2312"/>
          <w:kern w:val="2"/>
          <w:sz w:val="32"/>
          <w:lang w:val="en-US" w:eastAsia="zh-CN"/>
        </w:rPr>
        <w:t>牛华镇</w:t>
      </w:r>
      <w:r>
        <w:rPr>
          <w:rFonts w:hint="eastAsia" w:ascii="仿宋_GB2312" w:hAnsi="仿宋_GB2312" w:eastAsia="仿宋_GB2312"/>
          <w:kern w:val="2"/>
          <w:sz w:val="32"/>
        </w:rPr>
        <w:t>农村生活垃圾处理经费,</w:t>
      </w:r>
      <w:r>
        <w:rPr>
          <w:rFonts w:hint="eastAsia" w:ascii="仿宋_GB2312" w:hAnsi="仿宋_GB2312" w:eastAsia="仿宋_GB2312"/>
          <w:kern w:val="2"/>
          <w:sz w:val="32"/>
          <w:lang w:val="en-US" w:eastAsia="zh-CN"/>
        </w:rPr>
        <w:t>2024</w:t>
      </w:r>
      <w:r>
        <w:rPr>
          <w:rFonts w:hint="eastAsia" w:ascii="仿宋_GB2312" w:hAnsi="仿宋_GB2312" w:eastAsia="仿宋_GB2312"/>
          <w:kern w:val="2"/>
          <w:sz w:val="32"/>
        </w:rPr>
        <w:t>年划拨</w:t>
      </w:r>
      <w:r>
        <w:rPr>
          <w:rFonts w:hint="eastAsia" w:ascii="仿宋_GB2312" w:hAnsi="仿宋_GB2312" w:eastAsia="仿宋_GB2312"/>
          <w:kern w:val="2"/>
          <w:sz w:val="32"/>
          <w:lang w:val="en-US" w:eastAsia="zh-CN"/>
        </w:rPr>
        <w:t>30.78</w:t>
      </w:r>
      <w:r>
        <w:rPr>
          <w:rFonts w:hint="eastAsia" w:ascii="仿宋_GB2312" w:hAnsi="仿宋_GB2312" w:eastAsia="仿宋_GB2312"/>
          <w:kern w:val="2"/>
          <w:sz w:val="32"/>
        </w:rPr>
        <w:t>万元,资金到位率100%,到位及时。</w:t>
      </w:r>
    </w:p>
    <w:p w14:paraId="3126E365">
      <w:pPr>
        <w:pStyle w:val="18"/>
        <w:ind w:firstLine="320" w:firstLineChars="100"/>
        <w:rPr>
          <w:rFonts w:ascii="仿宋_GB2312" w:hAnsi="仿宋_GB2312" w:eastAsia="仿宋_GB2312"/>
          <w:kern w:val="2"/>
          <w:sz w:val="32"/>
        </w:rPr>
      </w:pPr>
      <w:r>
        <w:rPr>
          <w:rFonts w:hint="eastAsia" w:ascii="仿宋_GB2312" w:hAnsi="仿宋_GB2312" w:eastAsia="仿宋_GB2312"/>
          <w:kern w:val="2"/>
          <w:sz w:val="32"/>
        </w:rPr>
        <w:t>2、资金使用。主要用于</w:t>
      </w:r>
      <w:r>
        <w:rPr>
          <w:rFonts w:hint="eastAsia" w:ascii="仿宋_GB2312" w:hAnsi="仿宋_GB2312" w:eastAsia="仿宋_GB2312"/>
          <w:kern w:val="2"/>
          <w:sz w:val="32"/>
          <w:lang w:val="en-US" w:eastAsia="zh-CN"/>
        </w:rPr>
        <w:t>农村生活垃圾清运、处理</w:t>
      </w:r>
      <w:r>
        <w:rPr>
          <w:rFonts w:hint="eastAsia" w:ascii="仿宋_GB2312" w:hAnsi="仿宋_GB2312" w:eastAsia="仿宋_GB2312"/>
          <w:kern w:val="2"/>
          <w:sz w:val="32"/>
        </w:rPr>
        <w:t>所需的人工费</w:t>
      </w:r>
      <w:r>
        <w:rPr>
          <w:rFonts w:hint="eastAsia" w:ascii="仿宋_GB2312" w:hAnsi="仿宋_GB2312" w:eastAsia="仿宋_GB2312"/>
          <w:kern w:val="2"/>
          <w:sz w:val="32"/>
          <w:lang w:val="en-US" w:eastAsia="zh-CN"/>
        </w:rPr>
        <w:t>等</w:t>
      </w:r>
      <w:r>
        <w:rPr>
          <w:rFonts w:hint="eastAsia" w:ascii="仿宋_GB2312" w:hAnsi="仿宋_GB2312" w:eastAsia="仿宋_GB2312"/>
          <w:kern w:val="2"/>
          <w:sz w:val="32"/>
        </w:rPr>
        <w:t>。</w:t>
      </w:r>
      <w:r>
        <w:rPr>
          <w:rFonts w:hint="eastAsia" w:ascii="仿宋_GB2312" w:hAnsi="仿宋_GB2312" w:eastAsia="仿宋_GB2312"/>
          <w:kern w:val="2"/>
          <w:sz w:val="32"/>
          <w:lang w:val="en-US" w:eastAsia="zh-CN"/>
        </w:rPr>
        <w:t>2024</w:t>
      </w:r>
      <w:r>
        <w:rPr>
          <w:rFonts w:hint="eastAsia" w:ascii="仿宋_GB2312" w:hAnsi="仿宋_GB2312" w:eastAsia="仿宋_GB2312"/>
          <w:kern w:val="2"/>
          <w:sz w:val="32"/>
        </w:rPr>
        <w:t>年拨付</w:t>
      </w:r>
      <w:r>
        <w:rPr>
          <w:rFonts w:hint="eastAsia" w:ascii="仿宋_GB2312" w:hAnsi="仿宋_GB2312" w:eastAsia="仿宋_GB2312"/>
          <w:kern w:val="2"/>
          <w:sz w:val="32"/>
          <w:lang w:val="en-US" w:eastAsia="zh-CN"/>
        </w:rPr>
        <w:t>30.78</w:t>
      </w:r>
      <w:r>
        <w:rPr>
          <w:rFonts w:hint="eastAsia" w:ascii="仿宋_GB2312" w:hAnsi="仿宋_GB2312" w:eastAsia="仿宋_GB2312"/>
          <w:kern w:val="2"/>
          <w:sz w:val="32"/>
        </w:rPr>
        <w:t>万元,支出</w:t>
      </w:r>
      <w:r>
        <w:rPr>
          <w:rFonts w:hint="eastAsia" w:ascii="仿宋_GB2312" w:hAnsi="仿宋_GB2312" w:eastAsia="仿宋_GB2312"/>
          <w:kern w:val="2"/>
          <w:sz w:val="32"/>
          <w:lang w:val="en-US" w:eastAsia="zh-CN"/>
        </w:rPr>
        <w:t>30.78</w:t>
      </w:r>
      <w:r>
        <w:rPr>
          <w:rFonts w:hint="eastAsia" w:ascii="仿宋_GB2312" w:hAnsi="仿宋_GB2312" w:eastAsia="仿宋_GB2312"/>
          <w:kern w:val="2"/>
          <w:sz w:val="32"/>
        </w:rPr>
        <w:t>万元,支付依据合规合法,资金支付与预算相符。</w:t>
      </w:r>
    </w:p>
    <w:p w14:paraId="741CDC5F">
      <w:pPr>
        <w:ind w:firstLine="472" w:firstLineChars="147"/>
        <w:rPr>
          <w:rFonts w:ascii="仿宋_GB2312" w:eastAsia="仿宋_GB2312"/>
          <w:sz w:val="32"/>
          <w:szCs w:val="32"/>
        </w:rPr>
      </w:pPr>
      <w:r>
        <w:rPr>
          <w:rFonts w:hint="eastAsia" w:ascii="仿宋_GB2312" w:hAnsi="宋体" w:eastAsia="仿宋_GB2312"/>
          <w:b/>
          <w:sz w:val="32"/>
          <w:szCs w:val="32"/>
          <w:lang w:val="zh-CN"/>
        </w:rPr>
        <w:t>（二）项目财务管理情况。</w:t>
      </w:r>
      <w:r>
        <w:rPr>
          <w:rFonts w:hint="eastAsia" w:ascii="仿宋_GB2312" w:hAnsi="宋体" w:eastAsia="仿宋_GB2312"/>
          <w:bCs/>
          <w:sz w:val="32"/>
          <w:szCs w:val="32"/>
          <w:lang w:val="zh-CN"/>
        </w:rPr>
        <w:t>此项目严格执行财务管理制度，我镇</w:t>
      </w:r>
      <w:r>
        <w:rPr>
          <w:rFonts w:hint="eastAsia" w:ascii="仿宋_GB2312" w:eastAsia="仿宋_GB2312"/>
          <w:bCs/>
          <w:sz w:val="32"/>
          <w:szCs w:val="32"/>
        </w:rPr>
        <w:t>加强项目资金管理。对项目资金做到了专款专用，同时根据环境改善</w:t>
      </w:r>
      <w:r>
        <w:rPr>
          <w:rFonts w:hint="eastAsia" w:ascii="仿宋_GB2312" w:eastAsia="仿宋_GB2312"/>
          <w:sz w:val="32"/>
          <w:szCs w:val="32"/>
        </w:rPr>
        <w:t>的进度，给予表扬及通报。</w:t>
      </w:r>
    </w:p>
    <w:p w14:paraId="0BFF595F">
      <w:pPr>
        <w:adjustRightInd w:val="0"/>
        <w:snapToGrid w:val="0"/>
        <w:spacing w:line="580" w:lineRule="exact"/>
        <w:ind w:firstLine="643" w:firstLineChars="200"/>
        <w:rPr>
          <w:rFonts w:ascii="仿宋_GB2312" w:hAnsi="宋体" w:eastAsia="仿宋_GB2312"/>
          <w:b/>
          <w:sz w:val="32"/>
          <w:szCs w:val="32"/>
          <w:lang w:val="zh-CN"/>
        </w:rPr>
      </w:pPr>
      <w:r>
        <w:rPr>
          <w:rFonts w:hint="eastAsia" w:ascii="仿宋_GB2312" w:hAnsi="宋体" w:eastAsia="仿宋_GB2312"/>
          <w:b/>
          <w:sz w:val="32"/>
          <w:szCs w:val="32"/>
          <w:lang w:val="zh-CN"/>
        </w:rPr>
        <w:t>（三）项目组织实施情况。</w:t>
      </w:r>
    </w:p>
    <w:p w14:paraId="39A7D34D">
      <w:pPr>
        <w:adjustRightInd w:val="0"/>
        <w:snapToGrid w:val="0"/>
        <w:spacing w:line="580" w:lineRule="exact"/>
        <w:ind w:firstLine="720"/>
        <w:rPr>
          <w:rFonts w:ascii="仿宋_GB2312" w:hAnsi="宋体" w:eastAsia="仿宋_GB2312" w:cs="宋体"/>
          <w:color w:val="444444"/>
          <w:sz w:val="32"/>
          <w:szCs w:val="32"/>
          <w:shd w:val="clear" w:color="auto" w:fill="FFFFFF"/>
        </w:rPr>
      </w:pPr>
      <w:r>
        <w:rPr>
          <w:rFonts w:hint="eastAsia" w:ascii="仿宋_GB2312" w:hAnsi="仿宋_GB2312" w:eastAsia="仿宋_GB2312"/>
          <w:kern w:val="2"/>
          <w:sz w:val="32"/>
          <w:lang w:val="en-US" w:eastAsia="zh-CN"/>
        </w:rPr>
        <w:t>牛华镇</w:t>
      </w:r>
      <w:r>
        <w:rPr>
          <w:rFonts w:hint="eastAsia" w:ascii="仿宋_GB2312" w:hAnsi="仿宋_GB2312" w:eastAsia="仿宋_GB2312"/>
          <w:kern w:val="2"/>
          <w:sz w:val="32"/>
        </w:rPr>
        <w:t>农村生活垃圾处理</w:t>
      </w:r>
      <w:r>
        <w:rPr>
          <w:rFonts w:hint="eastAsia" w:ascii="仿宋_GB2312" w:hAnsi="宋体" w:eastAsia="仿宋_GB2312" w:cs="宋体"/>
          <w:color w:val="444444"/>
          <w:sz w:val="32"/>
          <w:szCs w:val="32"/>
          <w:shd w:val="clear" w:color="auto" w:fill="FFFFFF"/>
        </w:rPr>
        <w:t>项目:对本镇辖区范围内垃圾进行转运，清理，完成</w:t>
      </w:r>
      <w:r>
        <w:rPr>
          <w:rFonts w:hint="eastAsia" w:ascii="仿宋_GB2312" w:hAnsi="宋体" w:eastAsia="仿宋_GB2312" w:cs="宋体"/>
          <w:color w:val="444444"/>
          <w:sz w:val="32"/>
          <w:szCs w:val="32"/>
          <w:shd w:val="clear" w:color="auto" w:fill="FFFFFF"/>
          <w:lang w:val="en-US" w:eastAsia="zh-CN"/>
        </w:rPr>
        <w:t>了</w:t>
      </w:r>
      <w:r>
        <w:rPr>
          <w:rFonts w:hint="eastAsia" w:ascii="仿宋_GB2312" w:hAnsi="宋体" w:eastAsia="仿宋_GB2312" w:cs="宋体"/>
          <w:color w:val="444444"/>
          <w:sz w:val="32"/>
          <w:szCs w:val="32"/>
          <w:shd w:val="clear" w:color="auto" w:fill="FFFFFF"/>
        </w:rPr>
        <w:t>各村和社区场镇上百吨垃圾清运。实现本镇辖区内道路清洁、垃圾清运工作完成。</w:t>
      </w:r>
    </w:p>
    <w:p w14:paraId="7AC80714">
      <w:pPr>
        <w:adjustRightInd w:val="0"/>
        <w:snapToGrid w:val="0"/>
        <w:spacing w:line="580" w:lineRule="exact"/>
        <w:ind w:firstLine="720"/>
        <w:rPr>
          <w:rFonts w:ascii="仿宋_GB2312" w:hAnsi="宋体" w:eastAsia="仿宋_GB2312"/>
          <w:b/>
          <w:sz w:val="32"/>
          <w:szCs w:val="32"/>
          <w:lang w:val="zh-CN"/>
        </w:rPr>
      </w:pPr>
      <w:r>
        <w:rPr>
          <w:rFonts w:hint="eastAsia" w:ascii="仿宋_GB2312" w:hAnsi="宋体" w:eastAsia="仿宋_GB2312"/>
          <w:b/>
          <w:sz w:val="32"/>
          <w:szCs w:val="32"/>
        </w:rPr>
        <w:t>三、项目绩效情况</w:t>
      </w:r>
      <w:r>
        <w:rPr>
          <w:rFonts w:hint="eastAsia" w:ascii="仿宋_GB2312" w:hAnsi="宋体" w:eastAsia="仿宋_GB2312"/>
          <w:b/>
          <w:sz w:val="32"/>
          <w:szCs w:val="32"/>
          <w:lang w:val="zh-CN"/>
        </w:rPr>
        <w:tab/>
      </w:r>
    </w:p>
    <w:p w14:paraId="658CD399">
      <w:pPr>
        <w:adjustRightInd w:val="0"/>
        <w:snapToGrid w:val="0"/>
        <w:spacing w:line="560" w:lineRule="exact"/>
        <w:ind w:firstLine="720"/>
        <w:rPr>
          <w:rFonts w:ascii="仿宋_GB2312" w:hAnsi="宋体" w:eastAsia="仿宋_GB2312"/>
          <w:b/>
          <w:sz w:val="32"/>
          <w:szCs w:val="32"/>
          <w:lang w:val="zh-CN"/>
        </w:rPr>
      </w:pPr>
      <w:r>
        <w:rPr>
          <w:rFonts w:hint="eastAsia" w:ascii="仿宋_GB2312" w:hAnsi="宋体" w:eastAsia="仿宋_GB2312"/>
          <w:b/>
          <w:sz w:val="32"/>
          <w:szCs w:val="32"/>
          <w:lang w:val="zh-CN"/>
        </w:rPr>
        <w:t>（一）项目完成情况。</w:t>
      </w:r>
    </w:p>
    <w:p w14:paraId="497C7CF9">
      <w:pPr>
        <w:ind w:firstLine="640" w:firstLineChars="200"/>
        <w:rPr>
          <w:rFonts w:ascii="仿宋_GB2312" w:hAnsi="宋体" w:eastAsia="仿宋_GB2312"/>
          <w:sz w:val="32"/>
          <w:szCs w:val="32"/>
        </w:rPr>
      </w:pPr>
      <w:r>
        <w:rPr>
          <w:rFonts w:hint="eastAsia" w:ascii="仿宋_GB2312" w:hAnsi="宋体" w:eastAsia="仿宋_GB2312"/>
          <w:sz w:val="32"/>
          <w:szCs w:val="32"/>
          <w:lang w:val="en-US" w:eastAsia="zh-CN"/>
        </w:rPr>
        <w:t>农村生活垃圾处理的</w:t>
      </w:r>
      <w:r>
        <w:rPr>
          <w:rFonts w:hint="eastAsia" w:ascii="仿宋_GB2312" w:hAnsi="宋体" w:eastAsia="仿宋_GB2312"/>
          <w:sz w:val="32"/>
          <w:szCs w:val="32"/>
          <w:lang w:val="zh-CN"/>
        </w:rPr>
        <w:t>费得到了及时拨付，有效改善了全镇的城乡环境卫生，</w:t>
      </w:r>
      <w:r>
        <w:rPr>
          <w:rFonts w:hint="eastAsia" w:ascii="仿宋_GB2312" w:hAnsi="宋体" w:eastAsia="仿宋_GB2312" w:cs="宋体"/>
          <w:color w:val="444444"/>
          <w:sz w:val="32"/>
          <w:szCs w:val="32"/>
          <w:shd w:val="clear" w:color="auto" w:fill="FFFFFF"/>
        </w:rPr>
        <w:t>实现本镇辖区内道路清洁、垃圾清运工作完成</w:t>
      </w:r>
      <w:r>
        <w:rPr>
          <w:rFonts w:hint="eastAsia" w:ascii="仿宋_GB2312" w:hAnsi="宋体" w:eastAsia="仿宋_GB2312" w:cs="宋体"/>
          <w:color w:val="444444"/>
          <w:sz w:val="32"/>
          <w:szCs w:val="32"/>
          <w:shd w:val="clear" w:color="auto" w:fill="FFFFFF"/>
          <w:lang w:eastAsia="zh-CN"/>
        </w:rPr>
        <w:t>，</w:t>
      </w:r>
      <w:r>
        <w:rPr>
          <w:rFonts w:hint="eastAsia" w:ascii="仿宋_GB2312" w:hAnsi="宋体" w:eastAsia="仿宋_GB2312"/>
          <w:sz w:val="32"/>
          <w:szCs w:val="32"/>
          <w:lang w:val="zh-CN"/>
        </w:rPr>
        <w:t>进一步提高了人民对美好生活的向往，生态环境也得到了改善。</w:t>
      </w:r>
    </w:p>
    <w:p w14:paraId="424890B9">
      <w:pPr>
        <w:ind w:firstLine="643" w:firstLineChars="200"/>
        <w:rPr>
          <w:rFonts w:ascii="仿宋_GB2312" w:hAnsi="宋体" w:eastAsia="仿宋_GB2312"/>
          <w:b/>
          <w:sz w:val="32"/>
          <w:szCs w:val="32"/>
          <w:lang w:val="zh-CN"/>
        </w:rPr>
      </w:pPr>
      <w:r>
        <w:rPr>
          <w:rFonts w:hint="eastAsia" w:ascii="仿宋_GB2312" w:hAnsi="宋体" w:eastAsia="仿宋_GB2312"/>
          <w:b/>
          <w:sz w:val="32"/>
          <w:szCs w:val="32"/>
          <w:lang w:val="zh-CN"/>
        </w:rPr>
        <w:t>（二）项目效益情况</w:t>
      </w:r>
    </w:p>
    <w:p w14:paraId="4E6267D3">
      <w:pPr>
        <w:ind w:firstLine="800" w:firstLineChars="250"/>
        <w:rPr>
          <w:rFonts w:ascii="仿宋_GB2312" w:eastAsia="仿宋_GB2312"/>
          <w:sz w:val="32"/>
          <w:szCs w:val="32"/>
        </w:rPr>
      </w:pPr>
      <w:r>
        <w:rPr>
          <w:rFonts w:hint="eastAsia" w:ascii="仿宋_GB2312" w:eastAsia="仿宋_GB2312"/>
          <w:sz w:val="32"/>
          <w:szCs w:val="32"/>
        </w:rPr>
        <w:t>1、为我镇城乡环境的改善提供的资金上的保障。</w:t>
      </w:r>
    </w:p>
    <w:p w14:paraId="31FD947E">
      <w:pPr>
        <w:ind w:firstLine="800" w:firstLineChars="250"/>
        <w:rPr>
          <w:rFonts w:ascii="仿宋_GB2312" w:eastAsia="仿宋_GB2312"/>
          <w:sz w:val="32"/>
          <w:szCs w:val="32"/>
        </w:rPr>
      </w:pPr>
      <w:r>
        <w:rPr>
          <w:rFonts w:hint="eastAsia" w:ascii="仿宋_GB2312" w:eastAsia="仿宋_GB2312"/>
          <w:sz w:val="32"/>
          <w:szCs w:val="32"/>
        </w:rPr>
        <w:t>2、群众身边的环境卫生得到了改善，幸福指数也不断提高。</w:t>
      </w:r>
    </w:p>
    <w:p w14:paraId="201F3F4C">
      <w:pPr>
        <w:adjustRightInd w:val="0"/>
        <w:snapToGrid w:val="0"/>
        <w:spacing w:line="580" w:lineRule="exact"/>
        <w:ind w:firstLine="720"/>
        <w:rPr>
          <w:rFonts w:ascii="仿宋_GB2312" w:hAnsi="宋体" w:eastAsia="仿宋_GB2312"/>
          <w:b/>
          <w:sz w:val="32"/>
          <w:szCs w:val="32"/>
        </w:rPr>
      </w:pPr>
      <w:r>
        <w:rPr>
          <w:rFonts w:hint="eastAsia" w:ascii="仿宋_GB2312" w:hAnsi="宋体" w:eastAsia="仿宋_GB2312"/>
          <w:b/>
          <w:sz w:val="32"/>
          <w:szCs w:val="32"/>
        </w:rPr>
        <w:t>四、问题及建议</w:t>
      </w:r>
    </w:p>
    <w:p w14:paraId="3E37E2FE">
      <w:pPr>
        <w:adjustRightInd w:val="0"/>
        <w:snapToGrid w:val="0"/>
        <w:spacing w:line="580" w:lineRule="exact"/>
        <w:ind w:firstLine="720"/>
        <w:rPr>
          <w:rFonts w:ascii="仿宋_GB2312" w:hAnsi="宋体" w:eastAsia="仿宋_GB2312"/>
          <w:bCs/>
          <w:sz w:val="32"/>
          <w:szCs w:val="32"/>
          <w:lang w:val="zh-CN"/>
        </w:rPr>
      </w:pPr>
      <w:r>
        <w:rPr>
          <w:rFonts w:hint="eastAsia" w:ascii="仿宋_GB2312" w:hAnsi="宋体" w:eastAsia="仿宋_GB2312"/>
          <w:b/>
          <w:sz w:val="32"/>
          <w:szCs w:val="32"/>
          <w:lang w:val="zh-CN"/>
        </w:rPr>
        <w:t>（一）</w:t>
      </w:r>
      <w:r>
        <w:rPr>
          <w:rFonts w:hint="eastAsia" w:ascii="仿宋_GB2312" w:hAnsi="宋体" w:eastAsia="仿宋_GB2312"/>
          <w:bCs/>
          <w:sz w:val="32"/>
          <w:szCs w:val="32"/>
          <w:lang w:val="zh-CN"/>
        </w:rPr>
        <w:t>存在的问题。因个别群众爱护环境卫生的意识不高，导致环境卫生的治理存在“前脚扫垃圾，后脚丢垃圾”的现像，治理效果得不到持久保护。</w:t>
      </w:r>
    </w:p>
    <w:p w14:paraId="52A35D05">
      <w:pPr>
        <w:adjustRightInd w:val="0"/>
        <w:snapToGrid w:val="0"/>
        <w:spacing w:line="580" w:lineRule="exact"/>
        <w:ind w:firstLine="720"/>
        <w:rPr>
          <w:rFonts w:ascii="仿宋_GB2312" w:hAnsi="宋体" w:eastAsia="仿宋_GB2312"/>
          <w:bCs/>
          <w:sz w:val="32"/>
          <w:szCs w:val="32"/>
          <w:lang w:val="zh-CN"/>
        </w:rPr>
      </w:pPr>
      <w:r>
        <w:rPr>
          <w:rFonts w:hint="eastAsia" w:ascii="仿宋_GB2312" w:hAnsi="宋体" w:eastAsia="仿宋_GB2312"/>
          <w:bCs/>
          <w:sz w:val="32"/>
          <w:szCs w:val="32"/>
          <w:lang w:val="zh-CN"/>
        </w:rPr>
        <w:t>（二）相关建议。加强宣传工作，提高群众的意识水平。</w:t>
      </w:r>
    </w:p>
    <w:p w14:paraId="6DE7EB67">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1D3E3327">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2535FB53">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3F905B23">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3ECD75C1">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4EB36877">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373DCF39">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32A7C75D">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01F6DC4A">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20FFD7DF">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27646C86">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70E704AD">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11707328">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2BCA9517">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0989B2B5">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4F1AFB85">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0F484CE4">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65102F1B">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36B4C59E">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49032081">
      <w:pPr>
        <w:pStyle w:val="39"/>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Times New Roman" w:hAnsi="Times New Roman" w:eastAsia="方正小标宋简体" w:cs="方正小标宋简体"/>
          <w:color w:val="auto"/>
          <w:kern w:val="2"/>
          <w:sz w:val="44"/>
          <w:szCs w:val="44"/>
          <w:highlight w:val="none"/>
          <w:lang w:val="en-US" w:eastAsia="zh-CN"/>
        </w:rPr>
      </w:pPr>
    </w:p>
    <w:p w14:paraId="7E420FCA">
      <w:pPr>
        <w:pStyle w:val="39"/>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Times New Roman" w:hAnsi="Times New Roman"/>
          <w:color w:val="auto"/>
          <w:kern w:val="2"/>
          <w:sz w:val="32"/>
          <w:szCs w:val="32"/>
          <w:highlight w:val="none"/>
        </w:rPr>
      </w:pPr>
    </w:p>
    <w:p w14:paraId="0548FC6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61" w:name="_Toc15396618"/>
      <w:r>
        <w:rPr>
          <w:rFonts w:hint="eastAsia" w:ascii="Times New Roman" w:hAnsi="Times New Roman" w:eastAsia="仿宋_GB2312" w:cs="仿宋_GB2312"/>
          <w:b w:val="0"/>
          <w:bCs w:val="0"/>
          <w:kern w:val="0"/>
          <w:position w:val="0"/>
          <w:sz w:val="32"/>
          <w:szCs w:val="32"/>
          <w:highlight w:val="none"/>
          <w:lang w:val="en-US" w:eastAsia="zh-CN" w:bidi="ar-SA"/>
        </w:rPr>
        <w:br w:type="page"/>
      </w:r>
    </w:p>
    <w:p w14:paraId="4011CFBF">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33"/>
          <w:rFonts w:hint="eastAsia" w:ascii="Times New Roman" w:hAnsi="Times New Roman" w:eastAsia="黑体"/>
          <w:b w:val="0"/>
          <w:color w:val="auto"/>
          <w:highlight w:val="none"/>
        </w:rPr>
        <w:t>五部分 附表</w:t>
      </w:r>
      <w:bookmarkEnd w:id="59"/>
      <w:bookmarkEnd w:id="61"/>
      <w:bookmarkStart w:id="62" w:name="_Toc15396619"/>
    </w:p>
    <w:p w14:paraId="46B50547">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6F71D8D1">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62"/>
    </w:p>
    <w:p w14:paraId="4019390E">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3" w:name="_Toc15396620"/>
      <w:r>
        <w:rPr>
          <w:rFonts w:hint="eastAsia" w:ascii="Times New Roman" w:hAnsi="Times New Roman" w:eastAsia="仿宋_GB2312" w:cs="仿宋_GB2312"/>
          <w:color w:val="auto"/>
          <w:sz w:val="32"/>
          <w:szCs w:val="32"/>
          <w:highlight w:val="none"/>
        </w:rPr>
        <w:t>二、收入决算表</w:t>
      </w:r>
      <w:bookmarkEnd w:id="63"/>
    </w:p>
    <w:p w14:paraId="2A5D23C1">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4" w:name="_Toc15396621"/>
      <w:r>
        <w:rPr>
          <w:rFonts w:hint="eastAsia" w:ascii="Times New Roman" w:hAnsi="Times New Roman" w:eastAsia="仿宋_GB2312" w:cs="仿宋_GB2312"/>
          <w:color w:val="auto"/>
          <w:sz w:val="32"/>
          <w:szCs w:val="32"/>
          <w:highlight w:val="none"/>
        </w:rPr>
        <w:t>三、支出决算表</w:t>
      </w:r>
      <w:bookmarkEnd w:id="64"/>
    </w:p>
    <w:p w14:paraId="00124522">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5" w:name="_Toc15396622"/>
      <w:r>
        <w:rPr>
          <w:rFonts w:hint="eastAsia" w:ascii="Times New Roman" w:hAnsi="Times New Roman" w:eastAsia="仿宋_GB2312" w:cs="仿宋_GB2312"/>
          <w:color w:val="auto"/>
          <w:sz w:val="32"/>
          <w:szCs w:val="32"/>
          <w:highlight w:val="none"/>
        </w:rPr>
        <w:t>四、财政拨款收入支出决算总表</w:t>
      </w:r>
      <w:bookmarkEnd w:id="65"/>
    </w:p>
    <w:p w14:paraId="2D413E03">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6" w:name="_Toc15396623"/>
      <w:r>
        <w:rPr>
          <w:rFonts w:hint="eastAsia" w:ascii="Times New Roman" w:hAnsi="Times New Roman" w:eastAsia="仿宋_GB2312" w:cs="仿宋_GB2312"/>
          <w:color w:val="auto"/>
          <w:sz w:val="32"/>
          <w:szCs w:val="32"/>
          <w:highlight w:val="none"/>
        </w:rPr>
        <w:t>五、财政拨款支出决算明细表</w:t>
      </w:r>
      <w:bookmarkEnd w:id="66"/>
      <w:bookmarkStart w:id="67" w:name="_Toc15396624"/>
    </w:p>
    <w:p w14:paraId="1C15E06B">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67"/>
    </w:p>
    <w:p w14:paraId="500B3FAD">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8" w:name="_Toc15396625"/>
      <w:r>
        <w:rPr>
          <w:rFonts w:hint="eastAsia" w:ascii="Times New Roman" w:hAnsi="Times New Roman" w:eastAsia="仿宋_GB2312" w:cs="仿宋_GB2312"/>
          <w:color w:val="auto"/>
          <w:sz w:val="32"/>
          <w:szCs w:val="32"/>
          <w:highlight w:val="none"/>
        </w:rPr>
        <w:t>七、一般公共预算财政拨款支出决算明细表</w:t>
      </w:r>
      <w:bookmarkEnd w:id="68"/>
    </w:p>
    <w:p w14:paraId="274D3FAD">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9" w:name="_Toc15396626"/>
      <w:r>
        <w:rPr>
          <w:rFonts w:hint="eastAsia" w:ascii="Times New Roman" w:hAnsi="Times New Roman" w:eastAsia="仿宋_GB2312" w:cs="仿宋_GB2312"/>
          <w:color w:val="auto"/>
          <w:sz w:val="32"/>
          <w:szCs w:val="32"/>
          <w:highlight w:val="none"/>
        </w:rPr>
        <w:t>八、一般公共预算财政拨款基本支出决算表</w:t>
      </w:r>
      <w:bookmarkEnd w:id="69"/>
    </w:p>
    <w:p w14:paraId="03296A30">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0" w:name="_Toc15396627"/>
      <w:r>
        <w:rPr>
          <w:rFonts w:hint="eastAsia" w:ascii="Times New Roman" w:hAnsi="Times New Roman" w:eastAsia="仿宋_GB2312" w:cs="仿宋_GB2312"/>
          <w:color w:val="auto"/>
          <w:sz w:val="32"/>
          <w:szCs w:val="32"/>
          <w:highlight w:val="none"/>
        </w:rPr>
        <w:t>九、一般公共预算财政拨款项目支出决算表</w:t>
      </w:r>
      <w:bookmarkEnd w:id="70"/>
    </w:p>
    <w:p w14:paraId="43597D14">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1" w:name="_Toc15396628"/>
      <w:r>
        <w:rPr>
          <w:rFonts w:hint="eastAsia" w:ascii="Times New Roman" w:hAnsi="Times New Roman" w:eastAsia="仿宋_GB2312" w:cs="仿宋_GB2312"/>
          <w:color w:val="auto"/>
          <w:sz w:val="32"/>
          <w:szCs w:val="32"/>
          <w:highlight w:val="none"/>
        </w:rPr>
        <w:t>十、</w:t>
      </w:r>
      <w:bookmarkEnd w:id="71"/>
      <w:r>
        <w:rPr>
          <w:rFonts w:hint="eastAsia" w:ascii="Times New Roman" w:hAnsi="Times New Roman" w:eastAsia="仿宋_GB2312" w:cs="仿宋_GB2312"/>
          <w:color w:val="auto"/>
          <w:sz w:val="32"/>
          <w:szCs w:val="32"/>
          <w:highlight w:val="none"/>
        </w:rPr>
        <w:t>政府性基金预算财政拨款收入支出决算表</w:t>
      </w:r>
    </w:p>
    <w:p w14:paraId="38888598">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2" w:name="_Toc15396629"/>
      <w:r>
        <w:rPr>
          <w:rFonts w:hint="eastAsia" w:ascii="Times New Roman" w:hAnsi="Times New Roman" w:eastAsia="仿宋_GB2312" w:cs="仿宋_GB2312"/>
          <w:color w:val="auto"/>
          <w:sz w:val="32"/>
          <w:szCs w:val="32"/>
          <w:highlight w:val="none"/>
        </w:rPr>
        <w:t>十一、</w:t>
      </w:r>
      <w:bookmarkEnd w:id="72"/>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76704BF6">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3" w:name="_Toc15396630"/>
      <w:r>
        <w:rPr>
          <w:rFonts w:hint="eastAsia" w:ascii="Times New Roman" w:hAnsi="Times New Roman" w:eastAsia="仿宋_GB2312" w:cs="仿宋_GB2312"/>
          <w:color w:val="auto"/>
          <w:sz w:val="32"/>
          <w:szCs w:val="32"/>
          <w:highlight w:val="none"/>
        </w:rPr>
        <w:t>十二、</w:t>
      </w:r>
      <w:bookmarkEnd w:id="73"/>
      <w:r>
        <w:rPr>
          <w:rFonts w:hint="eastAsia" w:ascii="Times New Roman" w:hAnsi="Times New Roman" w:eastAsia="仿宋_GB2312" w:cs="仿宋_GB2312"/>
          <w:color w:val="auto"/>
          <w:sz w:val="32"/>
          <w:szCs w:val="32"/>
          <w:highlight w:val="none"/>
          <w:lang w:eastAsia="zh-CN"/>
        </w:rPr>
        <w:t>国有资本经营预算财政拨款支出决算表</w:t>
      </w:r>
    </w:p>
    <w:p w14:paraId="658FDB81">
      <w:pPr>
        <w:pStyle w:val="17"/>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74" w:name="_Toc15396631"/>
      <w:r>
        <w:rPr>
          <w:rFonts w:hint="eastAsia" w:ascii="Times New Roman" w:hAnsi="Times New Roman" w:eastAsia="仿宋_GB2312" w:cs="仿宋_GB2312"/>
          <w:color w:val="auto"/>
          <w:sz w:val="32"/>
          <w:szCs w:val="32"/>
          <w:highlight w:val="none"/>
        </w:rPr>
        <w:t>十三、</w:t>
      </w:r>
      <w:bookmarkEnd w:id="74"/>
      <w:r>
        <w:rPr>
          <w:rFonts w:hint="eastAsia" w:ascii="Times New Roman" w:hAnsi="Times New Roman" w:eastAsia="仿宋_GB2312" w:cs="仿宋_GB2312"/>
          <w:color w:val="auto"/>
          <w:sz w:val="32"/>
          <w:szCs w:val="32"/>
          <w:highlight w:val="none"/>
          <w:lang w:eastAsia="zh-CN"/>
        </w:rPr>
        <w:t>财政拨款“三公”经费支出决算表</w:t>
      </w:r>
    </w:p>
    <w:p w14:paraId="1F3E80A1">
      <w:pPr>
        <w:rPr>
          <w:rFonts w:hint="eastAsia" w:ascii="Times New Roman" w:hAnsi="Times New Roman"/>
          <w:lang w:eastAsia="zh-CN"/>
        </w:rPr>
      </w:pPr>
    </w:p>
    <w:sectPr>
      <w:footerReference r:id="rId7" w:type="first"/>
      <w:footerReference r:id="rId6"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DBBBF">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1C2D2A">
                          <w:pPr>
                            <w:pStyle w:val="1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81C2D2A">
                    <w:pPr>
                      <w:pStyle w:val="13"/>
                    </w:pPr>
                    <w:r>
                      <w:fldChar w:fldCharType="begin"/>
                    </w:r>
                    <w:r>
                      <w:instrText xml:space="preserve"> PAGE  \* MERGEFORMAT </w:instrText>
                    </w:r>
                    <w:r>
                      <w:fldChar w:fldCharType="separate"/>
                    </w:r>
                    <w:r>
                      <w:t>- 1 -</w:t>
                    </w:r>
                    <w:r>
                      <w:fldChar w:fldCharType="end"/>
                    </w:r>
                  </w:p>
                </w:txbxContent>
              </v:textbox>
            </v:shape>
          </w:pict>
        </mc:Fallback>
      </mc:AlternateContent>
    </w:r>
  </w:p>
  <w:p w14:paraId="566A010A">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7F2EE">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B2DA20">
                          <w:pPr>
                            <w:pStyle w:val="1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AB2DA20">
                    <w:pPr>
                      <w:pStyle w:val="1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48392">
    <w:pPr>
      <w:pStyle w:val="1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D24D41">
                          <w:pPr>
                            <w:pStyle w:val="1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DD24D41">
                    <w:pPr>
                      <w:pStyle w:val="13"/>
                    </w:pPr>
                    <w:r>
                      <w:fldChar w:fldCharType="begin"/>
                    </w:r>
                    <w:r>
                      <w:instrText xml:space="preserve"> PAGE  \* MERGEFORMAT </w:instrText>
                    </w:r>
                    <w:r>
                      <w:fldChar w:fldCharType="separate"/>
                    </w:r>
                    <w:r>
                      <w:t>- 2 -</w:t>
                    </w:r>
                    <w:r>
                      <w:fldChar w:fldCharType="end"/>
                    </w:r>
                  </w:p>
                </w:txbxContent>
              </v:textbox>
            </v:shape>
          </w:pict>
        </mc:Fallback>
      </mc:AlternateContent>
    </w:r>
  </w:p>
  <w:p w14:paraId="12A3EFC5">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22091">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FBD6CC">
                          <w:pPr>
                            <w:pStyle w:val="1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AFBD6CC">
                    <w:pPr>
                      <w:pStyle w:val="1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E76A5">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ABC114"/>
    <w:multiLevelType w:val="singleLevel"/>
    <w:tmpl w:val="85ABC114"/>
    <w:lvl w:ilvl="0" w:tentative="0">
      <w:start w:val="1"/>
      <w:numFmt w:val="decimal"/>
      <w:suff w:val="space"/>
      <w:lvlText w:val="%1."/>
      <w:lvlJc w:val="left"/>
      <w:pPr>
        <w:ind w:left="-10"/>
      </w:pPr>
    </w:lvl>
  </w:abstractNum>
  <w:abstractNum w:abstractNumId="1">
    <w:nsid w:val="92A2BF0F"/>
    <w:multiLevelType w:val="singleLevel"/>
    <w:tmpl w:val="92A2BF0F"/>
    <w:lvl w:ilvl="0" w:tentative="0">
      <w:start w:val="1"/>
      <w:numFmt w:val="decimal"/>
      <w:suff w:val="space"/>
      <w:lvlText w:val="%1."/>
      <w:lvlJc w:val="left"/>
    </w:lvl>
  </w:abstractNum>
  <w:abstractNum w:abstractNumId="2">
    <w:nsid w:val="9CF7E27F"/>
    <w:multiLevelType w:val="singleLevel"/>
    <w:tmpl w:val="9CF7E27F"/>
    <w:lvl w:ilvl="0" w:tentative="0">
      <w:start w:val="1"/>
      <w:numFmt w:val="decimal"/>
      <w:suff w:val="space"/>
      <w:lvlText w:val="%1."/>
      <w:lvlJc w:val="left"/>
    </w:lvl>
  </w:abstractNum>
  <w:abstractNum w:abstractNumId="3">
    <w:nsid w:val="A10E6296"/>
    <w:multiLevelType w:val="singleLevel"/>
    <w:tmpl w:val="A10E6296"/>
    <w:lvl w:ilvl="0" w:tentative="0">
      <w:start w:val="10"/>
      <w:numFmt w:val="decimal"/>
      <w:lvlText w:val="%1."/>
      <w:lvlJc w:val="left"/>
      <w:pPr>
        <w:tabs>
          <w:tab w:val="left" w:pos="312"/>
        </w:tabs>
      </w:pPr>
    </w:lvl>
  </w:abstractNum>
  <w:abstractNum w:abstractNumId="4">
    <w:nsid w:val="C48C61D3"/>
    <w:multiLevelType w:val="singleLevel"/>
    <w:tmpl w:val="C48C61D3"/>
    <w:lvl w:ilvl="0" w:tentative="0">
      <w:start w:val="2"/>
      <w:numFmt w:val="chineseCounting"/>
      <w:suff w:val="nothing"/>
      <w:lvlText w:val="（%1）"/>
      <w:lvlJc w:val="left"/>
      <w:rPr>
        <w:rFonts w:hint="eastAsia"/>
      </w:rPr>
    </w:lvl>
  </w:abstractNum>
  <w:abstractNum w:abstractNumId="5">
    <w:nsid w:val="D1E1BB20"/>
    <w:multiLevelType w:val="singleLevel"/>
    <w:tmpl w:val="D1E1BB20"/>
    <w:lvl w:ilvl="0" w:tentative="0">
      <w:start w:val="1"/>
      <w:numFmt w:val="decimal"/>
      <w:lvlText w:val="%1."/>
      <w:lvlJc w:val="left"/>
      <w:pPr>
        <w:tabs>
          <w:tab w:val="left" w:pos="312"/>
        </w:tabs>
      </w:pPr>
    </w:lvl>
  </w:abstractNum>
  <w:abstractNum w:abstractNumId="6">
    <w:nsid w:val="0072A8BD"/>
    <w:multiLevelType w:val="singleLevel"/>
    <w:tmpl w:val="0072A8BD"/>
    <w:lvl w:ilvl="0" w:tentative="0">
      <w:start w:val="17"/>
      <w:numFmt w:val="decimal"/>
      <w:lvlText w:val="%1."/>
      <w:lvlJc w:val="left"/>
      <w:pPr>
        <w:tabs>
          <w:tab w:val="left" w:pos="312"/>
        </w:tabs>
      </w:pPr>
    </w:lvl>
  </w:abstractNum>
  <w:abstractNum w:abstractNumId="7">
    <w:nsid w:val="0294E865"/>
    <w:multiLevelType w:val="singleLevel"/>
    <w:tmpl w:val="0294E865"/>
    <w:lvl w:ilvl="0" w:tentative="0">
      <w:start w:val="1"/>
      <w:numFmt w:val="decimal"/>
      <w:suff w:val="space"/>
      <w:lvlText w:val="%1."/>
      <w:lvlJc w:val="left"/>
    </w:lvl>
  </w:abstractNum>
  <w:abstractNum w:abstractNumId="8">
    <w:nsid w:val="0BB13ED9"/>
    <w:multiLevelType w:val="singleLevel"/>
    <w:tmpl w:val="0BB13ED9"/>
    <w:lvl w:ilvl="0" w:tentative="0">
      <w:start w:val="1"/>
      <w:numFmt w:val="decimal"/>
      <w:suff w:val="space"/>
      <w:lvlText w:val="%1."/>
      <w:lvlJc w:val="left"/>
    </w:lvl>
  </w:abstractNum>
  <w:abstractNum w:abstractNumId="9">
    <w:nsid w:val="0F8C4DBB"/>
    <w:multiLevelType w:val="singleLevel"/>
    <w:tmpl w:val="0F8C4DBB"/>
    <w:lvl w:ilvl="0" w:tentative="0">
      <w:start w:val="1"/>
      <w:numFmt w:val="decimal"/>
      <w:suff w:val="space"/>
      <w:lvlText w:val="%1."/>
      <w:lvlJc w:val="left"/>
    </w:lvl>
  </w:abstractNum>
  <w:abstractNum w:abstractNumId="10">
    <w:nsid w:val="14704FFD"/>
    <w:multiLevelType w:val="singleLevel"/>
    <w:tmpl w:val="14704FFD"/>
    <w:lvl w:ilvl="0" w:tentative="0">
      <w:start w:val="1"/>
      <w:numFmt w:val="decimal"/>
      <w:suff w:val="space"/>
      <w:lvlText w:val="%1."/>
      <w:lvlJc w:val="left"/>
    </w:lvl>
  </w:abstractNum>
  <w:abstractNum w:abstractNumId="11">
    <w:nsid w:val="2152E7B4"/>
    <w:multiLevelType w:val="singleLevel"/>
    <w:tmpl w:val="2152E7B4"/>
    <w:lvl w:ilvl="0" w:tentative="0">
      <w:start w:val="1"/>
      <w:numFmt w:val="decimal"/>
      <w:suff w:val="space"/>
      <w:lvlText w:val="%1."/>
      <w:lvlJc w:val="left"/>
    </w:lvl>
  </w:abstractNum>
  <w:abstractNum w:abstractNumId="12">
    <w:nsid w:val="2AEBDBAD"/>
    <w:multiLevelType w:val="singleLevel"/>
    <w:tmpl w:val="2AEBDBAD"/>
    <w:lvl w:ilvl="0" w:tentative="0">
      <w:start w:val="1"/>
      <w:numFmt w:val="decimal"/>
      <w:suff w:val="space"/>
      <w:lvlText w:val="%1."/>
      <w:lvlJc w:val="left"/>
    </w:lvl>
  </w:abstractNum>
  <w:abstractNum w:abstractNumId="13">
    <w:nsid w:val="4A1BB593"/>
    <w:multiLevelType w:val="singleLevel"/>
    <w:tmpl w:val="4A1BB593"/>
    <w:lvl w:ilvl="0" w:tentative="0">
      <w:start w:val="1"/>
      <w:numFmt w:val="decimal"/>
      <w:suff w:val="space"/>
      <w:lvlText w:val="%1."/>
      <w:lvlJc w:val="left"/>
    </w:lvl>
  </w:abstractNum>
  <w:abstractNum w:abstractNumId="14">
    <w:nsid w:val="59BF7B27"/>
    <w:multiLevelType w:val="singleLevel"/>
    <w:tmpl w:val="59BF7B27"/>
    <w:lvl w:ilvl="0" w:tentative="0">
      <w:start w:val="1"/>
      <w:numFmt w:val="chineseCounting"/>
      <w:suff w:val="nothing"/>
      <w:lvlText w:val="%1、"/>
      <w:lvlJc w:val="left"/>
      <w:rPr>
        <w:rFonts w:hint="eastAsia"/>
      </w:rPr>
    </w:lvl>
  </w:abstractNum>
  <w:abstractNum w:abstractNumId="15">
    <w:nsid w:val="5FC1E4BF"/>
    <w:multiLevelType w:val="singleLevel"/>
    <w:tmpl w:val="5FC1E4BF"/>
    <w:lvl w:ilvl="0" w:tentative="0">
      <w:start w:val="1"/>
      <w:numFmt w:val="decimal"/>
      <w:lvlText w:val="%1."/>
      <w:lvlJc w:val="left"/>
      <w:pPr>
        <w:tabs>
          <w:tab w:val="left" w:pos="312"/>
        </w:tabs>
      </w:pPr>
    </w:lvl>
  </w:abstractNum>
  <w:abstractNum w:abstractNumId="16">
    <w:nsid w:val="63D4D87E"/>
    <w:multiLevelType w:val="singleLevel"/>
    <w:tmpl w:val="63D4D87E"/>
    <w:lvl w:ilvl="0" w:tentative="0">
      <w:start w:val="2"/>
      <w:numFmt w:val="chineseCounting"/>
      <w:suff w:val="nothing"/>
      <w:lvlText w:val="（%1）"/>
      <w:lvlJc w:val="left"/>
      <w:rPr>
        <w:rFonts w:hint="eastAsia"/>
      </w:rPr>
    </w:lvl>
  </w:abstractNum>
  <w:abstractNum w:abstractNumId="17">
    <w:nsid w:val="7E9991DB"/>
    <w:multiLevelType w:val="singleLevel"/>
    <w:tmpl w:val="7E9991DB"/>
    <w:lvl w:ilvl="0" w:tentative="0">
      <w:start w:val="2"/>
      <w:numFmt w:val="chineseCounting"/>
      <w:suff w:val="nothing"/>
      <w:lvlText w:val="（%1）"/>
      <w:lvlJc w:val="left"/>
      <w:rPr>
        <w:rFonts w:hint="eastAsia"/>
      </w:rPr>
    </w:lvl>
  </w:abstractNum>
  <w:num w:numId="1">
    <w:abstractNumId w:val="14"/>
  </w:num>
  <w:num w:numId="2">
    <w:abstractNumId w:val="5"/>
  </w:num>
  <w:num w:numId="3">
    <w:abstractNumId w:val="2"/>
  </w:num>
  <w:num w:numId="4">
    <w:abstractNumId w:val="10"/>
  </w:num>
  <w:num w:numId="5">
    <w:abstractNumId w:val="0"/>
  </w:num>
  <w:num w:numId="6">
    <w:abstractNumId w:val="11"/>
  </w:num>
  <w:num w:numId="7">
    <w:abstractNumId w:val="8"/>
  </w:num>
  <w:num w:numId="8">
    <w:abstractNumId w:val="7"/>
  </w:num>
  <w:num w:numId="9">
    <w:abstractNumId w:val="1"/>
  </w:num>
  <w:num w:numId="10">
    <w:abstractNumId w:val="13"/>
  </w:num>
  <w:num w:numId="11">
    <w:abstractNumId w:val="9"/>
  </w:num>
  <w:num w:numId="12">
    <w:abstractNumId w:val="12"/>
  </w:num>
  <w:num w:numId="13">
    <w:abstractNumId w:val="15"/>
  </w:num>
  <w:num w:numId="14">
    <w:abstractNumId w:val="3"/>
  </w:num>
  <w:num w:numId="15">
    <w:abstractNumId w:val="6"/>
  </w:num>
  <w:num w:numId="16">
    <w:abstractNumId w:val="16"/>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961066"/>
    <w:rsid w:val="02FEBE30"/>
    <w:rsid w:val="033273E6"/>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A32E70"/>
    <w:rsid w:val="12E24EE2"/>
    <w:rsid w:val="13D50BC4"/>
    <w:rsid w:val="14B17F78"/>
    <w:rsid w:val="165E0673"/>
    <w:rsid w:val="16B831D5"/>
    <w:rsid w:val="16BB723D"/>
    <w:rsid w:val="17E50567"/>
    <w:rsid w:val="186504BB"/>
    <w:rsid w:val="18F12BA3"/>
    <w:rsid w:val="19A445FC"/>
    <w:rsid w:val="1BE8440E"/>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5F5378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214911"/>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DF866F5"/>
    <w:rsid w:val="5ECEC941"/>
    <w:rsid w:val="5F46191B"/>
    <w:rsid w:val="5FBF9FF3"/>
    <w:rsid w:val="5FCD4E2C"/>
    <w:rsid w:val="5FEF394A"/>
    <w:rsid w:val="5FF67715"/>
    <w:rsid w:val="62BD02A1"/>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828FF"/>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7"/>
    <w:unhideWhenUsed/>
    <w:qFormat/>
    <w:uiPriority w:val="9"/>
    <w:pPr>
      <w:keepNext/>
      <w:keepLines/>
      <w:spacing w:before="260" w:after="260" w:line="416" w:lineRule="auto"/>
      <w:outlineLvl w:val="2"/>
    </w:pPr>
    <w:rPr>
      <w:b/>
      <w:bCs/>
      <w:sz w:val="32"/>
      <w:szCs w:val="32"/>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qFormat/>
    <w:uiPriority w:val="0"/>
    <w:pPr>
      <w:spacing w:after="120"/>
      <w:ind w:leftChars="200"/>
    </w:pPr>
    <w:rPr>
      <w:rFonts w:ascii="仿宋_GB2312"/>
      <w:szCs w:val="32"/>
    </w:rPr>
  </w:style>
  <w:style w:type="paragraph" w:styleId="8">
    <w:name w:val="Normal Indent"/>
    <w:basedOn w:val="1"/>
    <w:next w:val="1"/>
    <w:qFormat/>
    <w:uiPriority w:val="99"/>
    <w:pPr>
      <w:ind w:firstLine="420" w:firstLineChars="200"/>
    </w:pPr>
  </w:style>
  <w:style w:type="paragraph" w:styleId="9">
    <w:name w:val="Body Text"/>
    <w:basedOn w:val="1"/>
    <w:link w:val="30"/>
    <w:qFormat/>
    <w:uiPriority w:val="99"/>
    <w:pPr>
      <w:spacing w:beforeLines="30"/>
    </w:pPr>
    <w:rPr>
      <w:rFonts w:ascii="仿宋_GB2312" w:eastAsia="仿宋_GB2312"/>
      <w:kern w:val="0"/>
      <w:sz w:val="30"/>
    </w:rPr>
  </w:style>
  <w:style w:type="paragraph" w:styleId="10">
    <w:name w:val="toc 3"/>
    <w:basedOn w:val="1"/>
    <w:next w:val="1"/>
    <w:unhideWhenUsed/>
    <w:qFormat/>
    <w:uiPriority w:val="39"/>
    <w:pPr>
      <w:tabs>
        <w:tab w:val="right" w:leader="dot" w:pos="8296"/>
      </w:tabs>
      <w:ind w:left="840" w:leftChars="400"/>
    </w:pPr>
  </w:style>
  <w:style w:type="paragraph" w:styleId="11">
    <w:name w:val="Body Text Indent 2"/>
    <w:basedOn w:val="1"/>
    <w:unhideWhenUsed/>
    <w:qFormat/>
    <w:uiPriority w:val="0"/>
    <w:pPr>
      <w:spacing w:line="480" w:lineRule="auto"/>
      <w:ind w:left="420" w:leftChars="200"/>
    </w:pPr>
  </w:style>
  <w:style w:type="paragraph" w:styleId="12">
    <w:name w:val="Balloon Text"/>
    <w:basedOn w:val="1"/>
    <w:link w:val="36"/>
    <w:semiHidden/>
    <w:unhideWhenUsed/>
    <w:qFormat/>
    <w:uiPriority w:val="99"/>
    <w:rPr>
      <w:sz w:val="18"/>
      <w:szCs w:val="18"/>
    </w:rPr>
  </w:style>
  <w:style w:type="paragraph" w:styleId="13">
    <w:name w:val="footer"/>
    <w:basedOn w:val="1"/>
    <w:link w:val="28"/>
    <w:qFormat/>
    <w:uiPriority w:val="99"/>
    <w:pPr>
      <w:tabs>
        <w:tab w:val="center" w:pos="4153"/>
        <w:tab w:val="right" w:pos="8306"/>
      </w:tabs>
      <w:snapToGrid w:val="0"/>
      <w:jc w:val="left"/>
    </w:pPr>
    <w:rPr>
      <w:rFonts w:ascii="Calibri" w:hAnsi="Calibri"/>
      <w:kern w:val="0"/>
      <w:sz w:val="18"/>
      <w:szCs w:val="18"/>
    </w:rPr>
  </w:style>
  <w:style w:type="paragraph" w:styleId="14">
    <w:name w:val="header"/>
    <w:basedOn w:val="1"/>
    <w:link w:val="26"/>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table of figures"/>
    <w:basedOn w:val="1"/>
    <w:next w:val="1"/>
    <w:semiHidden/>
    <w:qFormat/>
    <w:uiPriority w:val="99"/>
    <w:pPr>
      <w:ind w:left="200" w:leftChars="200" w:hanging="200" w:hangingChars="200"/>
    </w:pPr>
    <w:rPr>
      <w:rFonts w:eastAsia="方正仿宋_GBK"/>
      <w:sz w:val="32"/>
      <w:szCs w:val="32"/>
    </w:rPr>
  </w:style>
  <w:style w:type="paragraph" w:styleId="17">
    <w:name w:val="toc 2"/>
    <w:basedOn w:val="1"/>
    <w:next w:val="1"/>
    <w:unhideWhenUsed/>
    <w:qFormat/>
    <w:uiPriority w:val="39"/>
    <w:pPr>
      <w:tabs>
        <w:tab w:val="right" w:leader="dot" w:pos="8296"/>
      </w:tabs>
      <w:ind w:left="420" w:leftChars="200"/>
    </w:pPr>
  </w:style>
  <w:style w:type="paragraph" w:styleId="1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20">
    <w:name w:val="Table Grid"/>
    <w:basedOn w:val="1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99"/>
    <w:rPr>
      <w:b/>
    </w:rPr>
  </w:style>
  <w:style w:type="character" w:styleId="23">
    <w:name w:val="Hyperlink"/>
    <w:basedOn w:val="21"/>
    <w:unhideWhenUsed/>
    <w:qFormat/>
    <w:uiPriority w:val="99"/>
    <w:rPr>
      <w:color w:val="0000FF" w:themeColor="hyperlink"/>
      <w:u w:val="single"/>
      <w14:textFill>
        <w14:solidFill>
          <w14:schemeClr w14:val="hlink"/>
        </w14:solidFill>
      </w14:textFill>
    </w:rPr>
  </w:style>
  <w:style w:type="paragraph" w:customStyle="1" w:styleId="24">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5">
    <w:name w:val="Header Char"/>
    <w:basedOn w:val="21"/>
    <w:semiHidden/>
    <w:qFormat/>
    <w:uiPriority w:val="99"/>
    <w:rPr>
      <w:rFonts w:ascii="Times New Roman" w:hAnsi="Times New Roman"/>
      <w:sz w:val="18"/>
      <w:szCs w:val="18"/>
    </w:rPr>
  </w:style>
  <w:style w:type="character" w:customStyle="1" w:styleId="26">
    <w:name w:val="页眉 Char"/>
    <w:link w:val="14"/>
    <w:semiHidden/>
    <w:qFormat/>
    <w:locked/>
    <w:uiPriority w:val="99"/>
    <w:rPr>
      <w:sz w:val="18"/>
    </w:rPr>
  </w:style>
  <w:style w:type="character" w:customStyle="1" w:styleId="27">
    <w:name w:val="Footer Char"/>
    <w:basedOn w:val="21"/>
    <w:semiHidden/>
    <w:qFormat/>
    <w:uiPriority w:val="99"/>
    <w:rPr>
      <w:rFonts w:ascii="Times New Roman" w:hAnsi="Times New Roman"/>
      <w:sz w:val="18"/>
      <w:szCs w:val="18"/>
    </w:rPr>
  </w:style>
  <w:style w:type="character" w:customStyle="1" w:styleId="28">
    <w:name w:val="页脚 Char"/>
    <w:link w:val="13"/>
    <w:qFormat/>
    <w:locked/>
    <w:uiPriority w:val="99"/>
    <w:rPr>
      <w:sz w:val="18"/>
    </w:rPr>
  </w:style>
  <w:style w:type="character" w:customStyle="1" w:styleId="29">
    <w:name w:val="Body Text Char"/>
    <w:basedOn w:val="21"/>
    <w:semiHidden/>
    <w:qFormat/>
    <w:uiPriority w:val="99"/>
    <w:rPr>
      <w:rFonts w:ascii="Times New Roman" w:hAnsi="Times New Roman"/>
      <w:szCs w:val="24"/>
    </w:rPr>
  </w:style>
  <w:style w:type="character" w:customStyle="1" w:styleId="30">
    <w:name w:val="正文文本 Char"/>
    <w:link w:val="9"/>
    <w:qFormat/>
    <w:locked/>
    <w:uiPriority w:val="99"/>
    <w:rPr>
      <w:rFonts w:ascii="仿宋_GB2312" w:hAnsi="Times New Roman" w:eastAsia="仿宋_GB2312"/>
      <w:sz w:val="24"/>
    </w:rPr>
  </w:style>
  <w:style w:type="paragraph" w:customStyle="1" w:styleId="31">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2">
    <w:name w:val="List Paragraph"/>
    <w:basedOn w:val="1"/>
    <w:qFormat/>
    <w:uiPriority w:val="34"/>
    <w:pPr>
      <w:ind w:firstLine="420" w:firstLineChars="200"/>
    </w:pPr>
  </w:style>
  <w:style w:type="character" w:customStyle="1" w:styleId="33">
    <w:name w:val="标题 1 Char"/>
    <w:basedOn w:val="21"/>
    <w:link w:val="5"/>
    <w:qFormat/>
    <w:uiPriority w:val="9"/>
    <w:rPr>
      <w:rFonts w:ascii="Times New Roman" w:hAnsi="Times New Roman"/>
      <w:b/>
      <w:bCs/>
      <w:kern w:val="44"/>
      <w:sz w:val="44"/>
      <w:szCs w:val="44"/>
    </w:rPr>
  </w:style>
  <w:style w:type="character" w:customStyle="1" w:styleId="34">
    <w:name w:val="标题 2 Char"/>
    <w:basedOn w:val="21"/>
    <w:link w:val="6"/>
    <w:qFormat/>
    <w:uiPriority w:val="9"/>
    <w:rPr>
      <w:rFonts w:asciiTheme="majorHAnsi" w:hAnsiTheme="majorHAnsi" w:eastAsiaTheme="majorEastAsia" w:cstheme="majorBidi"/>
      <w:b/>
      <w:bCs/>
      <w:kern w:val="2"/>
      <w:sz w:val="32"/>
      <w:szCs w:val="32"/>
    </w:rPr>
  </w:style>
  <w:style w:type="paragraph" w:customStyle="1" w:styleId="35">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Char"/>
    <w:basedOn w:val="21"/>
    <w:link w:val="12"/>
    <w:semiHidden/>
    <w:qFormat/>
    <w:uiPriority w:val="99"/>
    <w:rPr>
      <w:rFonts w:ascii="Times New Roman" w:hAnsi="Times New Roman"/>
      <w:kern w:val="2"/>
      <w:sz w:val="18"/>
      <w:szCs w:val="18"/>
    </w:rPr>
  </w:style>
  <w:style w:type="character" w:customStyle="1" w:styleId="37">
    <w:name w:val="标题 3 Char"/>
    <w:basedOn w:val="21"/>
    <w:link w:val="7"/>
    <w:qFormat/>
    <w:uiPriority w:val="9"/>
    <w:rPr>
      <w:rFonts w:ascii="Times New Roman" w:hAnsi="Times New Roman"/>
      <w:b/>
      <w:bCs/>
      <w:kern w:val="2"/>
      <w:sz w:val="32"/>
      <w:szCs w:val="32"/>
    </w:rPr>
  </w:style>
  <w:style w:type="paragraph" w:customStyle="1" w:styleId="38">
    <w:name w:val="TOC Heading"/>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9">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40">
    <w:name w:val="列出段落1"/>
    <w:basedOn w:val="1"/>
    <w:qFormat/>
    <w:uiPriority w:val="34"/>
    <w:pPr>
      <w:ind w:firstLine="420" w:firstLineChars="200"/>
    </w:pPr>
  </w:style>
  <w:style w:type="paragraph" w:customStyle="1" w:styleId="41">
    <w:name w:val="1"/>
    <w:next w:val="11"/>
    <w:unhideWhenUsed/>
    <w:qFormat/>
    <w:uiPriority w:val="0"/>
    <w:pPr>
      <w:widowControl w:val="0"/>
      <w:snapToGrid w:val="0"/>
      <w:spacing w:line="400" w:lineRule="atLeast"/>
      <w:ind w:firstLine="360" w:firstLineChars="200"/>
      <w:jc w:val="both"/>
    </w:pPr>
    <w:rPr>
      <w:rFonts w:ascii="Times New Roman" w:hAnsi="Times New Roman" w:eastAsia="宋体" w:cs="Times New Roman"/>
      <w:kern w:val="2"/>
      <w:sz w:val="18"/>
      <w:lang w:val="en-US" w:eastAsia="zh-CN" w:bidi="ar-SA"/>
    </w:rPr>
  </w:style>
  <w:style w:type="paragraph" w:customStyle="1" w:styleId="42">
    <w:name w:val="列出段落2"/>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收支决算总计变动情况图（万元）</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numCache>
            </c:numRef>
          </c:cat>
          <c:val>
            <c:numRef>
              <c:f>Sheet1!$B$2:$B$5</c:f>
              <c:numCache>
                <c:formatCode>General</c:formatCode>
                <c:ptCount val="4"/>
                <c:pt idx="0">
                  <c:v>3020.37</c:v>
                </c:pt>
              </c:numCache>
            </c:numRef>
          </c:val>
        </c:ser>
        <c:ser>
          <c:idx val="1"/>
          <c:order val="1"/>
          <c:tx>
            <c:strRef>
              <c:f>Sheet1!$C$1</c:f>
              <c:strCache>
                <c:ptCount val="1"/>
                <c:pt idx="0">
                  <c:v>2024年</c:v>
                </c:pt>
              </c:strCache>
            </c:strRef>
          </c:tx>
          <c:spPr>
            <a:solidFill>
              <a:schemeClr val="accent2"/>
            </a:solidFill>
            <a:ln>
              <a:noFill/>
            </a:ln>
            <a:effectLst/>
          </c:spPr>
          <c:invertIfNegative val="0"/>
          <c:dLbls>
            <c:dLbl>
              <c:idx val="0"/>
              <c:layout>
                <c:manualLayout>
                  <c:x val="0.0637947592262313"/>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numCache>
            </c:numRef>
          </c:cat>
          <c:val>
            <c:numRef>
              <c:f>Sheet1!$C$2:$C$5</c:f>
              <c:numCache>
                <c:formatCode>General</c:formatCode>
                <c:ptCount val="4"/>
                <c:pt idx="0">
                  <c:v>2511.26</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numRef>
              <c:f>Sheet1!$A$2:$A$5</c:f>
              <c:numCache>
                <c:formatCode>General</c:formatCode>
                <c:ptCount val="4"/>
              </c:numCache>
            </c:numRef>
          </c:cat>
          <c:val>
            <c:numRef>
              <c:f>Sheet1!#REF!</c:f>
              <c:numCache>
                <c:formatCode>General</c:formatCode>
                <c:ptCount val="1"/>
                <c:pt idx="0">
                  <c:v>1</c:v>
                </c:pt>
              </c:numCache>
            </c:numRef>
          </c:val>
        </c:ser>
        <c:dLbls>
          <c:showLegendKey val="0"/>
          <c:showVal val="0"/>
          <c:showCatName val="0"/>
          <c:showSerName val="0"/>
          <c:showPercent val="0"/>
          <c:showBubbleSize val="0"/>
        </c:dLbls>
        <c:gapWidth val="246"/>
        <c:overlap val="-28"/>
        <c:axId val="561565268"/>
        <c:axId val="818066582"/>
      </c:barChart>
      <c:catAx>
        <c:axId val="56156526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8066582"/>
        <c:crosses val="autoZero"/>
        <c:auto val="1"/>
        <c:lblAlgn val="ctr"/>
        <c:lblOffset val="100"/>
        <c:noMultiLvlLbl val="0"/>
      </c:catAx>
      <c:valAx>
        <c:axId val="81806658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1565268"/>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24f0f3d-7621-4f72-9a37-52732c0e3a6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tx>
            <c:strRef>
              <c:f>Sheet1!$B$1</c:f>
              <c:strCache>
                <c:ptCount val="1"/>
                <c:pt idx="0">
                  <c:v>收入决算结构图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Sheet1!$B$2:$B$9</c:f>
              <c:numCache>
                <c:formatCode>General</c:formatCode>
                <c:ptCount val="8"/>
                <c:pt idx="0">
                  <c:v>2248.43</c:v>
                </c:pt>
                <c:pt idx="1">
                  <c:v>262.83</c:v>
                </c:pt>
                <c:pt idx="2">
                  <c:v>0</c:v>
                </c:pt>
                <c:pt idx="3">
                  <c:v>0</c:v>
                </c:pt>
                <c:pt idx="4">
                  <c:v>0</c:v>
                </c:pt>
                <c:pt idx="5">
                  <c:v>0</c:v>
                </c:pt>
                <c:pt idx="6">
                  <c:v>0</c:v>
                </c:pt>
                <c:pt idx="7">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5285a1f-a45d-43ff-8409-275ee146596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1907.17</c:v>
                </c:pt>
                <c:pt idx="1">
                  <c:v>604.09</c:v>
                </c:pt>
                <c:pt idx="2">
                  <c:v>0</c:v>
                </c:pt>
                <c:pt idx="3">
                  <c:v>0</c:v>
                </c:pt>
                <c:pt idx="4">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a6517ea-2461-4f2e-866f-ab44cfac0e9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财政拨款收、支决算总计变动情况（万元）</a:t>
            </a:r>
          </a:p>
        </c:rich>
      </c:tx>
      <c:layout>
        <c:manualLayout>
          <c:xMode val="edge"/>
          <c:yMode val="edge"/>
          <c:x val="0.202153930580327"/>
          <c:y val="0.0308641975308642"/>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numCache>
            </c:numRef>
          </c:cat>
          <c:val>
            <c:numRef>
              <c:f>Sheet1!$B$2:$B$5</c:f>
              <c:numCache>
                <c:formatCode>General</c:formatCode>
                <c:ptCount val="4"/>
                <c:pt idx="0">
                  <c:v>3020.37</c:v>
                </c:pt>
              </c:numCache>
            </c:numRef>
          </c:val>
        </c:ser>
        <c:ser>
          <c:idx val="1"/>
          <c:order val="1"/>
          <c:tx>
            <c:strRef>
              <c:f>Sheet1!$C$1</c:f>
              <c:strCache>
                <c:ptCount val="1"/>
                <c:pt idx="0">
                  <c:v>2024年</c:v>
                </c:pt>
              </c:strCache>
            </c:strRef>
          </c:tx>
          <c:spPr>
            <a:solidFill>
              <a:schemeClr val="accent2"/>
            </a:solidFill>
            <a:ln>
              <a:noFill/>
            </a:ln>
            <a:effectLst/>
          </c:spPr>
          <c:invertIfNegative val="0"/>
          <c:dLbls>
            <c:dLbl>
              <c:idx val="0"/>
              <c:layout>
                <c:manualLayout>
                  <c:x val="0.0637947592262313"/>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numCache>
            </c:numRef>
          </c:cat>
          <c:val>
            <c:numRef>
              <c:f>Sheet1!$C$2:$C$5</c:f>
              <c:numCache>
                <c:formatCode>General</c:formatCode>
                <c:ptCount val="4"/>
                <c:pt idx="0">
                  <c:v>2511.26</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numRef>
              <c:f>Sheet1!$A$2:$A$5</c:f>
              <c:numCache>
                <c:formatCode>General</c:formatCode>
                <c:ptCount val="4"/>
              </c:numCache>
            </c:numRef>
          </c:cat>
          <c:val>
            <c:numRef>
              <c:f>Sheet1!#REF!</c:f>
              <c:numCache>
                <c:formatCode>General</c:formatCode>
                <c:ptCount val="1"/>
                <c:pt idx="0">
                  <c:v>1</c:v>
                </c:pt>
              </c:numCache>
            </c:numRef>
          </c:val>
        </c:ser>
        <c:dLbls>
          <c:showLegendKey val="0"/>
          <c:showVal val="0"/>
          <c:showCatName val="0"/>
          <c:showSerName val="0"/>
          <c:showPercent val="0"/>
          <c:showBubbleSize val="0"/>
        </c:dLbls>
        <c:gapWidth val="246"/>
        <c:overlap val="-28"/>
        <c:axId val="561565268"/>
        <c:axId val="818066582"/>
      </c:barChart>
      <c:catAx>
        <c:axId val="56156526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8066582"/>
        <c:crosses val="autoZero"/>
        <c:auto val="1"/>
        <c:lblAlgn val="ctr"/>
        <c:lblOffset val="100"/>
        <c:noMultiLvlLbl val="0"/>
      </c:catAx>
      <c:valAx>
        <c:axId val="81806658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1565268"/>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7d0a183-9310-49d8-9501-9814c697781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一般公共预算财政拨款支出决算变动情况（万元）</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2023年</c:v>
                </c:pt>
                <c:pt idx="1">
                  <c:v>2024年</c:v>
                </c:pt>
              </c:strCache>
            </c:strRef>
          </c:cat>
          <c:val>
            <c:numRef>
              <c:f>Sheet1!$B$2:$B$5</c:f>
              <c:numCache>
                <c:formatCode>General</c:formatCode>
                <c:ptCount val="4"/>
                <c:pt idx="0">
                  <c:v>2722.05</c:v>
                </c:pt>
                <c:pt idx="1">
                  <c:v>2248.43</c:v>
                </c:pt>
              </c:numCache>
            </c:numRef>
          </c:val>
        </c:ser>
        <c:ser>
          <c:idx val="1"/>
          <c:order val="1"/>
          <c:tx>
            <c:strRef>
              <c:f>Sheet1!$C$1</c:f>
              <c:strCache>
                <c:ptCount val="1"/>
                <c:pt idx="0">
                  <c:v/>
                </c:pt>
              </c:strCache>
            </c:strRef>
          </c:tx>
          <c:spPr>
            <a:solidFill>
              <a:schemeClr val="accent2"/>
            </a:solidFill>
            <a:ln>
              <a:noFill/>
            </a:ln>
            <a:effectLst/>
          </c:spPr>
          <c:invertIfNegative val="0"/>
          <c:dLbls>
            <c:delete val="1"/>
          </c:dLbls>
          <c:cat>
            <c:strRef>
              <c:f>Sheet1!$A$2:$A$5</c:f>
              <c:strCache>
                <c:ptCount val="4"/>
                <c:pt idx="0">
                  <c:v>2023年</c:v>
                </c:pt>
                <c:pt idx="1">
                  <c:v>2024年</c:v>
                </c:pt>
              </c:strCache>
            </c:strRef>
          </c:cat>
          <c:val>
            <c:numRef>
              <c:f>Sheet1!$C$2:$C$5</c:f>
              <c:numCache>
                <c:formatCode>General</c:formatCode>
                <c:ptCount val="4"/>
              </c:numCache>
            </c:numRef>
          </c:val>
        </c:ser>
        <c:ser>
          <c:idx val="2"/>
          <c:order val="2"/>
          <c:tx>
            <c:strRef>
              <c:f>Sheet1!$D$1</c:f>
              <c:strCache>
                <c:ptCount val="1"/>
                <c:pt idx="0">
                  <c:v/>
                </c:pt>
              </c:strCache>
            </c:strRef>
          </c:tx>
          <c:spPr>
            <a:solidFill>
              <a:schemeClr val="accent3"/>
            </a:solidFill>
            <a:ln>
              <a:noFill/>
            </a:ln>
            <a:effectLst/>
          </c:spPr>
          <c:invertIfNegative val="0"/>
          <c:dLbls>
            <c:delete val="1"/>
          </c:dLbls>
          <c:cat>
            <c:strRef>
              <c:f>Sheet1!$A$2:$A$5</c:f>
              <c:strCache>
                <c:ptCount val="4"/>
                <c:pt idx="0">
                  <c:v>2023年</c:v>
                </c:pt>
                <c:pt idx="1">
                  <c:v>2024年</c:v>
                </c:pt>
              </c:strCache>
            </c:strRef>
          </c:cat>
          <c:val>
            <c:numRef>
              <c:f>Sheet1!$D$2:$D$5</c:f>
              <c:numCache>
                <c:formatCode>General</c:formatCode>
                <c:ptCount val="4"/>
              </c:numCache>
            </c:numRef>
          </c:val>
        </c:ser>
        <c:dLbls>
          <c:showLegendKey val="0"/>
          <c:showVal val="0"/>
          <c:showCatName val="0"/>
          <c:showSerName val="0"/>
          <c:showPercent val="0"/>
          <c:showBubbleSize val="0"/>
        </c:dLbls>
        <c:gapWidth val="246"/>
        <c:overlap val="-28"/>
        <c:axId val="863772964"/>
        <c:axId val="652669953"/>
      </c:barChart>
      <c:catAx>
        <c:axId val="86377296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2669953"/>
        <c:crosses val="autoZero"/>
        <c:auto val="1"/>
        <c:lblAlgn val="ctr"/>
        <c:lblOffset val="100"/>
        <c:noMultiLvlLbl val="0"/>
      </c:catAx>
      <c:valAx>
        <c:axId val="652669953"/>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3772964"/>
        <c:crosses val="autoZero"/>
        <c:crossBetween val="between"/>
      </c:valAx>
      <c:spPr>
        <a:noFill/>
        <a:ln>
          <a:noFill/>
        </a:ln>
        <a:effectLst/>
      </c:spPr>
    </c:plotArea>
    <c:plotVisOnly val="1"/>
    <c:dispBlanksAs val="gap"/>
    <c:showDLblsOverMax val="0"/>
    <c:extLst>
      <c:ext uri="{0b15fc19-7d7d-44ad-8c2d-2c3a37ce22c3}">
        <chartProps xmlns="https://web.wps.cn/et/2018/main" chartId="{bbf6ddd2-da52-40b9-8890-a3682b2e8c3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一般公共预算财政拨款支出决算结构（万元）</a:t>
            </a:r>
          </a:p>
        </c:rich>
      </c:tx>
      <c:layout/>
      <c:overlay val="0"/>
      <c:spPr>
        <a:noFill/>
        <a:ln>
          <a:noFill/>
        </a:ln>
        <a:effectLst/>
      </c:sp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Pt>
            <c:idx val="8"/>
            <c:bubble3D val="0"/>
            <c:spPr>
              <a:solidFill>
                <a:schemeClr val="accent3">
                  <a:lumMod val="60000"/>
                </a:schemeClr>
              </a:solidFill>
              <a:ln>
                <a:solidFill>
                  <a:schemeClr val="bg1"/>
                </a:solidFill>
              </a:ln>
              <a:effectLst/>
            </c:spPr>
          </c:dPt>
          <c:dPt>
            <c:idx val="9"/>
            <c:bubble3D val="0"/>
            <c:spPr>
              <a:solidFill>
                <a:schemeClr val="accent4">
                  <a:lumMod val="60000"/>
                </a:schemeClr>
              </a:solidFill>
              <a:ln>
                <a:solidFill>
                  <a:schemeClr val="bg1"/>
                </a:solidFill>
              </a:ln>
              <a:effectLst/>
            </c:spPr>
          </c:dPt>
          <c:dPt>
            <c:idx val="10"/>
            <c:bubble3D val="0"/>
            <c:spPr>
              <a:solidFill>
                <a:schemeClr val="accent5">
                  <a:lumMod val="60000"/>
                </a:schemeClr>
              </a:solidFill>
              <a:ln>
                <a:solidFill>
                  <a:schemeClr val="bg1"/>
                </a:solidFill>
              </a:ln>
              <a:effectLst/>
            </c:spPr>
          </c:dPt>
          <c:dPt>
            <c:idx val="11"/>
            <c:bubble3D val="0"/>
            <c:spPr>
              <a:solidFill>
                <a:schemeClr val="accent6">
                  <a:lumMod val="60000"/>
                </a:schemeClr>
              </a:solidFill>
              <a:ln>
                <a:solidFill>
                  <a:schemeClr val="bg1"/>
                </a:solidFill>
              </a:ln>
              <a:effectLst/>
            </c:spPr>
          </c:dPt>
          <c:dPt>
            <c:idx val="12"/>
            <c:bubble3D val="0"/>
            <c:spPr>
              <a:solidFill>
                <a:schemeClr val="accent1">
                  <a:lumMod val="80000"/>
                  <a:lumOff val="20000"/>
                </a:schemeClr>
              </a:solidFill>
              <a:ln>
                <a:solidFill>
                  <a:schemeClr val="bg1"/>
                </a:solidFill>
              </a:ln>
              <a:effectLst/>
            </c:spPr>
          </c:dPt>
          <c:dLbls>
            <c:dLbl>
              <c:idx val="1"/>
              <c:layout>
                <c:manualLayout>
                  <c:x val="0.0941258766989493"/>
                  <c:y val="0.022185440510346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615514239903391"/>
                  <c:y val="0.0536574091367624"/>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0339453974389949"/>
                      <c:h val="0.0513461538461538"/>
                    </c:manualLayout>
                  </c15:layout>
                </c:ext>
              </c:extLst>
            </c:dLbl>
            <c:dLbl>
              <c:idx val="3"/>
              <c:layout>
                <c:manualLayout>
                  <c:x val="0.0833081185056124"/>
                  <c:y val="-0.021115243943840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216450449402324"/>
                  <c:y val="0.0854899021925859"/>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0732060884271563"/>
                      <c:h val="0.0555769230769231"/>
                    </c:manualLayout>
                  </c15:layout>
                </c:ext>
              </c:extLst>
            </c:dLbl>
            <c:dLbl>
              <c:idx val="6"/>
              <c:layout>
                <c:manualLayout>
                  <c:x val="0.0924679328200037"/>
                  <c:y val="0.018203362028342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758115715867713"/>
                  <c:y val="0.02966444927639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0828924630441002"/>
                  <c:y val="-0.0066920885153943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0282728959465002"/>
                  <c:y val="0.00091433019633014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0.0915952687016867"/>
                  <c:y val="0.0072949146994511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0.0102982807896274"/>
                  <c:y val="-0.050356429802032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2"/>
              <c:layout>
                <c:manualLayout>
                  <c:x val="0.103617959050507"/>
                  <c:y val="0.013118509143476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Sheet1!$A$2:$A$14</c:f>
              <c:strCache>
                <c:ptCount val="13"/>
                <c:pt idx="0">
                  <c:v>一般公共服务支出</c:v>
                </c:pt>
                <c:pt idx="1">
                  <c:v>公共安全支出</c:v>
                </c:pt>
                <c:pt idx="2">
                  <c:v>教育支出</c:v>
                </c:pt>
                <c:pt idx="3">
                  <c:v>科学技术支出</c:v>
                </c:pt>
                <c:pt idx="4">
                  <c:v>文化旅游体育与传媒支出</c:v>
                </c:pt>
                <c:pt idx="5">
                  <c:v>社会保障和就业支出</c:v>
                </c:pt>
                <c:pt idx="6">
                  <c:v>卫生健康支出</c:v>
                </c:pt>
                <c:pt idx="7">
                  <c:v>节能环保支出</c:v>
                </c:pt>
                <c:pt idx="8">
                  <c:v>城乡社区支出</c:v>
                </c:pt>
                <c:pt idx="9">
                  <c:v>农林水支出</c:v>
                </c:pt>
                <c:pt idx="10">
                  <c:v>资源勘探工业信息等支出</c:v>
                </c:pt>
                <c:pt idx="11">
                  <c:v>住房保障支出</c:v>
                </c:pt>
                <c:pt idx="12">
                  <c:v>灾害防治及应急管理支出</c:v>
                </c:pt>
              </c:strCache>
            </c:strRef>
          </c:cat>
          <c:val>
            <c:numRef>
              <c:f>Sheet1!$B$2:$B$14</c:f>
              <c:numCache>
                <c:formatCode>General</c:formatCode>
                <c:ptCount val="13"/>
                <c:pt idx="0">
                  <c:v>586.11</c:v>
                </c:pt>
                <c:pt idx="1">
                  <c:v>9.88</c:v>
                </c:pt>
                <c:pt idx="2">
                  <c:v>0</c:v>
                </c:pt>
                <c:pt idx="3">
                  <c:v>0</c:v>
                </c:pt>
                <c:pt idx="4">
                  <c:v>39.62</c:v>
                </c:pt>
                <c:pt idx="5">
                  <c:v>610.03</c:v>
                </c:pt>
                <c:pt idx="6">
                  <c:v>47.67</c:v>
                </c:pt>
                <c:pt idx="7">
                  <c:v>22.23</c:v>
                </c:pt>
                <c:pt idx="8">
                  <c:v>28.87</c:v>
                </c:pt>
                <c:pt idx="9">
                  <c:v>824.71</c:v>
                </c:pt>
                <c:pt idx="10">
                  <c:v>2.25</c:v>
                </c:pt>
                <c:pt idx="11">
                  <c:v>76.6</c:v>
                </c:pt>
                <c:pt idx="12">
                  <c:v>0.46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c711b11-bba0-4111-b587-a02a824973e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a:t>
            </a:r>
            <a:r>
              <a:rPr altLang="en-US"/>
              <a:t>三公</a:t>
            </a:r>
            <a:r>
              <a:rPr lang="en-US" altLang="zh-CN"/>
              <a:t>”</a:t>
            </a:r>
            <a:r>
              <a:rPr altLang="en-US"/>
              <a:t>经费财政拨款支出结构（万元）</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416767335105098"/>
                  <c:y val="-0.0095622609434764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39525819322137"/>
                  <c:y val="-0.034217669906076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507368929693163"/>
                  <c:y val="-0.0031874203144921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0.92</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c55fcdf-1e29-46b8-91d2-12a99182da0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50</Pages>
  <Words>10892</Words>
  <Characters>12207</Characters>
  <Lines>61</Lines>
  <Paragraphs>17</Paragraphs>
  <TotalTime>29</TotalTime>
  <ScaleCrop>false</ScaleCrop>
  <LinksUpToDate>false</LinksUpToDate>
  <CharactersWithSpaces>12252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王巧丽</cp:lastModifiedBy>
  <cp:lastPrinted>2025-08-06T17:34:00Z</cp:lastPrinted>
  <dcterms:modified xsi:type="dcterms:W3CDTF">2025-10-20T08:02:36Z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04787F2533EB45DC91BCDE4AB213247F</vt:lpwstr>
  </property>
  <property fmtid="{D5CDD505-2E9C-101B-9397-08002B2CF9AE}" pid="4" name="KSOTemplateDocerSaveRecord">
    <vt:lpwstr>eyJoZGlkIjoiMjc5NDJjM2MxY2QxNGFjNjNlMzJlZTRiMmU5ODRjNjciLCJ1c2VySWQiOiIxNDg0MjA2MzkwIn0=</vt:lpwstr>
  </property>
</Properties>
</file>