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59813">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77425"/>
      <w:bookmarkStart w:id="2" w:name="_Toc15377193"/>
      <w:bookmarkStart w:id="3" w:name="_Toc15396475"/>
      <w:bookmarkStart w:id="4" w:name="_Toc15378441"/>
      <w:bookmarkStart w:id="5" w:name="_Toc15306267"/>
    </w:p>
    <w:p w14:paraId="676D9662">
      <w:pPr>
        <w:pStyle w:val="2"/>
        <w:rPr>
          <w:rFonts w:hint="eastAsia" w:ascii="Times New Roman" w:hAnsi="Times New Roman" w:eastAsia="方正小标宋简体" w:cs="Times New Roman"/>
          <w:color w:val="auto"/>
          <w:kern w:val="2"/>
          <w:sz w:val="72"/>
          <w:szCs w:val="72"/>
          <w:highlight w:val="none"/>
          <w:lang w:val="en-US" w:eastAsia="zh-CN" w:bidi="ar-SA"/>
        </w:rPr>
      </w:pPr>
    </w:p>
    <w:p w14:paraId="007EFE4A">
      <w:pPr>
        <w:pStyle w:val="2"/>
        <w:rPr>
          <w:rFonts w:hint="eastAsia" w:ascii="Times New Roman" w:hAnsi="Times New Roman" w:eastAsia="方正小标宋简体" w:cs="Times New Roman"/>
          <w:color w:val="auto"/>
          <w:kern w:val="2"/>
          <w:sz w:val="72"/>
          <w:szCs w:val="72"/>
          <w:highlight w:val="none"/>
          <w:lang w:val="en-US" w:eastAsia="zh-CN" w:bidi="ar-SA"/>
        </w:rPr>
      </w:pPr>
    </w:p>
    <w:p w14:paraId="48AC073D">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牛华镇文化旅游服务中心</w:t>
      </w:r>
      <w:r>
        <w:rPr>
          <w:rFonts w:hint="eastAsia" w:ascii="Times New Roman" w:hAnsi="Times New Roman" w:eastAsia="方正小标宋简体" w:cs="Times New Roman"/>
          <w:color w:val="auto"/>
          <w:kern w:val="2"/>
          <w:sz w:val="44"/>
          <w:szCs w:val="44"/>
          <w:highlight w:val="none"/>
          <w:lang w:val="en-US" w:eastAsia="zh-CN" w:bidi="ar-SA"/>
        </w:rPr>
        <w:t>决算</w:t>
      </w:r>
    </w:p>
    <w:p w14:paraId="48784B38">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w:t>
      </w:r>
    </w:p>
    <w:p w14:paraId="145B3D91">
      <w:pPr>
        <w:spacing w:line="600" w:lineRule="exact"/>
        <w:jc w:val="center"/>
        <w:outlineLvl w:val="0"/>
        <w:rPr>
          <w:rFonts w:ascii="Times New Roman" w:hAnsi="Times New Roman" w:eastAsia="方正小标宋简体"/>
          <w:color w:val="auto"/>
          <w:sz w:val="72"/>
          <w:szCs w:val="72"/>
          <w:highlight w:val="none"/>
        </w:rPr>
      </w:pPr>
    </w:p>
    <w:p w14:paraId="2A5197D2">
      <w:pPr>
        <w:pStyle w:val="20"/>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7FB3CCDE">
      <w:pPr>
        <w:rPr>
          <w:rFonts w:ascii="Times New Roman" w:hAnsi="Times New Roman"/>
        </w:rPr>
      </w:pPr>
    </w:p>
    <w:p w14:paraId="28823117">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4BF81BCC">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13C27624">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49D875C0">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337BF441">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7426"/>
      <w:bookmarkStart w:id="7" w:name="_Toc15396476"/>
      <w:bookmarkStart w:id="8" w:name="_Toc15396598"/>
      <w:bookmarkStart w:id="9" w:name="_Toc15378442"/>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乐山市五通桥区牛华镇文化旅游服务中心</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6AB51FB5">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2E17830B">
      <w:pPr>
        <w:widowControl/>
        <w:jc w:val="center"/>
        <w:rPr>
          <w:rFonts w:ascii="Times New Roman" w:hAnsi="Times New Roman" w:eastAsia="黑体" w:cstheme="minorBidi"/>
          <w:color w:val="auto"/>
          <w:sz w:val="28"/>
          <w:szCs w:val="28"/>
          <w:highlight w:val="none"/>
        </w:rPr>
      </w:pPr>
    </w:p>
    <w:p w14:paraId="2816C4EA">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w:t>
      </w:r>
      <w:r>
        <w:rPr>
          <w:rFonts w:hint="eastAsia" w:ascii="Times New Roman" w:hAnsi="Times New Roman" w:eastAsia="仿宋_GB2312" w:cs="仿宋_GB2312"/>
          <w:color w:val="auto"/>
          <w:sz w:val="32"/>
          <w:szCs w:val="32"/>
          <w:highlight w:val="none"/>
          <w:lang w:val="en-US" w:eastAsia="zh-CN"/>
        </w:rPr>
        <w:t>2025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0A6BFF46">
      <w:pPr>
        <w:rPr>
          <w:rFonts w:ascii="Times New Roman" w:hAnsi="Times New Roman"/>
          <w:color w:val="auto"/>
          <w:highlight w:val="none"/>
        </w:rPr>
      </w:pPr>
    </w:p>
    <w:p w14:paraId="2313DB10">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黑体" w:cs="黑体"/>
          <w:color w:val="auto"/>
          <w:sz w:val="32"/>
          <w:szCs w:val="32"/>
          <w:highlight w:val="none"/>
          <w:lang w:val="en-US" w:eastAsia="zh-CN"/>
        </w:rPr>
        <w:t>--------------------------------------------------5</w:t>
      </w:r>
    </w:p>
    <w:p w14:paraId="492CD45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----------------------------------------------------5</w:t>
      </w:r>
    </w:p>
    <w:p w14:paraId="1BD7BE7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----------------------------------------------------5</w:t>
      </w:r>
    </w:p>
    <w:p w14:paraId="1F3C310E">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黑体" w:cs="黑体"/>
          <w:color w:val="auto"/>
          <w:sz w:val="32"/>
          <w:szCs w:val="32"/>
          <w:highlight w:val="none"/>
          <w:lang w:val="en-US" w:eastAsia="zh-CN"/>
        </w:rPr>
        <w:t>---------------------6-14</w:t>
      </w:r>
    </w:p>
    <w:p w14:paraId="4DC5A84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------------------------6</w:t>
      </w:r>
    </w:p>
    <w:p w14:paraId="24368D8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------------------------------------6-7</w:t>
      </w:r>
    </w:p>
    <w:p w14:paraId="103BC787">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------------------------------------7-8</w:t>
      </w:r>
    </w:p>
    <w:p w14:paraId="7BCF656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-------------8</w:t>
      </w:r>
    </w:p>
    <w:p w14:paraId="0BE5D47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-------9-12</w:t>
      </w:r>
    </w:p>
    <w:p w14:paraId="0375C0D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-12</w:t>
      </w:r>
    </w:p>
    <w:p w14:paraId="63633D8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-------12-13</w:t>
      </w:r>
    </w:p>
    <w:p w14:paraId="2FF2E5D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--------------13</w:t>
      </w:r>
    </w:p>
    <w:p w14:paraId="36A2E1C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-----------13</w:t>
      </w:r>
    </w:p>
    <w:p w14:paraId="39FC5F3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---------------------------14</w:t>
      </w:r>
    </w:p>
    <w:p w14:paraId="1FA1EC98">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---------------------------------------------15-18</w:t>
      </w:r>
    </w:p>
    <w:p w14:paraId="535C884D">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----------------------------------------------------19</w:t>
      </w:r>
    </w:p>
    <w:p w14:paraId="446F3E2F">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-----------------------------------------------20（另附）</w:t>
      </w:r>
    </w:p>
    <w:p w14:paraId="2A4CEFA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53BB6C2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14:paraId="66E5112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bookmarkStart w:id="57" w:name="_GoBack"/>
      <w:bookmarkEnd w:id="57"/>
    </w:p>
    <w:p w14:paraId="2B5E9862">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7A38C3E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2748E48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3922EA4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726AB78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6BE0C8A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5ED5B27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36C6346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73211A3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0B8CB9C2">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37CF2AA9">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96599"/>
      <w:bookmarkStart w:id="13" w:name="_Toc15377196"/>
      <w:r>
        <w:rPr>
          <w:rFonts w:hint="eastAsia" w:ascii="Times New Roman" w:hAnsi="Times New Roman" w:eastAsia="仿宋_GB2312" w:cs="仿宋_GB2312"/>
          <w:b/>
          <w:color w:val="auto"/>
          <w:sz w:val="32"/>
          <w:szCs w:val="32"/>
          <w:highlight w:val="none"/>
        </w:rPr>
        <w:br w:type="page"/>
      </w:r>
    </w:p>
    <w:p w14:paraId="71C2D519">
      <w:pPr>
        <w:pStyle w:val="3"/>
        <w:jc w:val="center"/>
        <w:rPr>
          <w:rStyle w:val="29"/>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12"/>
      <w:bookmarkEnd w:id="13"/>
    </w:p>
    <w:p w14:paraId="46DAAF35">
      <w:pPr>
        <w:widowControl/>
        <w:jc w:val="left"/>
        <w:rPr>
          <w:rFonts w:ascii="Times New Roman" w:hAnsi="Times New Roman" w:eastAsia="黑体"/>
          <w:color w:val="auto"/>
          <w:sz w:val="32"/>
          <w:szCs w:val="32"/>
          <w:highlight w:val="none"/>
        </w:rPr>
      </w:pPr>
    </w:p>
    <w:p w14:paraId="09BFC4E3">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02FD811F">
      <w:pPr>
        <w:pStyle w:val="36"/>
        <w:tabs>
          <w:tab w:val="left" w:pos="1083"/>
        </w:tabs>
        <w:spacing w:before="190" w:line="350" w:lineRule="auto"/>
        <w:ind w:left="420" w:leftChars="200" w:right="253" w:firstLine="0" w:firstLineChars="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（一）主要职能。</w:t>
      </w:r>
    </w:p>
    <w:p w14:paraId="3E00B41B">
      <w:pPr>
        <w:pStyle w:val="2"/>
        <w:spacing w:before="190" w:line="350" w:lineRule="auto"/>
        <w:ind w:left="108" w:right="263" w:firstLine="639"/>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负责文化宣传、广播电视、文艺演出、群众体育等公益服务工作；负责文化旅游项目建设、服务、推广等有关工作；完成镇党委、政府交办的其他工作。</w:t>
      </w:r>
    </w:p>
    <w:p w14:paraId="0FFDD5B4">
      <w:pPr>
        <w:numPr>
          <w:ilvl w:val="0"/>
          <w:numId w:val="0"/>
        </w:numPr>
        <w:rPr>
          <w:rFonts w:hint="eastAsia"/>
          <w:lang w:eastAsia="zh-CN"/>
        </w:rPr>
      </w:pPr>
    </w:p>
    <w:p w14:paraId="352DB8E6">
      <w:pPr>
        <w:pStyle w:val="4"/>
        <w:rPr>
          <w:rStyle w:val="30"/>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14"/>
      <w:bookmarkEnd w:id="15"/>
    </w:p>
    <w:p w14:paraId="689E3B55">
      <w:pPr>
        <w:widowControl/>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乐山市五通桥区牛华镇文化旅游服务中心是乐山市五通桥区牛华镇人民政府下属事业单位。</w:t>
      </w:r>
    </w:p>
    <w:p w14:paraId="3EE28154">
      <w:pPr>
        <w:widowControl/>
        <w:ind w:firstLine="640" w:firstLineChars="200"/>
        <w:jc w:val="left"/>
        <w:rPr>
          <w:rFonts w:hint="default" w:ascii="黑体" w:hAnsi="黑体" w:eastAsia="黑体"/>
          <w:b w:val="0"/>
          <w:bCs/>
          <w:color w:val="auto"/>
          <w:highlight w:val="none"/>
          <w:lang w:val="en-US"/>
        </w:rPr>
        <w:sectPr>
          <w:footerReference r:id="rId6" w:type="default"/>
          <w:pgSz w:w="11906" w:h="16838"/>
          <w:pgMar w:top="1440" w:right="1800" w:bottom="1440" w:left="1800" w:header="720" w:footer="720" w:gutter="0"/>
          <w:cols w:space="720" w:num="1"/>
          <w:docGrid w:type="lines" w:linePitch="312" w:charSpace="0"/>
        </w:sectPr>
      </w:pPr>
      <w:r>
        <w:rPr>
          <w:rFonts w:hint="eastAsia" w:ascii="仿宋_GB2312" w:hAnsi="仿宋_GB2312" w:eastAsia="仿宋_GB2312" w:cs="仿宋_GB2312"/>
          <w:kern w:val="2"/>
          <w:sz w:val="32"/>
          <w:szCs w:val="32"/>
          <w:lang w:val="en-US" w:eastAsia="zh-CN" w:bidi="ar-SA"/>
        </w:rPr>
        <w:t>乐山市五通桥区牛华镇文化旅游服务中心编制3名，其中行政编制0名，参公事业编制0名，非参公事业编制3名。截至2024年年末，实有在职人员0名，其中行政编制0名，参公事业编制0名，非参公事业编制0名。根据五委办[2024]22号文件要求，2024年8月牛华镇文化旅游服务中心注销，相关在编人员并入牛华镇便民服务中心。</w:t>
      </w:r>
    </w:p>
    <w:p w14:paraId="54CE66A9">
      <w:pPr>
        <w:widowControl/>
        <w:jc w:val="left"/>
        <w:rPr>
          <w:rFonts w:hint="eastAsia" w:ascii="方正小标宋简体" w:hAnsi="方正小标宋简体" w:eastAsia="方正小标宋简体" w:cs="方正小标宋简体"/>
          <w:b w:val="0"/>
          <w:color w:val="auto"/>
          <w:sz w:val="44"/>
          <w:szCs w:val="44"/>
          <w:highlight w:val="none"/>
        </w:rPr>
      </w:pPr>
      <w:bookmarkStart w:id="16" w:name="_Toc15377204"/>
      <w:bookmarkStart w:id="17" w:name="_Toc15396602"/>
      <w:r>
        <w:rPr>
          <w:rFonts w:hint="eastAsia" w:ascii="方正小标宋简体" w:hAnsi="方正小标宋简体" w:eastAsia="方正小标宋简体" w:cs="方正小标宋简体"/>
          <w:b w:val="0"/>
          <w:color w:val="auto"/>
          <w:sz w:val="44"/>
          <w:szCs w:val="44"/>
          <w:highlight w:val="none"/>
        </w:rPr>
        <w:t>第二部分</w:t>
      </w:r>
      <w:r>
        <w:rPr>
          <w:rFonts w:hint="eastAsia" w:ascii="方正小标宋简体" w:hAnsi="方正小标宋简体" w:eastAsia="方正小标宋简体" w:cs="方正小标宋简体"/>
          <w:b w:val="0"/>
          <w:color w:val="auto"/>
          <w:sz w:val="44"/>
          <w:szCs w:val="44"/>
          <w:highlight w:val="none"/>
          <w:lang w:val="en-US" w:eastAsia="zh-CN"/>
        </w:rPr>
        <w:t xml:space="preserve"> </w:t>
      </w:r>
      <w:r>
        <w:rPr>
          <w:rFonts w:hint="eastAsia" w:ascii="方正小标宋简体" w:hAnsi="方正小标宋简体" w:eastAsia="方正小标宋简体" w:cs="方正小标宋简体"/>
          <w:b w:val="0"/>
          <w:color w:val="auto"/>
          <w:sz w:val="44"/>
          <w:szCs w:val="44"/>
          <w:highlight w:val="none"/>
        </w:rPr>
        <w:t xml:space="preserve"> </w:t>
      </w:r>
      <w:r>
        <w:rPr>
          <w:rFonts w:hint="eastAsia" w:ascii="方正小标宋简体" w:hAnsi="方正小标宋简体" w:eastAsia="方正小标宋简体" w:cs="方正小标宋简体"/>
          <w:b w:val="0"/>
          <w:color w:val="auto"/>
          <w:sz w:val="44"/>
          <w:szCs w:val="44"/>
          <w:highlight w:val="none"/>
          <w:lang w:val="en-US" w:eastAsia="zh-CN"/>
        </w:rPr>
        <w:t>2024年度</w:t>
      </w:r>
      <w:r>
        <w:rPr>
          <w:rFonts w:hint="eastAsia" w:ascii="方正小标宋简体" w:hAnsi="方正小标宋简体" w:eastAsia="方正小标宋简体" w:cs="方正小标宋简体"/>
          <w:b w:val="0"/>
          <w:color w:val="auto"/>
          <w:sz w:val="44"/>
          <w:szCs w:val="44"/>
          <w:highlight w:val="none"/>
        </w:rPr>
        <w:t>部门决算情况说明</w:t>
      </w:r>
      <w:bookmarkEnd w:id="16"/>
      <w:bookmarkEnd w:id="17"/>
    </w:p>
    <w:p w14:paraId="43DBD5BE">
      <w:pPr>
        <w:rPr>
          <w:rFonts w:ascii="Times New Roman" w:hAnsi="Times New Roman"/>
          <w:color w:val="auto"/>
          <w:highlight w:val="none"/>
        </w:rPr>
      </w:pPr>
    </w:p>
    <w:p w14:paraId="5183632A">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8"/>
      <w:bookmarkEnd w:id="19"/>
    </w:p>
    <w:p w14:paraId="73A09156">
      <w:pPr>
        <w:widowControl/>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44.43</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7.28</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14.08</w:t>
      </w:r>
      <w:r>
        <w:rPr>
          <w:rFonts w:hint="eastAsia" w:ascii="Times New Roman" w:hAnsi="Times New Roman" w:eastAsia="仿宋_GB2312" w:cs="仿宋_GB2312"/>
          <w:color w:val="auto"/>
          <w:sz w:val="32"/>
          <w:szCs w:val="32"/>
          <w:highlight w:val="none"/>
        </w:rPr>
        <w:t>%。主要变动原因是</w:t>
      </w:r>
      <w:r>
        <w:rPr>
          <w:rFonts w:hint="eastAsia" w:ascii="仿宋_GB2312" w:hAnsi="仿宋_GB2312" w:eastAsia="仿宋_GB2312" w:cs="仿宋_GB2312"/>
          <w:kern w:val="2"/>
          <w:sz w:val="32"/>
          <w:szCs w:val="32"/>
          <w:lang w:val="en-US" w:eastAsia="zh-CN" w:bidi="ar-SA"/>
        </w:rPr>
        <w:t>根据五委办[2024]22号文件要求，2024年8月牛华镇文化旅游服务中心注销，相关职能和资金、债务、在编人员并入牛华镇便民服务中心。</w:t>
      </w:r>
    </w:p>
    <w:p w14:paraId="0377F33F">
      <w:pPr>
        <w:pStyle w:val="2"/>
        <w:rPr>
          <w:rFonts w:hint="eastAsia"/>
          <w:lang w:val="en-US" w:eastAsia="zh-CN"/>
        </w:rPr>
      </w:pPr>
      <w:r>
        <w:rPr>
          <w:rFonts w:hint="eastAsia"/>
          <w:lang w:val="en-US" w:eastAsia="zh-CN"/>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66B5357">
      <w:pPr>
        <w:pStyle w:val="2"/>
        <w:ind w:firstLine="320" w:firstLineChars="100"/>
        <w:rPr>
          <w:rFonts w:hint="eastAsia" w:ascii="Times New Roman"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r>
        <w:rPr>
          <w:rFonts w:hint="eastAsia" w:ascii="Times New Roman" w:cs="仿宋_GB2312"/>
          <w:color w:val="auto"/>
          <w:sz w:val="32"/>
          <w:szCs w:val="32"/>
          <w:highlight w:val="none"/>
          <w:lang w:eastAsia="zh-CN"/>
        </w:rPr>
        <w:t>）</w:t>
      </w:r>
    </w:p>
    <w:p w14:paraId="319E23F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textAlignment w:val="auto"/>
        <w:outlineLvl w:val="1"/>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二、收入决算情况说明</w:t>
      </w:r>
    </w:p>
    <w:p w14:paraId="7C922DC5">
      <w:pPr>
        <w:pStyle w:val="2"/>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44.43万元，其中：一般公共预算财政拨款收入44.43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4B985035">
      <w:pPr>
        <w:pStyle w:val="2"/>
        <w:ind w:firstLine="320" w:firstLineChars="100"/>
        <w:rPr>
          <w:rFonts w:hint="eastAsia" w:ascii="仿宋_GB2312" w:hAnsi="仿宋_GB2312" w:eastAsia="仿宋_GB2312" w:cs="仿宋_GB2312"/>
          <w:color w:val="auto"/>
          <w:sz w:val="32"/>
          <w:szCs w:val="32"/>
          <w:highlight w:val="none"/>
          <w:lang w:eastAsia="zh-CN"/>
        </w:rPr>
      </w:pPr>
    </w:p>
    <w:p w14:paraId="53963249">
      <w:pPr>
        <w:pStyle w:val="2"/>
        <w:ind w:firstLine="320" w:firstLineChars="1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AF46968">
      <w:pPr>
        <w:ind w:firstLine="1600" w:firstLineChars="50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466D4CF1">
      <w:pPr>
        <w:pStyle w:val="2"/>
        <w:rPr>
          <w:rFonts w:hint="eastAsia" w:ascii="Times New Roman" w:hAnsi="Times New Roman" w:eastAsia="仿宋_GB2312" w:cs="仿宋_GB2312"/>
          <w:color w:val="auto"/>
          <w:sz w:val="32"/>
          <w:szCs w:val="32"/>
          <w:highlight w:val="none"/>
          <w:lang w:eastAsia="zh-CN"/>
        </w:rPr>
      </w:pPr>
    </w:p>
    <w:p w14:paraId="13BF573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Style w:val="30"/>
          <w:rFonts w:hint="eastAsia" w:ascii="Times New Roman" w:hAnsi="Times New Roman" w:eastAsia="黑体"/>
          <w:b w:val="0"/>
          <w:color w:val="auto"/>
          <w:highlight w:val="none"/>
        </w:rPr>
      </w:pPr>
      <w:bookmarkStart w:id="20" w:name="_Toc15396605"/>
      <w:bookmarkStart w:id="21"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0"/>
      <w:bookmarkEnd w:id="21"/>
    </w:p>
    <w:p w14:paraId="213241C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0C70DE96">
      <w:pPr>
        <w:pStyle w:val="2"/>
        <w:rPr>
          <w:rFonts w:hint="eastAsia" w:ascii="Times New Roman" w:hAnsi="Times New Roman" w:eastAsia="仿宋_GB2312" w:cs="仿宋_GB2312"/>
          <w:color w:val="auto"/>
          <w:sz w:val="32"/>
          <w:szCs w:val="32"/>
          <w:highlight w:val="none"/>
          <w:lang w:val="en-US" w:eastAsia="zh-CN"/>
        </w:rPr>
        <w:sectPr>
          <w:footerReference r:id="rId7" w:type="default"/>
          <w:pgSz w:w="11906" w:h="16838"/>
          <w:pgMar w:top="1440" w:right="1800" w:bottom="1440" w:left="1800" w:header="720" w:footer="720" w:gutter="0"/>
          <w:cols w:space="720" w:num="1"/>
          <w:docGrid w:type="lines" w:linePitch="312" w:charSpace="0"/>
        </w:sectPr>
      </w:pPr>
    </w:p>
    <w:p w14:paraId="3C2ABC4E">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23740" cy="2912745"/>
            <wp:effectExtent l="4445" t="4445" r="5715"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B4456A">
      <w:pPr>
        <w:ind w:firstLine="1760" w:firstLineChars="5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17D1F83A">
      <w:pPr>
        <w:spacing w:line="600" w:lineRule="exact"/>
        <w:ind w:firstLine="640" w:firstLineChars="200"/>
        <w:outlineLvl w:val="1"/>
        <w:rPr>
          <w:rStyle w:val="30"/>
          <w:rFonts w:ascii="Times New Roman" w:hAnsi="Times New Roman" w:eastAsia="黑体"/>
          <w:b w:val="0"/>
          <w:color w:val="auto"/>
          <w:highlight w:val="none"/>
        </w:rPr>
      </w:pPr>
      <w:bookmarkStart w:id="22" w:name="_Toc15377208"/>
      <w:bookmarkStart w:id="23" w:name="_Toc15396606"/>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2"/>
      <w:bookmarkEnd w:id="23"/>
    </w:p>
    <w:p w14:paraId="00B383C1">
      <w:pPr>
        <w:widowControl/>
        <w:ind w:firstLine="640" w:firstLineChars="200"/>
        <w:jc w:val="left"/>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44.43</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7.28</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14.08</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sz w:val="32"/>
          <w:szCs w:val="32"/>
          <w:highlight w:val="none"/>
        </w:rPr>
        <w:t>主要变动原因是</w:t>
      </w:r>
      <w:r>
        <w:rPr>
          <w:rFonts w:hint="eastAsia" w:ascii="仿宋_GB2312" w:hAnsi="仿宋_GB2312" w:eastAsia="仿宋_GB2312" w:cs="仿宋_GB2312"/>
          <w:kern w:val="2"/>
          <w:sz w:val="32"/>
          <w:szCs w:val="32"/>
          <w:lang w:val="en-US" w:eastAsia="zh-CN" w:bidi="ar-SA"/>
        </w:rPr>
        <w:t>根据五委办[2024]22号文件要求，2024年8月牛华镇文化旅游服务中心注销，相关职能和资金、债务、在编人员并入牛华镇便民服务中心。</w:t>
      </w:r>
    </w:p>
    <w:p w14:paraId="0EE13469">
      <w:pPr>
        <w:pStyle w:val="2"/>
        <w:rPr>
          <w:rFonts w:hint="eastAsia"/>
          <w:lang w:val="en-US" w:eastAsia="zh-CN"/>
        </w:rPr>
      </w:pPr>
      <w:r>
        <w:rPr>
          <w:rFonts w:hint="eastAsia" w:hAnsi="仿宋_GB2312" w:cs="仿宋_GB2312"/>
          <w:kern w:val="2"/>
          <w:sz w:val="32"/>
          <w:szCs w:val="32"/>
          <w:lang w:val="en-US" w:eastAsia="zh-CN" w:bidi="ar-SA"/>
        </w:rPr>
        <w:t xml:space="preserve">     </w:t>
      </w:r>
      <w:r>
        <w:rPr>
          <w:rFonts w:hint="eastAsia" w:ascii="仿宋_GB2312" w:hAnsi="仿宋_GB2312" w:eastAsia="仿宋_GB2312" w:cs="仿宋_GB2312"/>
          <w:kern w:val="2"/>
          <w:sz w:val="32"/>
          <w:szCs w:val="32"/>
          <w:lang w:val="en-US" w:eastAsia="zh-CN" w:bidi="ar-SA"/>
        </w:rPr>
        <w:drawing>
          <wp:inline distT="0" distB="0" distL="114300" distR="114300">
            <wp:extent cx="4465955" cy="2512695"/>
            <wp:effectExtent l="4445" t="5080" r="6350" b="1587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6B534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4C9A7C2E">
      <w:pPr>
        <w:spacing w:line="600" w:lineRule="exact"/>
        <w:ind w:firstLine="640" w:firstLineChars="200"/>
        <w:outlineLvl w:val="1"/>
        <w:rPr>
          <w:rStyle w:val="30"/>
          <w:rFonts w:ascii="Times New Roman" w:hAnsi="Times New Roman" w:eastAsia="黑体"/>
          <w:b w:val="0"/>
          <w:color w:val="auto"/>
          <w:highlight w:val="none"/>
        </w:rPr>
      </w:pPr>
      <w:bookmarkStart w:id="24" w:name="_Toc15377209"/>
      <w:bookmarkStart w:id="25"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4"/>
      <w:bookmarkEnd w:id="25"/>
    </w:p>
    <w:p w14:paraId="5E72770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6"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6"/>
    </w:p>
    <w:p w14:paraId="4F6154EC">
      <w:pPr>
        <w:widowControl/>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%。与2023年度相比，一般公共预算财政拨款支出减少7.28万元，下降14.08%。</w:t>
      </w:r>
      <w:r>
        <w:rPr>
          <w:rFonts w:hint="eastAsia" w:ascii="Times New Roman" w:hAnsi="Times New Roman" w:eastAsia="仿宋_GB2312" w:cs="仿宋_GB2312"/>
          <w:color w:val="auto"/>
          <w:sz w:val="32"/>
          <w:szCs w:val="32"/>
          <w:highlight w:val="none"/>
        </w:rPr>
        <w:t>主要变动原因是</w:t>
      </w:r>
      <w:r>
        <w:rPr>
          <w:rFonts w:hint="eastAsia" w:ascii="仿宋_GB2312" w:hAnsi="仿宋_GB2312" w:eastAsia="仿宋_GB2312" w:cs="仿宋_GB2312"/>
          <w:kern w:val="2"/>
          <w:sz w:val="32"/>
          <w:szCs w:val="32"/>
          <w:lang w:val="en-US" w:eastAsia="zh-CN" w:bidi="ar-SA"/>
        </w:rPr>
        <w:t>根据五委办[2024]22号文件要求，2024年8月牛华镇文化旅游服务中心注销，相关职能和资金、债务、在编人员并入牛华镇便民服务中心。</w:t>
      </w:r>
    </w:p>
    <w:p w14:paraId="70B1860E">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D0DA51A">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59A7F40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759628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7"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7"/>
    </w:p>
    <w:p w14:paraId="16B22D06">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33.34</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75.04</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6.52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14.67</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1.45</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3.26</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3.13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7.03</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82D1302">
      <w:pPr>
        <w:spacing w:line="600" w:lineRule="exact"/>
        <w:ind w:firstLine="320" w:firstLineChars="1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anchor distT="0" distB="0" distL="114300" distR="114300" simplePos="0" relativeHeight="251659264" behindDoc="0" locked="0" layoutInCell="1" allowOverlap="1">
            <wp:simplePos x="0" y="0"/>
            <wp:positionH relativeFrom="column">
              <wp:posOffset>134620</wp:posOffset>
            </wp:positionH>
            <wp:positionV relativeFrom="paragraph">
              <wp:posOffset>328295</wp:posOffset>
            </wp:positionV>
            <wp:extent cx="5114290" cy="3121025"/>
            <wp:effectExtent l="4445" t="4445" r="5715" b="1778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29B40C9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AD4FE5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8"/>
    </w:p>
    <w:p w14:paraId="111BF4E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29" w:name="_Toc15377444"/>
      <w:bookmarkStart w:id="30" w:name="_Toc15377213"/>
      <w:bookmarkStart w:id="31"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29"/>
      <w:bookmarkEnd w:id="30"/>
      <w:bookmarkEnd w:id="31"/>
    </w:p>
    <w:p w14:paraId="018B2600">
      <w:pPr>
        <w:spacing w:line="600" w:lineRule="exact"/>
        <w:ind w:firstLine="643" w:firstLineChars="200"/>
        <w:rPr>
          <w:rFonts w:ascii="仿宋" w:hAnsi="仿宋" w:eastAsia="仿宋"/>
          <w:b/>
          <w:bCs/>
          <w:sz w:val="32"/>
          <w:szCs w:val="32"/>
        </w:rPr>
      </w:pPr>
      <w:r>
        <w:rPr>
          <w:rFonts w:hint="eastAsia" w:ascii="仿宋" w:hAnsi="仿宋" w:eastAsia="仿宋"/>
          <w:b/>
          <w:bCs/>
          <w:sz w:val="32"/>
          <w:szCs w:val="32"/>
        </w:rPr>
        <w:t>207.文化旅游体育与传媒支出，支出决算为</w:t>
      </w:r>
      <w:r>
        <w:rPr>
          <w:rFonts w:hint="eastAsia" w:ascii="仿宋" w:hAnsi="仿宋" w:eastAsia="仿宋"/>
          <w:b/>
          <w:bCs/>
          <w:sz w:val="32"/>
          <w:szCs w:val="32"/>
          <w:lang w:val="en-US" w:eastAsia="zh-CN"/>
        </w:rPr>
        <w:t>33.34</w:t>
      </w:r>
      <w:r>
        <w:rPr>
          <w:rFonts w:hint="eastAsia" w:ascii="仿宋" w:hAnsi="仿宋" w:eastAsia="仿宋"/>
          <w:b/>
          <w:bCs/>
          <w:sz w:val="32"/>
          <w:szCs w:val="32"/>
        </w:rPr>
        <w:t>万元，完成预算100%，支出明细如下：</w:t>
      </w:r>
    </w:p>
    <w:p w14:paraId="4957DF9E">
      <w:pPr>
        <w:spacing w:line="600" w:lineRule="exact"/>
        <w:ind w:firstLine="640" w:firstLineChars="200"/>
        <w:rPr>
          <w:rFonts w:hint="eastAsia" w:ascii="仿宋_GB2312" w:hAnsi="仿宋_GB2312" w:eastAsia="仿宋_GB2312" w:cs="仿宋_GB2312"/>
          <w:sz w:val="32"/>
          <w:szCs w:val="32"/>
        </w:rPr>
      </w:pPr>
      <w:r>
        <w:rPr>
          <w:rStyle w:val="18"/>
          <w:rFonts w:hint="eastAsia" w:ascii="仿宋_GB2312" w:hAnsi="仿宋_GB2312" w:eastAsia="仿宋_GB2312" w:cs="仿宋_GB2312"/>
          <w:b w:val="0"/>
          <w:sz w:val="32"/>
          <w:szCs w:val="32"/>
          <w:lang w:val="en-US" w:eastAsia="zh-CN"/>
        </w:rPr>
        <w:t>1、</w:t>
      </w:r>
      <w:r>
        <w:rPr>
          <w:rStyle w:val="18"/>
          <w:rFonts w:hint="eastAsia" w:ascii="仿宋_GB2312" w:hAnsi="仿宋_GB2312" w:eastAsia="仿宋_GB2312" w:cs="仿宋_GB2312"/>
          <w:b w:val="0"/>
          <w:sz w:val="32"/>
          <w:szCs w:val="32"/>
        </w:rPr>
        <w:t>文化旅游体育与传媒支出（类）文化和旅游（款）群众文化（项）: 支出决算为</w:t>
      </w:r>
      <w:r>
        <w:rPr>
          <w:rStyle w:val="18"/>
          <w:rFonts w:hint="eastAsia" w:ascii="仿宋_GB2312" w:hAnsi="仿宋_GB2312" w:eastAsia="仿宋_GB2312" w:cs="仿宋_GB2312"/>
          <w:b w:val="0"/>
          <w:sz w:val="32"/>
          <w:szCs w:val="32"/>
          <w:lang w:val="en-US" w:eastAsia="zh-CN"/>
        </w:rPr>
        <w:t>33.34</w:t>
      </w:r>
      <w:r>
        <w:rPr>
          <w:rStyle w:val="18"/>
          <w:rFonts w:hint="eastAsia" w:ascii="仿宋_GB2312" w:hAnsi="仿宋_GB2312" w:eastAsia="仿宋_GB2312" w:cs="仿宋_GB2312"/>
          <w:b w:val="0"/>
          <w:sz w:val="32"/>
          <w:szCs w:val="32"/>
        </w:rPr>
        <w:t>万元，完成预算100%。</w:t>
      </w:r>
    </w:p>
    <w:p w14:paraId="611F7C88">
      <w:pPr>
        <w:spacing w:line="600" w:lineRule="exact"/>
        <w:ind w:firstLine="640" w:firstLineChars="200"/>
        <w:rPr>
          <w:rStyle w:val="18"/>
          <w:rFonts w:hint="eastAsia" w:ascii="仿宋_GB2312" w:hAnsi="仿宋_GB2312" w:eastAsia="仿宋_GB2312" w:cs="仿宋_GB2312"/>
          <w:b w:val="0"/>
          <w:sz w:val="32"/>
          <w:szCs w:val="32"/>
        </w:rPr>
      </w:pPr>
    </w:p>
    <w:p w14:paraId="14310764">
      <w:pPr>
        <w:pStyle w:val="13"/>
        <w:rPr>
          <w:rFonts w:hint="default"/>
          <w:lang w:val="en-US" w:eastAsia="zh-CN"/>
        </w:rPr>
      </w:pPr>
    </w:p>
    <w:p w14:paraId="10D290E2">
      <w:pPr>
        <w:numPr>
          <w:numId w:val="0"/>
        </w:numPr>
        <w:spacing w:line="600" w:lineRule="exact"/>
        <w:ind w:firstLine="643" w:firstLineChars="200"/>
        <w:rPr>
          <w:rFonts w:hint="eastAsia" w:ascii="仿宋" w:hAnsi="仿宋" w:eastAsia="仿宋"/>
          <w:b/>
          <w:bCs/>
          <w:sz w:val="32"/>
          <w:szCs w:val="32"/>
        </w:rPr>
      </w:pPr>
      <w:r>
        <w:rPr>
          <w:rFonts w:hint="eastAsia" w:ascii="仿宋" w:hAnsi="仿宋" w:eastAsia="仿宋"/>
          <w:b/>
          <w:bCs/>
          <w:sz w:val="32"/>
          <w:szCs w:val="32"/>
          <w:lang w:val="en-US" w:eastAsia="zh-CN"/>
        </w:rPr>
        <w:t>208.</w:t>
      </w:r>
      <w:r>
        <w:rPr>
          <w:rFonts w:hint="eastAsia" w:ascii="仿宋" w:hAnsi="仿宋" w:eastAsia="仿宋"/>
          <w:b/>
          <w:bCs/>
          <w:sz w:val="32"/>
          <w:szCs w:val="32"/>
        </w:rPr>
        <w:t>社会保障和就业支出，支出决算为</w:t>
      </w:r>
      <w:r>
        <w:rPr>
          <w:rFonts w:hint="eastAsia" w:ascii="仿宋" w:hAnsi="仿宋" w:eastAsia="仿宋"/>
          <w:b/>
          <w:bCs/>
          <w:sz w:val="32"/>
          <w:szCs w:val="32"/>
          <w:lang w:val="en-US" w:eastAsia="zh-CN"/>
        </w:rPr>
        <w:t>6.52</w:t>
      </w:r>
      <w:r>
        <w:rPr>
          <w:rFonts w:hint="eastAsia" w:ascii="仿宋" w:hAnsi="仿宋" w:eastAsia="仿宋"/>
          <w:b/>
          <w:bCs/>
          <w:sz w:val="32"/>
          <w:szCs w:val="32"/>
        </w:rPr>
        <w:t>万元，完成预算100%，支出明细如下：</w:t>
      </w:r>
    </w:p>
    <w:p w14:paraId="65E808BE">
      <w:pPr>
        <w:spacing w:line="600" w:lineRule="exact"/>
        <w:ind w:firstLine="640" w:firstLineChars="200"/>
        <w:jc w:val="both"/>
        <w:rPr>
          <w:rStyle w:val="18"/>
          <w:rFonts w:ascii="仿宋_GB2312" w:hAnsi="仿宋_GB2312" w:eastAsia="仿宋_GB2312" w:cs="仿宋_GB2312"/>
          <w:b w:val="0"/>
          <w:color w:val="000000"/>
          <w:sz w:val="32"/>
          <w:szCs w:val="32"/>
        </w:rPr>
      </w:pPr>
      <w:r>
        <w:rPr>
          <w:rStyle w:val="18"/>
          <w:rFonts w:hint="eastAsia" w:ascii="仿宋_GB2312" w:hAnsi="仿宋_GB2312" w:eastAsia="仿宋_GB2312" w:cs="仿宋_GB2312"/>
          <w:b w:val="0"/>
          <w:color w:val="000000"/>
          <w:sz w:val="32"/>
          <w:szCs w:val="32"/>
          <w:lang w:val="en-US" w:eastAsia="zh-CN"/>
        </w:rPr>
        <w:t>1、</w:t>
      </w:r>
      <w:r>
        <w:rPr>
          <w:rStyle w:val="18"/>
          <w:rFonts w:hint="eastAsia" w:ascii="仿宋_GB2312" w:hAnsi="仿宋_GB2312" w:eastAsia="仿宋_GB2312" w:cs="仿宋_GB2312"/>
          <w:b w:val="0"/>
          <w:color w:val="000000"/>
          <w:sz w:val="32"/>
          <w:szCs w:val="32"/>
        </w:rPr>
        <w:t>社会保障和就业</w:t>
      </w:r>
      <w:r>
        <w:rPr>
          <w:rStyle w:val="18"/>
          <w:rFonts w:hint="eastAsia" w:ascii="仿宋_GB2312" w:hAnsi="仿宋_GB2312" w:eastAsia="仿宋_GB2312" w:cs="仿宋_GB2312"/>
          <w:b w:val="0"/>
          <w:color w:val="000000"/>
          <w:sz w:val="32"/>
          <w:szCs w:val="32"/>
          <w:lang w:val="en-US" w:eastAsia="zh-CN"/>
        </w:rPr>
        <w:t>支出</w:t>
      </w:r>
      <w:r>
        <w:rPr>
          <w:rStyle w:val="18"/>
          <w:rFonts w:hint="eastAsia" w:ascii="仿宋_GB2312" w:hAnsi="仿宋_GB2312" w:eastAsia="仿宋_GB2312" w:cs="仿宋_GB2312"/>
          <w:b w:val="0"/>
          <w:color w:val="000000"/>
          <w:sz w:val="32"/>
          <w:szCs w:val="32"/>
        </w:rPr>
        <w:t>（类）行政事业单位养老支出（款） 机关事业单位基本养老保险缴费支出（项）：支出决算为</w:t>
      </w:r>
      <w:r>
        <w:rPr>
          <w:rStyle w:val="18"/>
          <w:rFonts w:hint="eastAsia" w:ascii="仿宋_GB2312" w:hAnsi="仿宋_GB2312" w:eastAsia="仿宋_GB2312" w:cs="仿宋_GB2312"/>
          <w:b w:val="0"/>
          <w:color w:val="000000"/>
          <w:sz w:val="32"/>
          <w:szCs w:val="32"/>
          <w:lang w:val="en-US" w:eastAsia="zh-CN"/>
        </w:rPr>
        <w:t>3.6</w:t>
      </w:r>
      <w:r>
        <w:rPr>
          <w:rStyle w:val="18"/>
          <w:rFonts w:hint="eastAsia" w:ascii="仿宋_GB2312" w:hAnsi="仿宋_GB2312" w:eastAsia="仿宋_GB2312" w:cs="仿宋_GB2312"/>
          <w:b w:val="0"/>
          <w:color w:val="000000"/>
          <w:sz w:val="32"/>
          <w:szCs w:val="32"/>
        </w:rPr>
        <w:t>万元，完成预算100% 。</w:t>
      </w:r>
    </w:p>
    <w:p w14:paraId="220B6D9B">
      <w:pPr>
        <w:spacing w:line="600" w:lineRule="exact"/>
        <w:ind w:firstLine="640" w:firstLineChars="200"/>
        <w:jc w:val="both"/>
        <w:rPr>
          <w:rStyle w:val="18"/>
          <w:rFonts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2、</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（类）行政事业单位养老支出（款）机关事业单位职业年金缴费支出（项）：支出决算为</w:t>
      </w:r>
      <w:r>
        <w:rPr>
          <w:rStyle w:val="18"/>
          <w:rFonts w:hint="eastAsia" w:ascii="仿宋_GB2312" w:hAnsi="仿宋_GB2312" w:eastAsia="仿宋_GB2312" w:cs="仿宋_GB2312"/>
          <w:b w:val="0"/>
          <w:sz w:val="32"/>
          <w:szCs w:val="32"/>
          <w:lang w:val="en-US" w:eastAsia="zh-CN"/>
        </w:rPr>
        <w:t>1.8</w:t>
      </w:r>
      <w:r>
        <w:rPr>
          <w:rStyle w:val="18"/>
          <w:rFonts w:hint="eastAsia" w:ascii="仿宋_GB2312" w:hAnsi="仿宋_GB2312" w:eastAsia="仿宋_GB2312" w:cs="仿宋_GB2312"/>
          <w:b w:val="0"/>
          <w:sz w:val="32"/>
          <w:szCs w:val="32"/>
        </w:rPr>
        <w:t>万元，完成预算100% 。</w:t>
      </w:r>
    </w:p>
    <w:p w14:paraId="215C5051">
      <w:pPr>
        <w:spacing w:line="600" w:lineRule="exact"/>
        <w:ind w:firstLine="640" w:firstLineChars="200"/>
        <w:jc w:val="both"/>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3、</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（类）行政事业单位养老支出（款）其他行政事业单位养老支出（项）：支出决算为</w:t>
      </w:r>
      <w:r>
        <w:rPr>
          <w:rStyle w:val="18"/>
          <w:rFonts w:hint="eastAsia" w:ascii="仿宋_GB2312" w:hAnsi="仿宋_GB2312" w:eastAsia="仿宋_GB2312" w:cs="仿宋_GB2312"/>
          <w:b w:val="0"/>
          <w:sz w:val="32"/>
          <w:szCs w:val="32"/>
          <w:lang w:val="en-US" w:eastAsia="zh-CN"/>
        </w:rPr>
        <w:t>0.83</w:t>
      </w:r>
      <w:r>
        <w:rPr>
          <w:rStyle w:val="18"/>
          <w:rFonts w:hint="eastAsia" w:ascii="仿宋_GB2312" w:hAnsi="仿宋_GB2312" w:eastAsia="仿宋_GB2312" w:cs="仿宋_GB2312"/>
          <w:b w:val="0"/>
          <w:sz w:val="32"/>
          <w:szCs w:val="32"/>
        </w:rPr>
        <w:t>万元 ，完成预算100% 。</w:t>
      </w:r>
    </w:p>
    <w:p w14:paraId="72B07719">
      <w:pPr>
        <w:pStyle w:val="2"/>
        <w:ind w:firstLine="640" w:firstLineChars="200"/>
      </w:pPr>
      <w:r>
        <w:rPr>
          <w:rStyle w:val="18"/>
          <w:rFonts w:hint="eastAsia" w:hAnsi="仿宋_GB2312" w:cs="仿宋_GB2312"/>
          <w:b w:val="0"/>
          <w:sz w:val="32"/>
          <w:szCs w:val="32"/>
          <w:lang w:val="en-US" w:eastAsia="zh-CN"/>
        </w:rPr>
        <w:t>4.</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w:t>
      </w:r>
      <w:r>
        <w:rPr>
          <w:rStyle w:val="18"/>
          <w:rFonts w:hint="eastAsia" w:hAnsi="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（款）</w:t>
      </w:r>
      <w:r>
        <w:rPr>
          <w:rStyle w:val="18"/>
          <w:rFonts w:hint="eastAsia" w:hAnsi="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（项）：支出决算为</w:t>
      </w:r>
      <w:r>
        <w:rPr>
          <w:rStyle w:val="18"/>
          <w:rFonts w:hint="eastAsia" w:hAnsi="仿宋_GB2312" w:cs="仿宋_GB2312"/>
          <w:b w:val="0"/>
          <w:sz w:val="32"/>
          <w:szCs w:val="32"/>
          <w:lang w:val="en-US" w:eastAsia="zh-CN"/>
        </w:rPr>
        <w:t>0.28</w:t>
      </w:r>
      <w:r>
        <w:rPr>
          <w:rStyle w:val="18"/>
          <w:rFonts w:hint="eastAsia" w:ascii="仿宋_GB2312" w:hAnsi="仿宋_GB2312" w:eastAsia="仿宋_GB2312" w:cs="仿宋_GB2312"/>
          <w:b w:val="0"/>
          <w:sz w:val="32"/>
          <w:szCs w:val="32"/>
        </w:rPr>
        <w:t>万元 ，完成预算100% 。</w:t>
      </w:r>
    </w:p>
    <w:p w14:paraId="4C8D2A93">
      <w:pPr>
        <w:spacing w:line="600" w:lineRule="exact"/>
        <w:ind w:firstLine="643" w:firstLineChars="200"/>
        <w:rPr>
          <w:rStyle w:val="18"/>
          <w:rFonts w:ascii="仿宋_GB2312" w:hAnsi="仿宋_GB2312" w:eastAsia="仿宋_GB2312" w:cs="仿宋_GB2312"/>
          <w:b w:val="0"/>
          <w:sz w:val="32"/>
          <w:szCs w:val="32"/>
        </w:rPr>
      </w:pPr>
      <w:r>
        <w:rPr>
          <w:rStyle w:val="18"/>
          <w:rFonts w:hint="eastAsia" w:ascii="仿宋" w:hAnsi="仿宋" w:eastAsia="仿宋"/>
          <w:bCs/>
          <w:sz w:val="32"/>
          <w:szCs w:val="32"/>
        </w:rPr>
        <w:t>210.卫生健康支出，支出决算为</w:t>
      </w:r>
      <w:r>
        <w:rPr>
          <w:rStyle w:val="18"/>
          <w:rFonts w:hint="eastAsia" w:ascii="仿宋" w:hAnsi="仿宋" w:eastAsia="仿宋"/>
          <w:bCs/>
          <w:sz w:val="32"/>
          <w:szCs w:val="32"/>
          <w:lang w:val="en-US" w:eastAsia="zh-CN"/>
        </w:rPr>
        <w:t>1.45</w:t>
      </w:r>
      <w:r>
        <w:rPr>
          <w:rStyle w:val="18"/>
          <w:rFonts w:hint="eastAsia" w:ascii="仿宋" w:hAnsi="仿宋" w:eastAsia="仿宋"/>
          <w:bCs/>
          <w:sz w:val="32"/>
          <w:szCs w:val="32"/>
        </w:rPr>
        <w:t>万元，完成预算100%，支出明细如下：</w:t>
      </w:r>
    </w:p>
    <w:p w14:paraId="0B834028">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事业</w:t>
      </w:r>
      <w:r>
        <w:rPr>
          <w:rStyle w:val="18"/>
          <w:rFonts w:hint="eastAsia" w:ascii="仿宋_GB2312" w:hAnsi="仿宋_GB2312" w:eastAsia="仿宋_GB2312" w:cs="仿宋_GB2312"/>
          <w:b w:val="0"/>
          <w:sz w:val="32"/>
          <w:szCs w:val="32"/>
        </w:rPr>
        <w:t>单位医疗（项）:支出决算为</w:t>
      </w:r>
      <w:r>
        <w:rPr>
          <w:rStyle w:val="18"/>
          <w:rFonts w:hint="eastAsia" w:ascii="仿宋_GB2312" w:hAnsi="仿宋_GB2312" w:eastAsia="仿宋_GB2312" w:cs="仿宋_GB2312"/>
          <w:b w:val="0"/>
          <w:sz w:val="32"/>
          <w:szCs w:val="32"/>
          <w:lang w:val="en-US" w:eastAsia="zh-CN"/>
        </w:rPr>
        <w:t>1.05</w:t>
      </w:r>
      <w:r>
        <w:rPr>
          <w:rStyle w:val="18"/>
          <w:rFonts w:hint="eastAsia" w:ascii="仿宋_GB2312" w:hAnsi="仿宋_GB2312" w:eastAsia="仿宋_GB2312" w:cs="仿宋_GB2312"/>
          <w:b w:val="0"/>
          <w:sz w:val="32"/>
          <w:szCs w:val="32"/>
        </w:rPr>
        <w:t>万元，完成预算100%。</w:t>
      </w:r>
    </w:p>
    <w:p w14:paraId="11B7659E">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公务员医疗补助</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0.4</w:t>
      </w:r>
      <w:r>
        <w:rPr>
          <w:rStyle w:val="18"/>
          <w:rFonts w:hint="eastAsia" w:ascii="仿宋_GB2312" w:hAnsi="仿宋_GB2312" w:eastAsia="仿宋_GB2312" w:cs="仿宋_GB2312"/>
          <w:b w:val="0"/>
          <w:sz w:val="32"/>
          <w:szCs w:val="32"/>
        </w:rPr>
        <w:t>万元，完成预算100%。</w:t>
      </w:r>
    </w:p>
    <w:p w14:paraId="24D19431">
      <w:pPr>
        <w:spacing w:line="600" w:lineRule="exact"/>
        <w:ind w:firstLine="643" w:firstLineChars="200"/>
        <w:rPr>
          <w:rStyle w:val="18"/>
          <w:rFonts w:ascii="仿宋" w:hAnsi="仿宋" w:eastAsia="仿宋"/>
          <w:bCs/>
          <w:sz w:val="32"/>
          <w:szCs w:val="32"/>
        </w:rPr>
      </w:pPr>
      <w:r>
        <w:rPr>
          <w:rStyle w:val="18"/>
          <w:rFonts w:hint="eastAsia" w:ascii="仿宋" w:hAnsi="仿宋" w:eastAsia="仿宋"/>
          <w:bCs/>
          <w:sz w:val="32"/>
          <w:szCs w:val="32"/>
        </w:rPr>
        <w:t>221.住房保障支出，支出决算为</w:t>
      </w:r>
      <w:r>
        <w:rPr>
          <w:rStyle w:val="18"/>
          <w:rFonts w:hint="eastAsia" w:ascii="仿宋" w:hAnsi="仿宋" w:eastAsia="仿宋"/>
          <w:bCs/>
          <w:sz w:val="32"/>
          <w:szCs w:val="32"/>
          <w:lang w:val="en-US" w:eastAsia="zh-CN"/>
        </w:rPr>
        <w:t>3.13</w:t>
      </w:r>
      <w:r>
        <w:rPr>
          <w:rStyle w:val="18"/>
          <w:rFonts w:hint="eastAsia" w:ascii="仿宋" w:hAnsi="仿宋" w:eastAsia="仿宋"/>
          <w:bCs/>
          <w:sz w:val="32"/>
          <w:szCs w:val="32"/>
        </w:rPr>
        <w:t>万元，完成预算100%，支出明细如下：</w:t>
      </w:r>
    </w:p>
    <w:p w14:paraId="551DD86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Style w:val="18"/>
          <w:rFonts w:hint="eastAsia" w:ascii="仿宋_GB2312" w:hAnsi="仿宋_GB2312" w:eastAsia="仿宋_GB2312" w:cs="仿宋_GB2312"/>
          <w:b w:val="0"/>
          <w:sz w:val="32"/>
          <w:szCs w:val="32"/>
          <w:lang w:val="en-US" w:eastAsia="zh-CN"/>
        </w:rPr>
        <w:t>1、</w:t>
      </w:r>
      <w:r>
        <w:rPr>
          <w:rStyle w:val="18"/>
          <w:rFonts w:hint="eastAsia" w:ascii="仿宋_GB2312" w:hAnsi="仿宋_GB2312" w:eastAsia="仿宋_GB2312" w:cs="仿宋_GB2312"/>
          <w:b w:val="0"/>
          <w:sz w:val="32"/>
          <w:szCs w:val="32"/>
        </w:rPr>
        <w:t>住房保障支出（类）住房改革支出（款）住房公积金（项）：支出决算为</w:t>
      </w:r>
      <w:r>
        <w:rPr>
          <w:rStyle w:val="18"/>
          <w:rFonts w:hint="eastAsia" w:ascii="仿宋_GB2312" w:hAnsi="仿宋_GB2312" w:eastAsia="仿宋_GB2312" w:cs="仿宋_GB2312"/>
          <w:b w:val="0"/>
          <w:sz w:val="32"/>
          <w:szCs w:val="32"/>
          <w:lang w:val="en-US" w:eastAsia="zh-CN"/>
        </w:rPr>
        <w:t>3.13</w:t>
      </w:r>
      <w:r>
        <w:rPr>
          <w:rStyle w:val="18"/>
          <w:rFonts w:hint="eastAsia" w:ascii="仿宋_GB2312" w:hAnsi="仿宋_GB2312" w:eastAsia="仿宋_GB2312" w:cs="仿宋_GB2312"/>
          <w:b w:val="0"/>
          <w:sz w:val="32"/>
          <w:szCs w:val="32"/>
        </w:rPr>
        <w:t>万元，完成预算100%。</w:t>
      </w:r>
    </w:p>
    <w:p w14:paraId="0A9AE060">
      <w:pPr>
        <w:tabs>
          <w:tab w:val="right" w:pos="8306"/>
        </w:tabs>
        <w:spacing w:line="600" w:lineRule="exact"/>
        <w:ind w:firstLine="640"/>
        <w:outlineLvl w:val="1"/>
        <w:rPr>
          <w:rStyle w:val="30"/>
          <w:rFonts w:ascii="Times New Roman" w:hAnsi="Times New Roman"/>
          <w:color w:val="auto"/>
          <w:highlight w:val="none"/>
        </w:rPr>
      </w:pPr>
      <w:bookmarkStart w:id="32" w:name="_Toc15396608"/>
      <w:bookmarkStart w:id="33"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2"/>
      <w:bookmarkEnd w:id="33"/>
      <w:r>
        <w:rPr>
          <w:rStyle w:val="30"/>
          <w:rFonts w:ascii="Times New Roman" w:hAnsi="Times New Roman" w:eastAsia="黑体"/>
          <w:b w:val="0"/>
          <w:color w:val="auto"/>
          <w:highlight w:val="none"/>
        </w:rPr>
        <w:tab/>
      </w:r>
    </w:p>
    <w:p w14:paraId="5D521C9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44.43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7CB8191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40.27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4.17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302C83D8">
      <w:pPr>
        <w:spacing w:line="600" w:lineRule="exact"/>
        <w:ind w:firstLine="640"/>
        <w:outlineLvl w:val="1"/>
        <w:rPr>
          <w:rStyle w:val="30"/>
          <w:rFonts w:ascii="黑体" w:hAnsi="黑体" w:eastAsia="黑体"/>
          <w:b w:val="0"/>
          <w:color w:val="auto"/>
          <w:highlight w:val="none"/>
        </w:rPr>
      </w:pPr>
      <w:r>
        <w:rPr>
          <w:rFonts w:hint="eastAsia" w:ascii="黑体" w:eastAsia="黑体"/>
          <w:color w:val="auto"/>
          <w:sz w:val="32"/>
          <w:szCs w:val="32"/>
          <w:highlight w:val="none"/>
        </w:rPr>
        <w:t>七、</w:t>
      </w:r>
      <w:r>
        <w:rPr>
          <w:rStyle w:val="30"/>
          <w:rFonts w:hint="eastAsia" w:ascii="黑体" w:hAnsi="黑体" w:eastAsia="黑体"/>
          <w:b w:val="0"/>
          <w:color w:val="auto"/>
          <w:highlight w:val="none"/>
        </w:rPr>
        <w:t>财政拨款</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三公”经费支出决算情况说明</w:t>
      </w:r>
    </w:p>
    <w:p w14:paraId="4A1F99CC">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0C847558">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决算数与预算数持平。</w:t>
      </w:r>
    </w:p>
    <w:p w14:paraId="1637CA2A">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158B8FE2">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013F200C">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p>
    <w:p w14:paraId="2FFDA8B4">
      <w:pPr>
        <w:spacing w:line="600" w:lineRule="exact"/>
        <w:ind w:firstLine="640"/>
        <w:rPr>
          <w:rFonts w:hint="default" w:ascii="仿宋_GB2312" w:eastAsia="仿宋_GB2312"/>
          <w:b/>
          <w:color w:val="auto"/>
          <w:sz w:val="32"/>
          <w:szCs w:val="32"/>
          <w:highlight w:val="none"/>
          <w:lang w:val="en-US"/>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p>
    <w:p w14:paraId="68660A9F">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6040090F">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480F4C">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p>
    <w:p w14:paraId="71C6C3EE">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782674F">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886BB49">
      <w:pPr>
        <w:spacing w:line="600" w:lineRule="exact"/>
        <w:ind w:firstLine="640"/>
        <w:outlineLvl w:val="1"/>
        <w:rPr>
          <w:rFonts w:ascii="黑体" w:eastAsia="黑体"/>
          <w:color w:val="auto"/>
          <w:sz w:val="32"/>
          <w:szCs w:val="32"/>
          <w:highlight w:val="none"/>
        </w:rPr>
      </w:pPr>
    </w:p>
    <w:p w14:paraId="6B81E403">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p>
    <w:p w14:paraId="411D1E05">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8251CDF">
      <w:pPr>
        <w:numPr>
          <w:ilvl w:val="0"/>
          <w:numId w:val="2"/>
        </w:numPr>
        <w:spacing w:line="600" w:lineRule="exact"/>
        <w:ind w:firstLine="640"/>
        <w:outlineLvl w:val="1"/>
        <w:rPr>
          <w:rStyle w:val="30"/>
          <w:rFonts w:ascii="黑体" w:hAnsi="黑体" w:eastAsia="黑体"/>
          <w:b w:val="0"/>
          <w:color w:val="auto"/>
          <w:highlight w:val="none"/>
        </w:rPr>
      </w:pPr>
      <w:bookmarkStart w:id="34" w:name="_Toc15377219"/>
      <w:bookmarkStart w:id="35" w:name="_Toc15396611"/>
      <w:r>
        <w:rPr>
          <w:rStyle w:val="30"/>
          <w:rFonts w:hint="eastAsia" w:ascii="黑体" w:hAnsi="黑体" w:eastAsia="黑体"/>
          <w:b w:val="0"/>
          <w:color w:val="auto"/>
          <w:highlight w:val="none"/>
        </w:rPr>
        <w:t>国有资本经营预算支出决算情况说明</w:t>
      </w:r>
      <w:bookmarkEnd w:id="34"/>
      <w:bookmarkEnd w:id="35"/>
    </w:p>
    <w:p w14:paraId="6C330DA1">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F108A37">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247D034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黑体" w:hAnsi="黑体" w:eastAsia="黑体"/>
          <w:b w:val="0"/>
          <w:color w:val="auto"/>
          <w:highlight w:val="none"/>
        </w:rPr>
      </w:pPr>
      <w:r>
        <w:rPr>
          <w:rStyle w:val="30"/>
          <w:rFonts w:hint="eastAsia" w:ascii="黑体" w:hAnsi="黑体" w:eastAsia="黑体"/>
          <w:b w:val="0"/>
          <w:color w:val="auto"/>
          <w:highlight w:val="none"/>
          <w:lang w:eastAsia="zh-CN"/>
        </w:rPr>
        <w:t>十、</w:t>
      </w:r>
      <w:r>
        <w:rPr>
          <w:rStyle w:val="30"/>
          <w:rFonts w:hint="eastAsia" w:ascii="黑体" w:hAnsi="黑体" w:eastAsia="黑体"/>
          <w:b w:val="0"/>
          <w:color w:val="auto"/>
          <w:highlight w:val="none"/>
        </w:rPr>
        <w:t>其他重要事项的情况说明</w:t>
      </w:r>
    </w:p>
    <w:p w14:paraId="255ED883">
      <w:pPr>
        <w:spacing w:line="600" w:lineRule="exact"/>
        <w:outlineLvl w:val="2"/>
        <w:rPr>
          <w:rFonts w:ascii="仿宋" w:hAnsi="仿宋" w:eastAsia="仿宋"/>
          <w:color w:val="auto"/>
          <w:sz w:val="32"/>
          <w:szCs w:val="32"/>
          <w:highlight w:val="none"/>
        </w:rPr>
      </w:pPr>
      <w:bookmarkStart w:id="36" w:name="_Toc15377222"/>
      <w:r>
        <w:rPr>
          <w:rFonts w:hint="eastAsia" w:ascii="仿宋" w:hAnsi="仿宋" w:eastAsia="仿宋"/>
          <w:b/>
          <w:color w:val="auto"/>
          <w:sz w:val="32"/>
          <w:szCs w:val="32"/>
          <w:highlight w:val="none"/>
        </w:rPr>
        <w:t>（一）机关运行经费支出情况</w:t>
      </w:r>
      <w:bookmarkEnd w:id="36"/>
    </w:p>
    <w:p w14:paraId="303AE13F">
      <w:pPr>
        <w:spacing w:line="600" w:lineRule="exact"/>
        <w:ind w:firstLine="640" w:firstLineChars="200"/>
        <w:rPr>
          <w:rFonts w:hint="eastAsia" w:ascii="仿宋_GB2312" w:hAnsi="仿宋_GB2312" w:eastAsia="仿宋_GB2312" w:cs="仿宋_GB2312"/>
          <w:i w:val="0"/>
          <w:iCs/>
          <w:color w:val="000000"/>
          <w:sz w:val="32"/>
          <w:szCs w:val="32"/>
          <w:highlight w:val="none"/>
        </w:rPr>
      </w:pPr>
      <w:bookmarkStart w:id="37" w:name="_Toc15377223"/>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牛华镇文化旅游</w:t>
      </w:r>
      <w:r>
        <w:rPr>
          <w:rFonts w:hint="eastAsia" w:ascii="仿宋_GB2312" w:eastAsia="仿宋_GB2312"/>
          <w:b w:val="0"/>
          <w:bCs w:val="0"/>
          <w:color w:val="auto"/>
          <w:sz w:val="32"/>
          <w:szCs w:val="32"/>
          <w:highlight w:val="none"/>
          <w:lang w:eastAsia="zh-CN"/>
        </w:rPr>
        <w:t>服务中心</w:t>
      </w:r>
      <w:r>
        <w:rPr>
          <w:rFonts w:hint="eastAsia" w:ascii="仿宋_GB2312" w:eastAsia="仿宋_GB2312"/>
          <w:b w:val="0"/>
          <w:bCs w:val="0"/>
          <w:color w:val="auto"/>
          <w:sz w:val="32"/>
          <w:szCs w:val="32"/>
          <w:highlight w:val="none"/>
        </w:rPr>
        <w:t>机关</w:t>
      </w:r>
      <w:r>
        <w:rPr>
          <w:rFonts w:hint="eastAsia" w:ascii="仿宋_GB2312" w:eastAsia="仿宋_GB2312"/>
          <w:color w:val="auto"/>
          <w:sz w:val="32"/>
          <w:szCs w:val="32"/>
          <w:highlight w:val="none"/>
        </w:rPr>
        <w:t>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牛华镇文化旅游</w:t>
      </w:r>
      <w:r>
        <w:rPr>
          <w:rFonts w:hint="eastAsia" w:ascii="仿宋_GB2312" w:eastAsia="仿宋_GB2312"/>
          <w:b w:val="0"/>
          <w:bCs w:val="0"/>
          <w:color w:val="auto"/>
          <w:sz w:val="32"/>
          <w:szCs w:val="32"/>
          <w:highlight w:val="none"/>
          <w:lang w:eastAsia="zh-CN"/>
        </w:rPr>
        <w:t>服务中心</w:t>
      </w:r>
      <w:r>
        <w:rPr>
          <w:rFonts w:hint="eastAsia" w:ascii="仿宋_GB2312" w:hAnsi="仿宋_GB2312" w:eastAsia="仿宋_GB2312" w:cs="仿宋_GB2312"/>
          <w:i w:val="0"/>
          <w:iCs/>
          <w:color w:val="000000"/>
          <w:sz w:val="32"/>
          <w:szCs w:val="32"/>
          <w:highlight w:val="none"/>
        </w:rPr>
        <w:t>属于财政补助的事业单位，无机关运行经费。</w:t>
      </w:r>
    </w:p>
    <w:p w14:paraId="7714826B">
      <w:pPr>
        <w:spacing w:line="600" w:lineRule="exact"/>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37"/>
    </w:p>
    <w:p w14:paraId="1F93745F">
      <w:pPr>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牛华镇文化旅游服务中心</w:t>
      </w:r>
      <w:r>
        <w:rPr>
          <w:rFonts w:hint="eastAsia" w:ascii="仿宋_GB2312" w:eastAsia="仿宋_GB2312"/>
          <w:color w:val="auto"/>
          <w:sz w:val="32"/>
          <w:szCs w:val="32"/>
          <w:highlight w:val="none"/>
        </w:rPr>
        <w:t>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bookmarkStart w:id="38" w:name="_Toc15377224"/>
    </w:p>
    <w:p w14:paraId="4428B95C">
      <w:pPr>
        <w:spacing w:line="600" w:lineRule="exact"/>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bookmarkEnd w:id="38"/>
    </w:p>
    <w:p w14:paraId="7655EA10">
      <w:pPr>
        <w:autoSpaceDE w:val="0"/>
        <w:autoSpaceDN w:val="0"/>
        <w:adjustRightInd w:val="0"/>
        <w:spacing w:line="600" w:lineRule="exact"/>
        <w:ind w:firstLine="640" w:firstLineChars="200"/>
        <w:jc w:val="left"/>
        <w:outlineLvl w:val="2"/>
        <w:rPr>
          <w:rFonts w:hint="eastAsia" w:ascii="仿宋" w:hAnsi="仿宋" w:eastAsia="仿宋"/>
          <w:b/>
          <w:color w:val="auto"/>
          <w:sz w:val="32"/>
          <w:szCs w:val="32"/>
          <w:highlight w:val="none"/>
          <w:lang w:eastAsia="zh-CN"/>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b w:val="0"/>
          <w:bCs w:val="0"/>
          <w:color w:val="auto"/>
          <w:sz w:val="32"/>
          <w:szCs w:val="32"/>
          <w:highlight w:val="none"/>
          <w:lang w:val="en-US" w:eastAsia="zh-CN"/>
        </w:rPr>
        <w:t>牛华镇文化旅游</w:t>
      </w:r>
      <w:r>
        <w:rPr>
          <w:rFonts w:hint="eastAsia" w:ascii="仿宋_GB2312" w:eastAsia="仿宋_GB2312"/>
          <w:b w:val="0"/>
          <w:bCs w:val="0"/>
          <w:color w:val="auto"/>
          <w:sz w:val="32"/>
          <w:szCs w:val="32"/>
          <w:highlight w:val="none"/>
          <w:lang w:eastAsia="zh-CN"/>
        </w:rPr>
        <w:t>服务中心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r>
        <w:rPr>
          <w:rFonts w:hint="eastAsia" w:ascii="仿宋_GB2312" w:eastAsia="仿宋_GB2312"/>
          <w:color w:val="auto"/>
          <w:sz w:val="32"/>
          <w:szCs w:val="32"/>
          <w:highlight w:val="none"/>
          <w:lang w:val="en-US" w:eastAsia="zh-CN"/>
        </w:rPr>
        <w:t xml:space="preserve">      </w:t>
      </w:r>
      <w:r>
        <w:rPr>
          <w:rFonts w:hint="eastAsia" w:ascii="仿宋" w:hAnsi="仿宋" w:eastAsia="仿宋"/>
          <w:b/>
          <w:color w:val="auto"/>
          <w:sz w:val="32"/>
          <w:szCs w:val="32"/>
          <w:highlight w:val="none"/>
        </w:rPr>
        <w:t>（四）预算绩效管理情况</w:t>
      </w:r>
    </w:p>
    <w:p w14:paraId="4291E200">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eastAsia="仿宋_GB2312" w:cs="Times New Roman"/>
          <w:color w:val="auto"/>
          <w:sz w:val="32"/>
          <w:szCs w:val="32"/>
          <w:highlight w:val="none"/>
          <w:lang w:val="en-US" w:eastAsia="zh-CN"/>
        </w:rPr>
        <w:t>2024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0个项目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0个项目开展绩效自评，绩效自评表详见第四部分附件。</w:t>
      </w:r>
    </w:p>
    <w:p w14:paraId="5EA50B8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964E92A">
      <w:pPr>
        <w:numPr>
          <w:ilvl w:val="0"/>
          <w:numId w:val="0"/>
        </w:numPr>
        <w:spacing w:line="600" w:lineRule="exact"/>
        <w:ind w:firstLine="2200" w:firstLineChars="500"/>
        <w:jc w:val="both"/>
        <w:outlineLvl w:val="0"/>
        <w:rPr>
          <w:rFonts w:hint="eastAsia" w:ascii="Times New Roman" w:hAnsi="Times New Roman" w:eastAsia="黑体"/>
          <w:color w:val="auto"/>
          <w:sz w:val="44"/>
          <w:szCs w:val="44"/>
          <w:highlight w:val="none"/>
        </w:rPr>
      </w:pPr>
      <w:bookmarkStart w:id="39" w:name="_Toc15377225"/>
      <w:bookmarkStart w:id="40"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39"/>
      <w:bookmarkEnd w:id="40"/>
    </w:p>
    <w:p w14:paraId="13C3F19E">
      <w:pPr>
        <w:spacing w:line="600" w:lineRule="exact"/>
        <w:jc w:val="left"/>
        <w:rPr>
          <w:rFonts w:ascii="Times New Roman" w:hAnsi="Times New Roman"/>
          <w:b/>
          <w:color w:val="auto"/>
          <w:sz w:val="44"/>
          <w:szCs w:val="44"/>
          <w:highlight w:val="none"/>
        </w:rPr>
      </w:pPr>
    </w:p>
    <w:p w14:paraId="52674110">
      <w:pPr>
        <w:pStyle w:val="27"/>
        <w:spacing w:line="560" w:lineRule="exact"/>
        <w:ind w:firstLine="640" w:firstLineChars="200"/>
        <w:rPr>
          <w:rFonts w:ascii="仿宋_GB2312" w:hAnsi="仿宋_GB2312" w:eastAsia="仿宋_GB2312" w:cs="仿宋_GB2312"/>
          <w:color w:val="auto"/>
          <w:sz w:val="32"/>
          <w:szCs w:val="32"/>
        </w:rPr>
      </w:pPr>
      <w:bookmarkStart w:id="41" w:name="_Toc15396614"/>
      <w:bookmarkStart w:id="42" w:name="_Toc15377226"/>
      <w:r>
        <w:rPr>
          <w:rFonts w:hint="eastAsia" w:ascii="仿宋_GB2312" w:hAnsi="仿宋_GB2312" w:eastAsia="仿宋_GB2312" w:cs="仿宋_GB2312"/>
          <w:color w:val="auto"/>
          <w:sz w:val="32"/>
          <w:szCs w:val="32"/>
        </w:rPr>
        <w:t>1.财政拨款收入：指单位从同级财政部门取得的财政预算资金。</w:t>
      </w:r>
    </w:p>
    <w:p w14:paraId="3B2CC492">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2.事业收入：指事业单位开展专业业务活动及辅助活动取得的收入。</w:t>
      </w:r>
    </w:p>
    <w:p w14:paraId="73D88CF2">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3.经营收入：指事业单位在专业业务活动及其辅助活动之外开展非独立核算经营活动取得的收入。</w:t>
      </w:r>
    </w:p>
    <w:p w14:paraId="52E07644">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4.其他收入：指单位取得的除上述收入以外的各项收入。 </w:t>
      </w:r>
    </w:p>
    <w:p w14:paraId="094B5BC4">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5.使用非财政拨款结余：指事业单位使用以前年度积累的非财政拨款结余弥补当年收支差额的金额。 </w:t>
      </w:r>
    </w:p>
    <w:p w14:paraId="598B0697">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6.年初结转和结余：指以前年度尚未完成、结转到本年按有关规定继续使用的资金。 </w:t>
      </w:r>
    </w:p>
    <w:p w14:paraId="41F43C76">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7.结余分配：指事业单位按照会计制度规定缴纳的所得税、提取的专用结余以及转入非财政拨款结余的金额等。</w:t>
      </w:r>
    </w:p>
    <w:p w14:paraId="5E74BE2A">
      <w:pPr>
        <w:pStyle w:val="27"/>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8、年末结转和结余：指单位按有关规定结转到下年或以后年度继续使用的资金。</w:t>
      </w:r>
    </w:p>
    <w:p w14:paraId="2F46A36C">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．文化旅游体育与传媒支出：反映政府在文化、文物、体育、广播影视、新闻出版等方面的支出。</w:t>
      </w:r>
    </w:p>
    <w:p w14:paraId="712F4A08">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文化旅游体育与传媒支出（类）文化和旅游（款）群众文化（项）：反映群众文化方面的支出，包括基层文化馆（站）、群众艺术馆支出等。</w:t>
      </w:r>
    </w:p>
    <w:p w14:paraId="31D3976C">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．社会保障和就业支出：反映政府在社会保障与就业方面的支出。</w:t>
      </w:r>
    </w:p>
    <w:p w14:paraId="3613C94C">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社会保障和就业支出（类）行政事业单位养老支出（款）机关事业单位基本养老保险缴费支出（项）：反映机关事业单位实施养老保险制度由单位缴纳的基本养老保险费支出。</w:t>
      </w:r>
    </w:p>
    <w:p w14:paraId="21EA65D6">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社会保障和就业支出（类）行政事业单位养老支出（款）机关事业单位职业年金缴费支出（项）：反映机关事业单位实施养老保险制度由单位实际缴纳的职业年金支出。</w:t>
      </w:r>
    </w:p>
    <w:p w14:paraId="567C2CC2">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社会保障和就业支出（类）行政事业单位养老支出（款）其他行政事业单位养老支出（项）：反映除上述项目以外其他用于行政事业单位养老方面的支出。</w:t>
      </w:r>
    </w:p>
    <w:p w14:paraId="51F4367F">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反映除上述项目以外其他用于社会保障和就业方面的支出。</w:t>
      </w:r>
    </w:p>
    <w:p w14:paraId="1B6A9DD8">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．卫生健康支出：反映政府卫生健康管理方面的支出。</w:t>
      </w:r>
    </w:p>
    <w:p w14:paraId="62724B28">
      <w:pPr>
        <w:pStyle w:val="15"/>
        <w:numPr>
          <w:ilvl w:val="0"/>
          <w:numId w:val="0"/>
        </w:numPr>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卫生健康支出（类）行政事业单位医疗（款）事业单位医疗（项）：反映财政部门集中安排的事业单位基本医疗保险缴费经费，未参加医疗保险的事业单位的公费医疗经费，按国家规定享受离休人员待遇人员的医疗经费。</w:t>
      </w:r>
    </w:p>
    <w:p w14:paraId="5A1A0D22">
      <w:pPr>
        <w:pStyle w:val="15"/>
        <w:numPr>
          <w:ilvl w:val="0"/>
          <w:numId w:val="0"/>
        </w:numPr>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卫生健康支出（类）行政事业单位医疗（款）</w:t>
      </w:r>
      <w:r>
        <w:rPr>
          <w:rFonts w:hint="eastAsia" w:ascii="仿宋_GB2312" w:hAnsi="仿宋_GB2312" w:eastAsia="仿宋_GB2312" w:cs="仿宋_GB2312"/>
          <w:color w:val="000000"/>
          <w:sz w:val="32"/>
          <w:szCs w:val="32"/>
          <w:lang w:val="en-US" w:eastAsia="zh-CN"/>
        </w:rPr>
        <w:t>公务员医疗补助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反映财政部门安排的公务员医疗补助经费。</w:t>
      </w:r>
    </w:p>
    <w:p w14:paraId="2FE10418">
      <w:pPr>
        <w:pStyle w:val="15"/>
        <w:numPr>
          <w:ilvl w:val="0"/>
          <w:numId w:val="0"/>
        </w:numPr>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．住房保障支出：集中反映政府用于住房方面的支出。</w:t>
      </w:r>
    </w:p>
    <w:p w14:paraId="36B75182">
      <w:pPr>
        <w:pStyle w:val="15"/>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住房保障支出（类）住房改革支出（款）住房公积金（项）：反映行政事业单位按人力资源和社会保障部、财政部规定的基本工资和津贴补贴以及规定比例为职工缴纳的住房公积金。</w:t>
      </w:r>
    </w:p>
    <w:p w14:paraId="6DCA2218">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.基本支出：指为保障机构正常运转、完成日常工作任务而发生的人员支出和公用支出。</w:t>
      </w:r>
    </w:p>
    <w:p w14:paraId="6435E11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 xml:space="preserve">.项目支出：指在基本支出之外为完成特定行政任务和事业发展目标所发生的支出。 </w:t>
      </w:r>
    </w:p>
    <w:p w14:paraId="3FC33EB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717046C2">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CC5374E">
      <w:pPr>
        <w:spacing w:line="600" w:lineRule="exact"/>
        <w:jc w:val="center"/>
        <w:rPr>
          <w:rFonts w:hint="eastAsia" w:ascii="Times New Roman" w:hAnsi="Times New Roman" w:eastAsia="黑体"/>
          <w:color w:val="auto"/>
          <w:sz w:val="44"/>
          <w:szCs w:val="44"/>
          <w:highlight w:val="none"/>
        </w:rPr>
      </w:pPr>
    </w:p>
    <w:p w14:paraId="71DBD45C">
      <w:pPr>
        <w:spacing w:line="600" w:lineRule="exact"/>
        <w:jc w:val="center"/>
        <w:rPr>
          <w:rFonts w:hint="eastAsia" w:ascii="Times New Roman" w:hAnsi="Times New Roman" w:eastAsia="黑体"/>
          <w:color w:val="auto"/>
          <w:sz w:val="44"/>
          <w:szCs w:val="44"/>
          <w:highlight w:val="none"/>
        </w:rPr>
      </w:pPr>
    </w:p>
    <w:p w14:paraId="387AFA26">
      <w:pPr>
        <w:pStyle w:val="2"/>
        <w:rPr>
          <w:rFonts w:hint="eastAsia" w:ascii="Times New Roman" w:hAnsi="Times New Roman" w:eastAsia="黑体"/>
          <w:color w:val="auto"/>
          <w:sz w:val="44"/>
          <w:szCs w:val="44"/>
          <w:highlight w:val="none"/>
        </w:rPr>
      </w:pPr>
    </w:p>
    <w:p w14:paraId="4AC3F403">
      <w:pPr>
        <w:pStyle w:val="2"/>
        <w:rPr>
          <w:rFonts w:hint="eastAsia" w:ascii="Times New Roman" w:hAnsi="Times New Roman" w:eastAsia="黑体"/>
          <w:color w:val="auto"/>
          <w:sz w:val="44"/>
          <w:szCs w:val="44"/>
          <w:highlight w:val="none"/>
        </w:rPr>
      </w:pPr>
    </w:p>
    <w:p w14:paraId="21DC55A1">
      <w:pPr>
        <w:pStyle w:val="2"/>
        <w:rPr>
          <w:rFonts w:hint="eastAsia" w:ascii="Times New Roman" w:hAnsi="Times New Roman" w:eastAsia="黑体"/>
          <w:color w:val="auto"/>
          <w:sz w:val="44"/>
          <w:szCs w:val="44"/>
          <w:highlight w:val="none"/>
        </w:rPr>
      </w:pPr>
    </w:p>
    <w:p w14:paraId="6AA0661A">
      <w:pPr>
        <w:pStyle w:val="2"/>
        <w:rPr>
          <w:rFonts w:hint="eastAsia" w:ascii="Times New Roman" w:hAnsi="Times New Roman" w:eastAsia="黑体"/>
          <w:color w:val="auto"/>
          <w:sz w:val="44"/>
          <w:szCs w:val="44"/>
          <w:highlight w:val="none"/>
        </w:rPr>
      </w:pPr>
    </w:p>
    <w:p w14:paraId="5BC16160">
      <w:pPr>
        <w:pStyle w:val="2"/>
        <w:rPr>
          <w:rFonts w:hint="eastAsia" w:ascii="Times New Roman" w:hAnsi="Times New Roman" w:eastAsia="黑体"/>
          <w:color w:val="auto"/>
          <w:sz w:val="44"/>
          <w:szCs w:val="44"/>
          <w:highlight w:val="none"/>
        </w:rPr>
      </w:pPr>
    </w:p>
    <w:p w14:paraId="1CBD8188">
      <w:pPr>
        <w:pStyle w:val="2"/>
        <w:rPr>
          <w:rFonts w:hint="eastAsia" w:ascii="Times New Roman" w:hAnsi="Times New Roman" w:eastAsia="黑体"/>
          <w:color w:val="auto"/>
          <w:sz w:val="44"/>
          <w:szCs w:val="44"/>
          <w:highlight w:val="none"/>
        </w:rPr>
      </w:pPr>
    </w:p>
    <w:p w14:paraId="034501C5">
      <w:pPr>
        <w:pStyle w:val="2"/>
        <w:rPr>
          <w:rFonts w:hint="eastAsia" w:ascii="Times New Roman" w:hAnsi="Times New Roman" w:eastAsia="黑体"/>
          <w:color w:val="auto"/>
          <w:sz w:val="44"/>
          <w:szCs w:val="44"/>
          <w:highlight w:val="none"/>
        </w:rPr>
      </w:pPr>
    </w:p>
    <w:p w14:paraId="0DD45741">
      <w:pPr>
        <w:pStyle w:val="2"/>
        <w:rPr>
          <w:rFonts w:hint="eastAsia" w:ascii="Times New Roman" w:hAnsi="Times New Roman" w:eastAsia="黑体"/>
          <w:color w:val="auto"/>
          <w:sz w:val="44"/>
          <w:szCs w:val="44"/>
          <w:highlight w:val="none"/>
        </w:rPr>
      </w:pPr>
    </w:p>
    <w:p w14:paraId="712AB907">
      <w:pPr>
        <w:pStyle w:val="2"/>
        <w:rPr>
          <w:rFonts w:hint="eastAsia" w:ascii="Times New Roman" w:hAnsi="Times New Roman" w:eastAsia="黑体"/>
          <w:color w:val="auto"/>
          <w:sz w:val="44"/>
          <w:szCs w:val="44"/>
          <w:highlight w:val="none"/>
        </w:rPr>
      </w:pPr>
    </w:p>
    <w:p w14:paraId="3C515B73">
      <w:pPr>
        <w:pStyle w:val="2"/>
        <w:rPr>
          <w:rFonts w:hint="eastAsia" w:ascii="Times New Roman" w:hAnsi="Times New Roman" w:eastAsia="黑体"/>
          <w:color w:val="auto"/>
          <w:sz w:val="44"/>
          <w:szCs w:val="44"/>
          <w:highlight w:val="none"/>
        </w:rPr>
      </w:pPr>
    </w:p>
    <w:p w14:paraId="59B068DA">
      <w:pPr>
        <w:pStyle w:val="2"/>
        <w:rPr>
          <w:rFonts w:hint="eastAsia" w:ascii="Times New Roman" w:hAnsi="Times New Roman" w:eastAsia="黑体"/>
          <w:color w:val="auto"/>
          <w:sz w:val="44"/>
          <w:szCs w:val="44"/>
          <w:highlight w:val="none"/>
        </w:rPr>
      </w:pPr>
    </w:p>
    <w:p w14:paraId="305774CC">
      <w:pPr>
        <w:pStyle w:val="2"/>
        <w:rPr>
          <w:rFonts w:hint="eastAsia" w:ascii="Times New Roman" w:hAnsi="Times New Roman" w:eastAsia="黑体"/>
          <w:color w:val="auto"/>
          <w:sz w:val="44"/>
          <w:szCs w:val="44"/>
          <w:highlight w:val="none"/>
        </w:rPr>
      </w:pPr>
    </w:p>
    <w:p w14:paraId="007A821C">
      <w:pPr>
        <w:pStyle w:val="2"/>
        <w:rPr>
          <w:rFonts w:hint="eastAsia" w:ascii="Times New Roman" w:hAnsi="Times New Roman" w:eastAsia="黑体"/>
          <w:color w:val="auto"/>
          <w:sz w:val="44"/>
          <w:szCs w:val="44"/>
          <w:highlight w:val="none"/>
        </w:rPr>
      </w:pPr>
    </w:p>
    <w:p w14:paraId="07CD8411">
      <w:pPr>
        <w:pStyle w:val="2"/>
        <w:rPr>
          <w:rFonts w:hint="eastAsia" w:ascii="Times New Roman" w:hAnsi="Times New Roman" w:eastAsia="黑体"/>
          <w:color w:val="auto"/>
          <w:sz w:val="44"/>
          <w:szCs w:val="44"/>
          <w:highlight w:val="none"/>
        </w:rPr>
      </w:pPr>
    </w:p>
    <w:p w14:paraId="3BDBC7DC">
      <w:pPr>
        <w:pStyle w:val="2"/>
        <w:rPr>
          <w:rFonts w:hint="eastAsia" w:ascii="Times New Roman" w:hAnsi="Times New Roman" w:eastAsia="黑体"/>
          <w:color w:val="auto"/>
          <w:sz w:val="44"/>
          <w:szCs w:val="44"/>
          <w:highlight w:val="none"/>
        </w:rPr>
      </w:pPr>
    </w:p>
    <w:p w14:paraId="074E29B7">
      <w:pPr>
        <w:pStyle w:val="2"/>
        <w:rPr>
          <w:rFonts w:hint="eastAsia" w:ascii="Times New Roman" w:hAnsi="Times New Roman" w:eastAsia="黑体"/>
          <w:color w:val="auto"/>
          <w:sz w:val="44"/>
          <w:szCs w:val="44"/>
          <w:highlight w:val="none"/>
        </w:rPr>
      </w:pPr>
    </w:p>
    <w:p w14:paraId="28466B39">
      <w:pPr>
        <w:pStyle w:val="2"/>
        <w:rPr>
          <w:rFonts w:hint="eastAsia" w:ascii="Times New Roman" w:hAnsi="Times New Roman" w:eastAsia="黑体"/>
          <w:color w:val="auto"/>
          <w:sz w:val="44"/>
          <w:szCs w:val="44"/>
          <w:highlight w:val="none"/>
        </w:rPr>
      </w:pPr>
    </w:p>
    <w:p w14:paraId="53E60D86">
      <w:pPr>
        <w:spacing w:line="600" w:lineRule="exact"/>
        <w:jc w:val="center"/>
        <w:rPr>
          <w:rStyle w:val="29"/>
          <w:rFonts w:hint="eastAsia" w:ascii="Times New Roman" w:hAnsi="Times New Roman" w:eastAsia="黑体"/>
          <w:b w:val="0"/>
          <w:color w:val="auto"/>
          <w:highlight w:val="none"/>
          <w:lang w:eastAsia="zh-CN"/>
        </w:rPr>
      </w:pPr>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1"/>
    </w:p>
    <w:p w14:paraId="349CFF17">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31520508">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14:paraId="6B66C581">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7BAAD110">
      <w:pPr>
        <w:spacing w:line="600" w:lineRule="exact"/>
        <w:jc w:val="center"/>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w:t>
      </w:r>
      <w:r>
        <w:rPr>
          <w:rFonts w:hint="eastAsia" w:cs="Times New Roman"/>
          <w:sz w:val="32"/>
          <w:szCs w:val="32"/>
          <w:highlight w:val="none"/>
          <w:lang w:val="en-US" w:eastAsia="zh-CN"/>
        </w:rPr>
        <w:t>2024</w:t>
      </w:r>
      <w:r>
        <w:rPr>
          <w:rFonts w:hint="eastAsia" w:hAnsi="Times New Roman" w:cs="Times New Roman"/>
          <w:sz w:val="32"/>
          <w:szCs w:val="32"/>
          <w:highlight w:val="none"/>
          <w:lang w:val="en-US" w:eastAsia="zh-CN"/>
        </w:rPr>
        <w:t>年度）</w:t>
      </w:r>
    </w:p>
    <w:p w14:paraId="0E5B5B22">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1FAC87A1">
      <w:pPr>
        <w:pStyle w:val="2"/>
        <w:rPr>
          <w:rFonts w:hint="default" w:ascii="仿宋_GB2312" w:hAnsi="Calibri"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自评表详见附件</w:t>
      </w:r>
    </w:p>
    <w:p w14:paraId="39834021">
      <w:pPr>
        <w:widowControl/>
        <w:jc w:val="center"/>
        <w:rPr>
          <w:rFonts w:hint="eastAsia" w:ascii="Times New Roman" w:hAnsi="Times New Roman" w:eastAsia="黑体"/>
          <w:color w:val="auto"/>
          <w:sz w:val="44"/>
          <w:szCs w:val="44"/>
          <w:highlight w:val="none"/>
        </w:rPr>
      </w:pPr>
      <w:bookmarkStart w:id="43" w:name="_Toc15396618"/>
    </w:p>
    <w:p w14:paraId="205D4633">
      <w:pPr>
        <w:widowControl/>
        <w:jc w:val="center"/>
        <w:rPr>
          <w:rFonts w:hint="eastAsia" w:ascii="Times New Roman" w:hAnsi="Times New Roman" w:eastAsia="黑体"/>
          <w:color w:val="auto"/>
          <w:sz w:val="44"/>
          <w:szCs w:val="44"/>
          <w:highlight w:val="none"/>
        </w:rPr>
      </w:pPr>
    </w:p>
    <w:p w14:paraId="7EF9D26A">
      <w:pPr>
        <w:widowControl/>
        <w:jc w:val="center"/>
        <w:rPr>
          <w:rFonts w:hint="eastAsia" w:ascii="Times New Roman" w:hAnsi="Times New Roman" w:eastAsia="黑体"/>
          <w:color w:val="auto"/>
          <w:sz w:val="44"/>
          <w:szCs w:val="44"/>
          <w:highlight w:val="none"/>
        </w:rPr>
      </w:pPr>
    </w:p>
    <w:p w14:paraId="3FC3454A">
      <w:pPr>
        <w:widowControl/>
        <w:jc w:val="center"/>
        <w:rPr>
          <w:rFonts w:hint="eastAsia" w:ascii="Times New Roman" w:hAnsi="Times New Roman" w:eastAsia="黑体"/>
          <w:color w:val="auto"/>
          <w:sz w:val="44"/>
          <w:szCs w:val="44"/>
          <w:highlight w:val="none"/>
        </w:rPr>
      </w:pPr>
    </w:p>
    <w:p w14:paraId="30CCFB69">
      <w:pPr>
        <w:widowControl/>
        <w:jc w:val="center"/>
        <w:rPr>
          <w:rFonts w:hint="eastAsia" w:ascii="Times New Roman" w:hAnsi="Times New Roman" w:eastAsia="黑体"/>
          <w:color w:val="auto"/>
          <w:sz w:val="44"/>
          <w:szCs w:val="44"/>
          <w:highlight w:val="none"/>
        </w:rPr>
      </w:pPr>
    </w:p>
    <w:p w14:paraId="0BB00D14">
      <w:pPr>
        <w:widowControl/>
        <w:jc w:val="center"/>
        <w:rPr>
          <w:rFonts w:hint="eastAsia" w:ascii="Times New Roman" w:hAnsi="Times New Roman" w:eastAsia="黑体"/>
          <w:color w:val="auto"/>
          <w:sz w:val="44"/>
          <w:szCs w:val="44"/>
          <w:highlight w:val="none"/>
        </w:rPr>
      </w:pPr>
    </w:p>
    <w:p w14:paraId="7D69AC57">
      <w:pPr>
        <w:widowControl/>
        <w:jc w:val="center"/>
        <w:rPr>
          <w:rFonts w:hint="eastAsia" w:ascii="Times New Roman" w:hAnsi="Times New Roman" w:eastAsia="黑体"/>
          <w:color w:val="auto"/>
          <w:sz w:val="44"/>
          <w:szCs w:val="44"/>
          <w:highlight w:val="none"/>
        </w:rPr>
      </w:pPr>
    </w:p>
    <w:p w14:paraId="31E24B4D">
      <w:pPr>
        <w:widowControl/>
        <w:jc w:val="center"/>
        <w:rPr>
          <w:rFonts w:hint="eastAsia" w:ascii="Times New Roman" w:hAnsi="Times New Roman" w:eastAsia="黑体"/>
          <w:color w:val="auto"/>
          <w:sz w:val="44"/>
          <w:szCs w:val="44"/>
          <w:highlight w:val="none"/>
        </w:rPr>
      </w:pPr>
    </w:p>
    <w:p w14:paraId="3A258FB9">
      <w:pPr>
        <w:widowControl/>
        <w:jc w:val="center"/>
        <w:rPr>
          <w:rFonts w:hint="eastAsia" w:ascii="Times New Roman" w:hAnsi="Times New Roman" w:eastAsia="黑体"/>
          <w:color w:val="auto"/>
          <w:sz w:val="44"/>
          <w:szCs w:val="44"/>
          <w:highlight w:val="none"/>
        </w:rPr>
      </w:pPr>
    </w:p>
    <w:p w14:paraId="6E6229E9">
      <w:pPr>
        <w:widowControl/>
        <w:jc w:val="center"/>
        <w:rPr>
          <w:rFonts w:hint="eastAsia" w:ascii="Times New Roman" w:hAnsi="Times New Roman" w:eastAsia="黑体"/>
          <w:color w:val="auto"/>
          <w:sz w:val="44"/>
          <w:szCs w:val="44"/>
          <w:highlight w:val="none"/>
        </w:rPr>
      </w:pPr>
    </w:p>
    <w:p w14:paraId="6AF77B97">
      <w:pPr>
        <w:widowControl/>
        <w:jc w:val="center"/>
        <w:rPr>
          <w:rFonts w:hint="eastAsia" w:ascii="Times New Roman" w:hAnsi="Times New Roman" w:eastAsia="黑体"/>
          <w:color w:val="auto"/>
          <w:sz w:val="44"/>
          <w:szCs w:val="44"/>
          <w:highlight w:val="none"/>
        </w:rPr>
      </w:pPr>
    </w:p>
    <w:p w14:paraId="038E648A">
      <w:pPr>
        <w:widowControl/>
        <w:jc w:val="center"/>
        <w:rPr>
          <w:rFonts w:hint="eastAsia" w:ascii="Times New Roman" w:hAnsi="Times New Roman" w:eastAsia="黑体"/>
          <w:color w:val="auto"/>
          <w:sz w:val="44"/>
          <w:szCs w:val="44"/>
          <w:highlight w:val="none"/>
        </w:rPr>
      </w:pPr>
    </w:p>
    <w:p w14:paraId="2E01118A">
      <w:pPr>
        <w:widowControl/>
        <w:jc w:val="center"/>
        <w:rPr>
          <w:rFonts w:hint="eastAsia" w:ascii="Times New Roman" w:hAnsi="Times New Roman" w:eastAsia="黑体"/>
          <w:color w:val="auto"/>
          <w:sz w:val="44"/>
          <w:szCs w:val="44"/>
          <w:highlight w:val="none"/>
        </w:rPr>
      </w:pPr>
    </w:p>
    <w:p w14:paraId="29367A11">
      <w:pPr>
        <w:widowControl/>
        <w:jc w:val="center"/>
        <w:rPr>
          <w:rFonts w:hint="eastAsia" w:ascii="Times New Roman" w:hAnsi="Times New Roman" w:eastAsia="黑体"/>
          <w:color w:val="auto"/>
          <w:sz w:val="44"/>
          <w:szCs w:val="44"/>
          <w:highlight w:val="none"/>
        </w:rPr>
      </w:pPr>
    </w:p>
    <w:p w14:paraId="3CFEFE2B">
      <w:pPr>
        <w:widowControl/>
        <w:jc w:val="center"/>
        <w:rPr>
          <w:rFonts w:hint="eastAsia" w:ascii="Times New Roman" w:hAnsi="Times New Roman" w:eastAsia="黑体"/>
          <w:color w:val="auto"/>
          <w:sz w:val="44"/>
          <w:szCs w:val="44"/>
          <w:highlight w:val="none"/>
        </w:rPr>
      </w:pPr>
    </w:p>
    <w:p w14:paraId="5AAC9F4D">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2"/>
      <w:bookmarkEnd w:id="43"/>
      <w:bookmarkStart w:id="44" w:name="_Toc15396619"/>
    </w:p>
    <w:p w14:paraId="137AECA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3F59D0B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4"/>
    </w:p>
    <w:p w14:paraId="2638C44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5" w:name="_Toc15396620"/>
      <w:r>
        <w:rPr>
          <w:rFonts w:hint="eastAsia" w:ascii="Times New Roman" w:hAnsi="Times New Roman" w:eastAsia="仿宋_GB2312" w:cs="仿宋_GB2312"/>
          <w:color w:val="auto"/>
          <w:sz w:val="32"/>
          <w:szCs w:val="32"/>
          <w:highlight w:val="none"/>
        </w:rPr>
        <w:t>二、收入决算表</w:t>
      </w:r>
      <w:bookmarkEnd w:id="45"/>
    </w:p>
    <w:p w14:paraId="1090F7F6">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6" w:name="_Toc15396621"/>
      <w:r>
        <w:rPr>
          <w:rFonts w:hint="eastAsia" w:ascii="Times New Roman" w:hAnsi="Times New Roman" w:eastAsia="仿宋_GB2312" w:cs="仿宋_GB2312"/>
          <w:color w:val="auto"/>
          <w:sz w:val="32"/>
          <w:szCs w:val="32"/>
          <w:highlight w:val="none"/>
        </w:rPr>
        <w:t>三、支出决算表</w:t>
      </w:r>
      <w:bookmarkEnd w:id="46"/>
    </w:p>
    <w:p w14:paraId="1DE0D77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7" w:name="_Toc15396622"/>
      <w:r>
        <w:rPr>
          <w:rFonts w:hint="eastAsia" w:ascii="Times New Roman" w:hAnsi="Times New Roman" w:eastAsia="仿宋_GB2312" w:cs="仿宋_GB2312"/>
          <w:color w:val="auto"/>
          <w:sz w:val="32"/>
          <w:szCs w:val="32"/>
          <w:highlight w:val="none"/>
        </w:rPr>
        <w:t>四、财政拨款收入支出决算总表</w:t>
      </w:r>
      <w:bookmarkEnd w:id="47"/>
    </w:p>
    <w:p w14:paraId="2A48532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8" w:name="_Toc15396623"/>
      <w:r>
        <w:rPr>
          <w:rFonts w:hint="eastAsia" w:ascii="Times New Roman" w:hAnsi="Times New Roman" w:eastAsia="仿宋_GB2312" w:cs="仿宋_GB2312"/>
          <w:color w:val="auto"/>
          <w:sz w:val="32"/>
          <w:szCs w:val="32"/>
          <w:highlight w:val="none"/>
        </w:rPr>
        <w:t>五、财政拨款支出决算明细表</w:t>
      </w:r>
      <w:bookmarkEnd w:id="48"/>
      <w:bookmarkStart w:id="49" w:name="_Toc15396624"/>
    </w:p>
    <w:p w14:paraId="0128485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49"/>
    </w:p>
    <w:p w14:paraId="108A0F8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0" w:name="_Toc15396625"/>
      <w:r>
        <w:rPr>
          <w:rFonts w:hint="eastAsia" w:ascii="Times New Roman" w:hAnsi="Times New Roman" w:eastAsia="仿宋_GB2312" w:cs="仿宋_GB2312"/>
          <w:color w:val="auto"/>
          <w:sz w:val="32"/>
          <w:szCs w:val="32"/>
          <w:highlight w:val="none"/>
        </w:rPr>
        <w:t>七、一般公共预算财政拨款支出决算明细表</w:t>
      </w:r>
      <w:bookmarkEnd w:id="50"/>
    </w:p>
    <w:p w14:paraId="2E16DD5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6"/>
      <w:r>
        <w:rPr>
          <w:rFonts w:hint="eastAsia" w:ascii="Times New Roman" w:hAnsi="Times New Roman" w:eastAsia="仿宋_GB2312" w:cs="仿宋_GB2312"/>
          <w:color w:val="auto"/>
          <w:sz w:val="32"/>
          <w:szCs w:val="32"/>
          <w:highlight w:val="none"/>
        </w:rPr>
        <w:t>八、一般公共预算财政拨款基本支出决算表</w:t>
      </w:r>
      <w:bookmarkEnd w:id="51"/>
    </w:p>
    <w:p w14:paraId="5DDDF9A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7"/>
      <w:r>
        <w:rPr>
          <w:rFonts w:hint="eastAsia" w:ascii="Times New Roman" w:hAnsi="Times New Roman" w:eastAsia="仿宋_GB2312" w:cs="仿宋_GB2312"/>
          <w:color w:val="auto"/>
          <w:sz w:val="32"/>
          <w:szCs w:val="32"/>
          <w:highlight w:val="none"/>
        </w:rPr>
        <w:t>九、一般公共预算财政拨款项目支出决算表</w:t>
      </w:r>
      <w:bookmarkEnd w:id="52"/>
    </w:p>
    <w:p w14:paraId="54C301C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3" w:name="_Toc15396628"/>
      <w:r>
        <w:rPr>
          <w:rFonts w:hint="eastAsia" w:ascii="Times New Roman" w:hAnsi="Times New Roman" w:eastAsia="仿宋_GB2312" w:cs="仿宋_GB2312"/>
          <w:color w:val="auto"/>
          <w:sz w:val="32"/>
          <w:szCs w:val="32"/>
          <w:highlight w:val="none"/>
        </w:rPr>
        <w:t>十、</w:t>
      </w:r>
      <w:bookmarkEnd w:id="53"/>
      <w:r>
        <w:rPr>
          <w:rFonts w:hint="eastAsia" w:ascii="Times New Roman" w:hAnsi="Times New Roman" w:eastAsia="仿宋_GB2312" w:cs="仿宋_GB2312"/>
          <w:color w:val="auto"/>
          <w:sz w:val="32"/>
          <w:szCs w:val="32"/>
          <w:highlight w:val="none"/>
        </w:rPr>
        <w:t>政府性基金预算财政拨款收入支出决算表</w:t>
      </w:r>
    </w:p>
    <w:p w14:paraId="00AE2B7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9"/>
      <w:r>
        <w:rPr>
          <w:rFonts w:hint="eastAsia" w:ascii="Times New Roman" w:hAnsi="Times New Roman" w:eastAsia="仿宋_GB2312" w:cs="仿宋_GB2312"/>
          <w:color w:val="auto"/>
          <w:sz w:val="32"/>
          <w:szCs w:val="32"/>
          <w:highlight w:val="none"/>
        </w:rPr>
        <w:t>十一、</w:t>
      </w:r>
      <w:bookmarkEnd w:id="54"/>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6C42A21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30"/>
      <w:r>
        <w:rPr>
          <w:rFonts w:hint="eastAsia" w:ascii="Times New Roman" w:hAnsi="Times New Roman" w:eastAsia="仿宋_GB2312" w:cs="仿宋_GB2312"/>
          <w:color w:val="auto"/>
          <w:sz w:val="32"/>
          <w:szCs w:val="32"/>
          <w:highlight w:val="none"/>
        </w:rPr>
        <w:t>十二、</w:t>
      </w:r>
      <w:bookmarkEnd w:id="55"/>
      <w:r>
        <w:rPr>
          <w:rFonts w:hint="eastAsia" w:ascii="Times New Roman" w:hAnsi="Times New Roman" w:eastAsia="仿宋_GB2312" w:cs="仿宋_GB2312"/>
          <w:color w:val="auto"/>
          <w:sz w:val="32"/>
          <w:szCs w:val="32"/>
          <w:highlight w:val="none"/>
          <w:lang w:eastAsia="zh-CN"/>
        </w:rPr>
        <w:t>国有资本经营预算财政拨款支出决算表</w:t>
      </w:r>
    </w:p>
    <w:p w14:paraId="0D2B5DB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56" w:name="_Toc15396631"/>
      <w:r>
        <w:rPr>
          <w:rFonts w:hint="eastAsia" w:ascii="Times New Roman" w:hAnsi="Times New Roman" w:eastAsia="仿宋_GB2312" w:cs="仿宋_GB2312"/>
          <w:color w:val="auto"/>
          <w:sz w:val="32"/>
          <w:szCs w:val="32"/>
          <w:highlight w:val="none"/>
        </w:rPr>
        <w:t>十三、</w:t>
      </w:r>
      <w:bookmarkEnd w:id="56"/>
      <w:r>
        <w:rPr>
          <w:rFonts w:hint="eastAsia" w:ascii="Times New Roman" w:hAnsi="Times New Roman" w:eastAsia="仿宋_GB2312" w:cs="仿宋_GB2312"/>
          <w:color w:val="auto"/>
          <w:sz w:val="32"/>
          <w:szCs w:val="32"/>
          <w:highlight w:val="none"/>
          <w:lang w:eastAsia="zh-CN"/>
        </w:rPr>
        <w:t>财政拨款“三公”经费支出决算表</w:t>
      </w:r>
    </w:p>
    <w:p w14:paraId="543384FF">
      <w:pPr>
        <w:rPr>
          <w:rFonts w:hint="eastAsia" w:ascii="Times New Roman" w:hAnsi="Times New Roman"/>
          <w:lang w:eastAsia="zh-CN"/>
        </w:rPr>
      </w:pPr>
    </w:p>
    <w:sectPr>
      <w:footerReference r:id="rId9" w:type="first"/>
      <w:footerReference r:id="rId8"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BF55">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E2F4FD2">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E2F4FD2">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14:paraId="19D0175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7F88D">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9D0678">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249D0678">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92E28">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886909">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9886909">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36EA">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EAB691">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BEAB691">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ED046">
    <w:pPr>
      <w:pStyle w:val="1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C9710D">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48C9710D">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348367B0">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0614">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FCED91B">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2FCED91B">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F3438">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2F264C1E"/>
    <w:multiLevelType w:val="singleLevel"/>
    <w:tmpl w:val="2F264C1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C0605A2"/>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5777EB"/>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next w:val="1"/>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51.71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44.43</c:v>
                </c:pt>
              </c:numCache>
            </c:numRef>
          </c:val>
        </c:ser>
        <c:dLbls>
          <c:showLegendKey val="0"/>
          <c:showVal val="1"/>
          <c:showCatName val="0"/>
          <c:showSerName val="0"/>
          <c:showPercent val="0"/>
          <c:showBubbleSize val="0"/>
        </c:dLbls>
        <c:gapWidth val="246"/>
        <c:overlap val="-28"/>
        <c:axId val="226459250"/>
        <c:axId val="839404765"/>
      </c:barChart>
      <c:catAx>
        <c:axId val="2264592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9404765"/>
        <c:crosses val="autoZero"/>
        <c:auto val="1"/>
        <c:lblAlgn val="ctr"/>
        <c:lblOffset val="100"/>
        <c:noMultiLvlLbl val="0"/>
      </c:catAx>
      <c:valAx>
        <c:axId val="83940476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645925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33f3d9c-08d1-433b-af73-a7081bd587d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manualLayout>
          <c:xMode val="edge"/>
          <c:yMode val="edge"/>
          <c:x val="0.34972215510993"/>
          <c:y val="0.0127496812579686"/>
        </c:manualLayout>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44.43</c:v>
                </c:pt>
                <c:pt idx="1">
                  <c:v>0</c:v>
                </c:pt>
                <c:pt idx="2">
                  <c:v>0</c:v>
                </c:pt>
                <c:pt idx="3">
                  <c:v>0</c:v>
                </c:pt>
                <c:pt idx="4">
                  <c:v>0</c:v>
                </c:pt>
                <c:pt idx="5">
                  <c:v>0</c:v>
                </c:pt>
                <c:pt idx="6">
                  <c:v>0</c:v>
                </c:pt>
                <c:pt idx="7">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18a6f4e-08e5-4d70-8e3f-e1b93a51599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1"/>
              <c:layout>
                <c:manualLayout>
                  <c:x val="0.0200454363223306"/>
                  <c:y val="-0.0032181935207037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861953761860216"/>
                  <c:y val="0.01609096760351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61272217025257"/>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148336228785247"/>
                  <c:y val="0.02252735464492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44.43</c:v>
                </c:pt>
                <c:pt idx="1">
                  <c:v>0</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add43d9-60bd-4ca4-a8d3-95855c502fa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51.71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44.43</c:v>
                </c:pt>
              </c:numCache>
            </c:numRef>
          </c:val>
        </c:ser>
        <c:dLbls>
          <c:showLegendKey val="0"/>
          <c:showVal val="1"/>
          <c:showCatName val="0"/>
          <c:showSerName val="0"/>
          <c:showPercent val="0"/>
          <c:showBubbleSize val="0"/>
        </c:dLbls>
        <c:gapWidth val="246"/>
        <c:overlap val="-28"/>
        <c:axId val="92740031"/>
        <c:axId val="568546225"/>
      </c:barChart>
      <c:catAx>
        <c:axId val="9274003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8546225"/>
        <c:crosses val="autoZero"/>
        <c:auto val="1"/>
        <c:lblAlgn val="ctr"/>
        <c:lblOffset val="100"/>
        <c:noMultiLvlLbl val="0"/>
      </c:catAx>
      <c:valAx>
        <c:axId val="56854622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740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865c419-7a04-44fa-9671-65ca7c1d96d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51.71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44.43</c:v>
                </c:pt>
              </c:numCache>
            </c:numRef>
          </c:val>
        </c:ser>
        <c:dLbls>
          <c:showLegendKey val="0"/>
          <c:showVal val="1"/>
          <c:showCatName val="0"/>
          <c:showSerName val="0"/>
          <c:showPercent val="0"/>
          <c:showBubbleSize val="0"/>
        </c:dLbls>
        <c:gapWidth val="246"/>
        <c:overlap val="-28"/>
        <c:axId val="901610337"/>
        <c:axId val="573811758"/>
      </c:barChart>
      <c:catAx>
        <c:axId val="90161033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3811758"/>
        <c:crosses val="autoZero"/>
        <c:auto val="1"/>
        <c:lblAlgn val="ctr"/>
        <c:lblOffset val="100"/>
        <c:noMultiLvlLbl val="0"/>
      </c:catAx>
      <c:valAx>
        <c:axId val="57381175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161033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6e76610-efb1-40f0-b99f-2b71ad09cd3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manualLayout>
          <c:layoutTarget val="inner"/>
          <c:xMode val="edge"/>
          <c:yMode val="edge"/>
          <c:x val="0.28793186760087"/>
          <c:y val="0.2836804079898"/>
          <c:w val="0.39514375453008"/>
          <c:h val="0.695070123246919"/>
        </c:manualLayout>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1"/>
              <c:layout>
                <c:manualLayout>
                  <c:x val="-0.0446982865656817"/>
                  <c:y val="0.0030518819938962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17333002234914"/>
                  <c:y val="0.03357070193285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23785658947005"/>
                  <c:y val="-0.091352188476114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3710902209275"/>
                  <c:y val="0.02331808837859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785456441674803"/>
                  <c:y val="0.03794369754833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591969192567015"/>
                  <c:y val="0.02609209796441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一般公共服务支出</c:v>
                </c:pt>
                <c:pt idx="1">
                  <c:v>教育支出</c:v>
                </c:pt>
                <c:pt idx="2">
                  <c:v>科学技术支出</c:v>
                </c:pt>
                <c:pt idx="3">
                  <c:v>文化旅游体育与传媒支出</c:v>
                </c:pt>
                <c:pt idx="4">
                  <c:v>社会保障和就业支出</c:v>
                </c:pt>
                <c:pt idx="5">
                  <c:v>卫生健康支出</c:v>
                </c:pt>
                <c:pt idx="6">
                  <c:v>住房保障支出</c:v>
                </c:pt>
              </c:strCache>
            </c:strRef>
          </c:cat>
          <c:val>
            <c:numRef>
              <c:f>Sheet1!$B$2:$B$8</c:f>
              <c:numCache>
                <c:formatCode>General</c:formatCode>
                <c:ptCount val="7"/>
                <c:pt idx="0">
                  <c:v>0</c:v>
                </c:pt>
                <c:pt idx="1">
                  <c:v>0</c:v>
                </c:pt>
                <c:pt idx="2">
                  <c:v>0</c:v>
                </c:pt>
                <c:pt idx="3">
                  <c:v>33.34</c:v>
                </c:pt>
                <c:pt idx="4">
                  <c:v>6.52</c:v>
                </c:pt>
                <c:pt idx="5">
                  <c:v>1.45</c:v>
                </c:pt>
                <c:pt idx="6">
                  <c:v>3.13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119195430841818"/>
          <c:y val="0.088911495422177"/>
          <c:w val="0.818102806059101"/>
          <c:h val="0.14303153611393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15c233a-3e03-4836-890f-2068fffeab9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8017</Words>
  <Characters>8556</Characters>
  <Lines>61</Lines>
  <Paragraphs>17</Paragraphs>
  <TotalTime>10</TotalTime>
  <ScaleCrop>false</ScaleCrop>
  <LinksUpToDate>false</LinksUpToDate>
  <CharactersWithSpaces>8588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王巧丽</cp:lastModifiedBy>
  <cp:lastPrinted>2025-08-06T17:34:00Z</cp:lastPrinted>
  <dcterms:modified xsi:type="dcterms:W3CDTF">2025-10-16T06:35:01Z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04787F2533EB45DC91BCDE4AB213247F</vt:lpwstr>
  </property>
  <property fmtid="{D5CDD505-2E9C-101B-9397-08002B2CF9AE}" pid="4" name="KSOTemplateDocerSaveRecord">
    <vt:lpwstr>eyJoZGlkIjoiMjc5NDJjM2MxY2QxNGFjNjNlMzJlZTRiMmU5ODRjNjciLCJ1c2VySWQiOiIxNDg0MjA2MzkwIn0=</vt:lpwstr>
  </property>
</Properties>
</file>