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D1162">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425"/>
      <w:bookmarkStart w:id="1" w:name="_Toc15396475"/>
      <w:bookmarkStart w:id="2" w:name="_Toc15396597"/>
      <w:bookmarkStart w:id="3" w:name="_Toc15378441"/>
      <w:bookmarkStart w:id="4" w:name="_Toc15377193"/>
      <w:bookmarkStart w:id="5" w:name="_Toc15306267"/>
    </w:p>
    <w:p w14:paraId="359B6418">
      <w:pPr>
        <w:pStyle w:val="2"/>
        <w:rPr>
          <w:rFonts w:hint="eastAsia" w:ascii="Times New Roman" w:hAnsi="Times New Roman" w:eastAsia="方正小标宋简体" w:cs="Times New Roman"/>
          <w:color w:val="auto"/>
          <w:kern w:val="2"/>
          <w:sz w:val="72"/>
          <w:szCs w:val="72"/>
          <w:highlight w:val="none"/>
          <w:lang w:val="en-US" w:eastAsia="zh-CN" w:bidi="ar-SA"/>
        </w:rPr>
      </w:pPr>
    </w:p>
    <w:p w14:paraId="75C0804E">
      <w:pPr>
        <w:pStyle w:val="2"/>
        <w:rPr>
          <w:rFonts w:hint="eastAsia" w:ascii="Times New Roman" w:hAnsi="Times New Roman" w:eastAsia="方正小标宋简体" w:cs="Times New Roman"/>
          <w:color w:val="auto"/>
          <w:kern w:val="2"/>
          <w:sz w:val="72"/>
          <w:szCs w:val="72"/>
          <w:highlight w:val="none"/>
          <w:lang w:val="en-US" w:eastAsia="zh-CN" w:bidi="ar-SA"/>
        </w:rPr>
      </w:pPr>
    </w:p>
    <w:p w14:paraId="6D4ABF6F">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牛华镇人民政府（本级）决算</w:t>
      </w:r>
      <w:r>
        <w:rPr>
          <w:rFonts w:hint="eastAsia" w:ascii="Times New Roman" w:hAnsi="Times New Roman" w:eastAsia="方正小标宋简体" w:cs="Times New Roman"/>
          <w:color w:val="auto"/>
          <w:kern w:val="2"/>
          <w:sz w:val="44"/>
          <w:szCs w:val="44"/>
          <w:highlight w:val="none"/>
          <w:lang w:val="en-US" w:eastAsia="zh-CN" w:bidi="ar-SA"/>
        </w:rPr>
        <w:t>公开文字说明</w:t>
      </w:r>
    </w:p>
    <w:p w14:paraId="17087BCE">
      <w:pPr>
        <w:spacing w:line="600" w:lineRule="exact"/>
        <w:jc w:val="center"/>
        <w:outlineLvl w:val="0"/>
        <w:rPr>
          <w:rFonts w:ascii="Times New Roman" w:hAnsi="Times New Roman" w:eastAsia="方正小标宋简体"/>
          <w:color w:val="auto"/>
          <w:sz w:val="72"/>
          <w:szCs w:val="72"/>
          <w:highlight w:val="none"/>
        </w:rPr>
      </w:pPr>
    </w:p>
    <w:p w14:paraId="6B4A3DF9">
      <w:pPr>
        <w:pStyle w:val="20"/>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3306C242">
      <w:pPr>
        <w:rPr>
          <w:rFonts w:ascii="Times New Roman" w:hAnsi="Times New Roman"/>
        </w:rPr>
      </w:pPr>
    </w:p>
    <w:p w14:paraId="36BB3F74">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1F7D60A0">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0C580C15">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6574F184">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14:paraId="6BC875B7">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77426"/>
      <w:bookmarkStart w:id="7" w:name="_Toc15396598"/>
      <w:bookmarkStart w:id="8" w:name="_Toc15377194"/>
      <w:bookmarkStart w:id="9" w:name="_Toc15396476"/>
      <w:bookmarkStart w:id="10" w:name="_Toc15378442"/>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乐山市五通桥区牛华镇人民政府（本级）</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14:paraId="2D70C748">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14:paraId="4E82AF46">
      <w:pPr>
        <w:widowControl/>
        <w:jc w:val="center"/>
        <w:rPr>
          <w:rFonts w:ascii="Times New Roman" w:hAnsi="Times New Roman" w:eastAsia="黑体" w:cstheme="minorBidi"/>
          <w:color w:val="auto"/>
          <w:sz w:val="28"/>
          <w:szCs w:val="28"/>
          <w:highlight w:val="none"/>
        </w:rPr>
      </w:pPr>
    </w:p>
    <w:p w14:paraId="50F4C931">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w:t>
      </w:r>
      <w:r>
        <w:rPr>
          <w:rFonts w:hint="eastAsia" w:ascii="Times New Roman" w:hAnsi="Times New Roman" w:eastAsia="仿宋_GB2312" w:cs="仿宋_GB2312"/>
          <w:color w:val="auto"/>
          <w:sz w:val="32"/>
          <w:szCs w:val="32"/>
          <w:highlight w:val="none"/>
          <w:lang w:val="en-US" w:eastAsia="zh-CN"/>
        </w:rPr>
        <w:t>2025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日</w:t>
      </w:r>
    </w:p>
    <w:p w14:paraId="2D978F61">
      <w:pPr>
        <w:rPr>
          <w:rFonts w:ascii="Times New Roman" w:hAnsi="Times New Roman"/>
          <w:color w:val="auto"/>
          <w:highlight w:val="none"/>
        </w:rPr>
      </w:pPr>
    </w:p>
    <w:p w14:paraId="7BA03959">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第一部分 部门概况</w:t>
      </w:r>
      <w:r>
        <w:rPr>
          <w:rFonts w:hint="eastAsia" w:ascii="Times New Roman" w:hAnsi="Times New Roman" w:eastAsia="黑体" w:cs="黑体"/>
          <w:color w:val="auto"/>
          <w:sz w:val="32"/>
          <w:szCs w:val="32"/>
          <w:highlight w:val="none"/>
          <w:lang w:val="en-US" w:eastAsia="zh-CN"/>
        </w:rPr>
        <w:t>-------------------------------------------4-5</w:t>
      </w:r>
    </w:p>
    <w:p w14:paraId="7D2267C3">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eastAsia="仿宋_GB2312" w:cs="仿宋_GB2312"/>
          <w:color w:val="auto"/>
          <w:sz w:val="32"/>
          <w:szCs w:val="32"/>
          <w:highlight w:val="none"/>
          <w:lang w:val="en-US" w:eastAsia="zh-CN"/>
        </w:rPr>
        <w:t>---------------------------------------------4-5</w:t>
      </w:r>
    </w:p>
    <w:p w14:paraId="4B9F22E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eastAsia="仿宋_GB2312" w:cs="仿宋_GB2312"/>
          <w:color w:val="auto"/>
          <w:sz w:val="32"/>
          <w:szCs w:val="32"/>
          <w:highlight w:val="none"/>
          <w:lang w:val="en-US" w:eastAsia="zh-CN"/>
        </w:rPr>
        <w:t>----------------------------------------------5</w:t>
      </w:r>
    </w:p>
    <w:p w14:paraId="62C2BAF8">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r>
        <w:rPr>
          <w:rFonts w:hint="eastAsia" w:ascii="Times New Roman" w:hAnsi="Times New Roman" w:eastAsia="黑体" w:cs="黑体"/>
          <w:color w:val="auto"/>
          <w:sz w:val="32"/>
          <w:szCs w:val="32"/>
          <w:highlight w:val="none"/>
          <w:lang w:val="en-US" w:eastAsia="zh-CN"/>
        </w:rPr>
        <w:t>--------------------6-20</w:t>
      </w:r>
    </w:p>
    <w:p w14:paraId="30F4876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eastAsia="仿宋_GB2312" w:cs="仿宋_GB2312"/>
          <w:color w:val="auto"/>
          <w:sz w:val="32"/>
          <w:szCs w:val="32"/>
          <w:highlight w:val="none"/>
          <w:lang w:val="en-US" w:eastAsia="zh-CN"/>
        </w:rPr>
        <w:t>-----------------------6</w:t>
      </w:r>
    </w:p>
    <w:p w14:paraId="779BFE8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eastAsia="仿宋_GB2312" w:cs="仿宋_GB2312"/>
          <w:color w:val="auto"/>
          <w:sz w:val="32"/>
          <w:szCs w:val="32"/>
          <w:highlight w:val="none"/>
          <w:lang w:val="en-US" w:eastAsia="zh-CN"/>
        </w:rPr>
        <w:t>-----------------------------------6-7</w:t>
      </w:r>
    </w:p>
    <w:p w14:paraId="0CA5E30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eastAsia="仿宋_GB2312" w:cs="仿宋_GB2312"/>
          <w:color w:val="auto"/>
          <w:sz w:val="32"/>
          <w:szCs w:val="32"/>
          <w:highlight w:val="none"/>
          <w:lang w:val="en-US" w:eastAsia="zh-CN"/>
        </w:rPr>
        <w:t>-----------------------------------7-8</w:t>
      </w:r>
    </w:p>
    <w:p w14:paraId="56BA03B7">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eastAsia="仿宋_GB2312" w:cs="仿宋_GB2312"/>
          <w:color w:val="auto"/>
          <w:sz w:val="32"/>
          <w:szCs w:val="32"/>
          <w:highlight w:val="none"/>
          <w:lang w:val="en-US" w:eastAsia="zh-CN"/>
        </w:rPr>
        <w:t>-----------8</w:t>
      </w:r>
    </w:p>
    <w:p w14:paraId="7F8845E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eastAsia="仿宋_GB2312" w:cs="仿宋_GB2312"/>
          <w:color w:val="auto"/>
          <w:sz w:val="32"/>
          <w:szCs w:val="32"/>
          <w:highlight w:val="none"/>
          <w:lang w:val="en-US" w:eastAsia="zh-CN"/>
        </w:rPr>
        <w:t>-----9-16</w:t>
      </w:r>
    </w:p>
    <w:p w14:paraId="0F54D09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eastAsia="仿宋_GB2312" w:cs="仿宋_GB2312"/>
          <w:color w:val="auto"/>
          <w:sz w:val="32"/>
          <w:szCs w:val="32"/>
          <w:highlight w:val="none"/>
          <w:lang w:val="en-US" w:eastAsia="zh-CN"/>
        </w:rPr>
        <w:t>16</w:t>
      </w:r>
    </w:p>
    <w:p w14:paraId="2862CAB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eastAsia="仿宋_GB2312" w:cs="仿宋_GB2312"/>
          <w:color w:val="auto"/>
          <w:sz w:val="32"/>
          <w:szCs w:val="32"/>
          <w:highlight w:val="none"/>
          <w:lang w:val="en-US" w:eastAsia="zh-CN"/>
        </w:rPr>
        <w:t>-----16-18</w:t>
      </w:r>
    </w:p>
    <w:p w14:paraId="194F5A0A">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auto"/>
          <w:sz w:val="32"/>
          <w:szCs w:val="32"/>
          <w:highlight w:val="none"/>
          <w:lang w:val="en-US" w:eastAsia="zh-CN"/>
        </w:rPr>
        <w:t>--------------18-19</w:t>
      </w:r>
    </w:p>
    <w:p w14:paraId="764DEA7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auto"/>
          <w:sz w:val="32"/>
          <w:szCs w:val="32"/>
          <w:highlight w:val="none"/>
          <w:lang w:val="en-US" w:eastAsia="zh-CN"/>
        </w:rPr>
        <w:t>-----------19</w:t>
      </w:r>
    </w:p>
    <w:p w14:paraId="03519C9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auto"/>
          <w:sz w:val="32"/>
          <w:szCs w:val="32"/>
          <w:highlight w:val="none"/>
          <w:lang w:val="en-US" w:eastAsia="zh-CN"/>
        </w:rPr>
        <w:t>--------------------------19-20</w:t>
      </w:r>
    </w:p>
    <w:p w14:paraId="445B462D">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---------------------------------------------21-29</w:t>
      </w:r>
    </w:p>
    <w:p w14:paraId="15BD208B">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----------------------------------------------------30</w:t>
      </w:r>
    </w:p>
    <w:p w14:paraId="6110E3D1">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auto"/>
          <w:sz w:val="32"/>
          <w:szCs w:val="32"/>
          <w:highlight w:val="none"/>
          <w:lang w:val="en-US" w:eastAsia="zh-CN"/>
        </w:rPr>
        <w:t>-----------------------------------------------31（另附）</w:t>
      </w:r>
    </w:p>
    <w:p w14:paraId="4EAAB884">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14:paraId="7DD8029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14:paraId="4988DAF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14:paraId="33D9CD14">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14:paraId="47FB60CC">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14:paraId="3387688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14:paraId="26C3B7A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14:paraId="3987C42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14:paraId="425AB4A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14:paraId="3A513DBC">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14:paraId="5452B22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14:paraId="2784275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14:paraId="5AC0ABE4">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14:paraId="30DEEB32">
      <w:pPr>
        <w:pStyle w:val="3"/>
        <w:jc w:val="center"/>
        <w:rPr>
          <w:rFonts w:hint="eastAsia" w:ascii="Times New Roman" w:hAnsi="Times New Roman" w:eastAsia="方正小标宋简体" w:cs="方正小标宋简体"/>
          <w:b w:val="0"/>
          <w:color w:val="auto"/>
          <w:highlight w:val="none"/>
        </w:rPr>
      </w:pPr>
      <w:bookmarkStart w:id="12" w:name="_Toc15377196"/>
      <w:bookmarkStart w:id="13" w:name="_Toc15396599"/>
    </w:p>
    <w:p w14:paraId="410575AA">
      <w:pPr>
        <w:pStyle w:val="3"/>
        <w:jc w:val="center"/>
        <w:rPr>
          <w:rFonts w:hint="eastAsia" w:ascii="Times New Roman" w:hAnsi="Times New Roman" w:eastAsia="方正小标宋简体" w:cs="方正小标宋简体"/>
          <w:b w:val="0"/>
          <w:color w:val="auto"/>
          <w:highlight w:val="none"/>
        </w:rPr>
      </w:pPr>
    </w:p>
    <w:p w14:paraId="7B1689BB">
      <w:pPr>
        <w:pStyle w:val="3"/>
        <w:jc w:val="center"/>
        <w:rPr>
          <w:rFonts w:hint="eastAsia" w:ascii="Times New Roman" w:hAnsi="Times New Roman" w:eastAsia="方正小标宋简体" w:cs="方正小标宋简体"/>
          <w:b w:val="0"/>
          <w:color w:val="auto"/>
          <w:highlight w:val="none"/>
        </w:rPr>
      </w:pPr>
    </w:p>
    <w:p w14:paraId="31EE0B53">
      <w:pPr>
        <w:pStyle w:val="3"/>
        <w:jc w:val="center"/>
        <w:rPr>
          <w:rFonts w:hint="eastAsia" w:ascii="Times New Roman" w:hAnsi="Times New Roman" w:eastAsia="方正小标宋简体" w:cs="方正小标宋简体"/>
          <w:b w:val="0"/>
          <w:color w:val="auto"/>
          <w:highlight w:val="none"/>
        </w:rPr>
      </w:pPr>
    </w:p>
    <w:p w14:paraId="3AAE1DDC">
      <w:pPr>
        <w:pStyle w:val="3"/>
        <w:jc w:val="both"/>
        <w:rPr>
          <w:rFonts w:hint="eastAsia" w:ascii="Times New Roman" w:hAnsi="Times New Roman" w:eastAsia="方正小标宋简体" w:cs="方正小标宋简体"/>
          <w:b w:val="0"/>
          <w:color w:val="auto"/>
          <w:highlight w:val="none"/>
        </w:rPr>
      </w:pPr>
    </w:p>
    <w:p w14:paraId="7428C269">
      <w:pPr>
        <w:rPr>
          <w:rFonts w:hint="eastAsia" w:ascii="Times New Roman" w:hAnsi="Times New Roman" w:eastAsia="方正小标宋简体" w:cs="方正小标宋简体"/>
          <w:b w:val="0"/>
          <w:color w:val="auto"/>
          <w:highlight w:val="none"/>
        </w:rPr>
      </w:pPr>
    </w:p>
    <w:p w14:paraId="252EBAA9">
      <w:pPr>
        <w:pStyle w:val="13"/>
        <w:rPr>
          <w:rFonts w:hint="eastAsia"/>
        </w:rPr>
      </w:pPr>
    </w:p>
    <w:p w14:paraId="7002E1D7">
      <w:pPr>
        <w:pStyle w:val="3"/>
        <w:ind w:firstLine="440" w:firstLineChars="100"/>
        <w:jc w:val="center"/>
        <w:rPr>
          <w:rStyle w:val="29"/>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bookmarkEnd w:id="12"/>
      <w:bookmarkEnd w:id="13"/>
    </w:p>
    <w:p w14:paraId="6554728C">
      <w:pPr>
        <w:widowControl/>
        <w:jc w:val="left"/>
        <w:rPr>
          <w:rFonts w:ascii="Times New Roman" w:hAnsi="Times New Roman" w:eastAsia="黑体"/>
          <w:color w:val="auto"/>
          <w:sz w:val="32"/>
          <w:szCs w:val="32"/>
          <w:highlight w:val="none"/>
        </w:rPr>
      </w:pPr>
    </w:p>
    <w:p w14:paraId="2BB28FAC">
      <w:pPr>
        <w:pStyle w:val="4"/>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14:paraId="7BA66E18">
      <w:pPr>
        <w:pStyle w:val="36"/>
        <w:tabs>
          <w:tab w:val="left" w:pos="1083"/>
        </w:tabs>
        <w:spacing w:before="190" w:line="350" w:lineRule="auto"/>
        <w:ind w:left="420" w:leftChars="200" w:right="253" w:firstLine="640"/>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rPr>
        <w:t>我机关主要职能为：1、</w:t>
      </w:r>
      <w:r>
        <w:rPr>
          <w:rFonts w:hint="eastAsia" w:ascii="仿宋_GB2312" w:hAnsi="仿宋_GB2312" w:eastAsia="仿宋_GB2312" w:cs="仿宋_GB2312"/>
          <w:spacing w:val="13"/>
          <w:sz w:val="32"/>
          <w:szCs w:val="32"/>
        </w:rPr>
        <w:t>贯彻落实党的路线方针政策和国家法律法规以及上级党</w:t>
      </w:r>
      <w:r>
        <w:rPr>
          <w:rFonts w:hint="eastAsia" w:ascii="仿宋_GB2312" w:hAnsi="仿宋_GB2312" w:eastAsia="仿宋_GB2312" w:cs="仿宋_GB2312"/>
          <w:sz w:val="32"/>
          <w:szCs w:val="32"/>
        </w:rPr>
        <w:t>委、政府的决议、决定和命令，执行镇党委和镇人民代表大会的决议，加强农村基层政权建设，巩固党在农村的执政基础。</w:t>
      </w:r>
    </w:p>
    <w:p w14:paraId="2D236436">
      <w:pPr>
        <w:pStyle w:val="36"/>
        <w:tabs>
          <w:tab w:val="left" w:pos="1083"/>
        </w:tabs>
        <w:spacing w:before="4" w:line="350" w:lineRule="auto"/>
        <w:ind w:left="420" w:leftChars="200" w:right="253" w:firstLine="692"/>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2、组织编制本行政区域经济社会发展规划和镇国土空间规</w:t>
      </w:r>
      <w:r>
        <w:rPr>
          <w:rFonts w:hint="eastAsia" w:ascii="仿宋_GB2312" w:hAnsi="仿宋_GB2312" w:eastAsia="仿宋_GB2312" w:cs="仿宋_GB2312"/>
          <w:sz w:val="32"/>
          <w:szCs w:val="32"/>
        </w:rPr>
        <w:t>划、村（社区）规划等相关规划。负责农村基础设施和各项公益事业建设，实施乡村振兴战略，加快经济社会发展，改善群众生产生活环境。</w:t>
      </w:r>
    </w:p>
    <w:p w14:paraId="3DED59E9">
      <w:pPr>
        <w:pStyle w:val="2"/>
        <w:spacing w:before="72" w:line="350" w:lineRule="auto"/>
        <w:ind w:left="426" w:leftChars="203" w:right="264" w:firstLine="652" w:firstLineChars="20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3、指导农村经济发展，推进农业经济结构调整，促进经济增长方式转变，促进农业增效、农民增收。</w:t>
      </w:r>
    </w:p>
    <w:p w14:paraId="6BA49616">
      <w:pPr>
        <w:pStyle w:val="2"/>
        <w:spacing w:before="72" w:line="350" w:lineRule="auto"/>
        <w:ind w:left="638" w:leftChars="304" w:right="263" w:firstLine="320" w:firstLineChars="100"/>
        <w:rPr>
          <w:rFonts w:hint="eastAsia" w:hAnsi="仿宋_GB2312" w:cs="仿宋_GB2312"/>
          <w:sz w:val="32"/>
          <w:szCs w:val="32"/>
          <w:lang w:eastAsia="zh-CN"/>
        </w:rPr>
      </w:pPr>
      <w:r>
        <w:rPr>
          <w:rFonts w:hint="eastAsia" w:ascii="仿宋_GB2312" w:hAnsi="仿宋_GB2312" w:eastAsia="仿宋_GB2312" w:cs="仿宋_GB2312"/>
          <w:sz w:val="32"/>
          <w:szCs w:val="32"/>
        </w:rPr>
        <w:t>4、加强镇域内公共服务体系建设，抓好基础教育、统计 、科技、文化、体育、卫生健康、食品安全等工作，做好民政事务、就业创业、社会保障、劳动关系协调、民族宗教等工作，促进镇域内社会事业健康发展</w:t>
      </w:r>
      <w:r>
        <w:rPr>
          <w:rFonts w:hint="eastAsia" w:hAnsi="仿宋_GB2312" w:cs="仿宋_GB2312"/>
          <w:sz w:val="32"/>
          <w:szCs w:val="32"/>
          <w:lang w:eastAsia="zh-CN"/>
        </w:rPr>
        <w:t>。</w:t>
      </w:r>
    </w:p>
    <w:p w14:paraId="2101961C">
      <w:pPr>
        <w:pStyle w:val="2"/>
        <w:spacing w:before="72" w:line="350" w:lineRule="auto"/>
        <w:ind w:right="263" w:firstLine="954" w:firstLineChars="300"/>
        <w:jc w:val="left"/>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5、加强社会管理，负责或配合区级有关部门做好辖区内自然资源、生态环境保护、医疗和社会保障、市场监管、统计、粮食安全、供销合作、脱贫攻坚等工作。</w:t>
      </w:r>
    </w:p>
    <w:p w14:paraId="3B2F6F4C">
      <w:pPr>
        <w:pStyle w:val="2"/>
        <w:spacing w:before="93" w:line="350" w:lineRule="auto"/>
        <w:ind w:left="108" w:right="104" w:firstLine="639"/>
        <w:jc w:val="left"/>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6、</w:t>
      </w:r>
      <w:r>
        <w:rPr>
          <w:rFonts w:hint="eastAsia" w:ascii="仿宋_GB2312" w:hAnsi="仿宋_GB2312" w:eastAsia="仿宋_GB2312" w:cs="仿宋_GB2312"/>
          <w:spacing w:val="-11"/>
          <w:sz w:val="32"/>
          <w:szCs w:val="32"/>
        </w:rPr>
        <w:t>推进基层民主法治建设，加强普法依法治理，指导村</w:t>
      </w:r>
      <w:r>
        <w:rPr>
          <w:rFonts w:hint="eastAsia" w:ascii="仿宋_GB2312" w:hAnsi="仿宋_GB2312" w:eastAsia="仿宋_GB2312" w:cs="仿宋_GB2312"/>
          <w:sz w:val="32"/>
          <w:szCs w:val="32"/>
        </w:rPr>
        <w:t>（居） 民委员会工作，维护群众合法权益。</w:t>
      </w:r>
    </w:p>
    <w:p w14:paraId="0EFD66FE">
      <w:pPr>
        <w:pStyle w:val="2"/>
        <w:spacing w:before="93" w:line="350" w:lineRule="auto"/>
        <w:ind w:left="108" w:right="105" w:firstLine="63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7、承担辖区平安建设、社会治安综合治理、公共安全、安全</w:t>
      </w:r>
      <w:r>
        <w:rPr>
          <w:rFonts w:hint="eastAsia" w:ascii="仿宋_GB2312" w:hAnsi="仿宋_GB2312" w:eastAsia="仿宋_GB2312" w:cs="仿宋_GB2312"/>
          <w:spacing w:val="-11"/>
          <w:sz w:val="32"/>
          <w:szCs w:val="32"/>
        </w:rPr>
        <w:t>生产及应急管理等有关工作，处理群众来信来访，反映社情民意， 化解矛盾纠纷，维护社会安全稳定。</w:t>
      </w:r>
    </w:p>
    <w:p w14:paraId="1B0083EB">
      <w:pPr>
        <w:pStyle w:val="2"/>
        <w:spacing w:before="93" w:line="350" w:lineRule="auto"/>
        <w:ind w:left="108" w:right="263" w:firstLine="63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8、负责制定完善权力清单、责任清单、公共服务清单、建立清单动态调整和公示机制，推进政务公开，接受群众监督，增强政府公信力。</w:t>
      </w:r>
    </w:p>
    <w:p w14:paraId="77D26FE4">
      <w:pPr>
        <w:pStyle w:val="36"/>
        <w:tabs>
          <w:tab w:val="left" w:pos="1070"/>
        </w:tabs>
        <w:spacing w:before="4"/>
        <w:ind w:left="420" w:leftChars="200" w:firstLine="316"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9、负责国防教育、兵役征集、后备力量建设等有关工作。</w:t>
      </w:r>
    </w:p>
    <w:p w14:paraId="24EA5D02">
      <w:pPr>
        <w:pStyle w:val="36"/>
        <w:tabs>
          <w:tab w:val="left" w:pos="1230"/>
        </w:tabs>
        <w:spacing w:before="190" w:line="350" w:lineRule="auto"/>
        <w:ind w:left="319" w:leftChars="152" w:right="263" w:firstLine="292" w:firstLineChars="100"/>
        <w:jc w:val="left"/>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10、承担法律、法规、规章规定的其他职能和上级党委、政府交办的其他任务。</w:t>
      </w:r>
    </w:p>
    <w:p w14:paraId="56813A36">
      <w:pPr>
        <w:rPr>
          <w:rFonts w:hint="eastAsia"/>
          <w:lang w:eastAsia="zh-CN"/>
        </w:rPr>
      </w:pPr>
    </w:p>
    <w:p w14:paraId="1B0B9ED0">
      <w:pPr>
        <w:numPr>
          <w:ilvl w:val="0"/>
          <w:numId w:val="0"/>
        </w:numPr>
        <w:rPr>
          <w:rFonts w:hint="eastAsia"/>
          <w:lang w:eastAsia="zh-CN"/>
        </w:rPr>
      </w:pPr>
    </w:p>
    <w:p w14:paraId="0070894C">
      <w:pPr>
        <w:pStyle w:val="4"/>
        <w:rPr>
          <w:rStyle w:val="30"/>
          <w:rFonts w:ascii="Times New Roman" w:hAnsi="Times New Roman"/>
          <w:b w:val="0"/>
          <w:bCs w:val="0"/>
          <w:color w:val="auto"/>
          <w:highlight w:val="none"/>
        </w:rPr>
      </w:pPr>
      <w:bookmarkStart w:id="14" w:name="_Toc15396601"/>
      <w:bookmarkStart w:id="15" w:name="_Toc15377200"/>
      <w:r>
        <w:rPr>
          <w:rFonts w:hint="eastAsia" w:ascii="Times New Roman" w:hAnsi="Times New Roman" w:eastAsia="黑体"/>
          <w:b w:val="0"/>
          <w:color w:val="auto"/>
          <w:highlight w:val="none"/>
        </w:rPr>
        <w:t>二、机</w:t>
      </w:r>
      <w:r>
        <w:rPr>
          <w:rStyle w:val="30"/>
          <w:rFonts w:hint="eastAsia" w:ascii="Times New Roman" w:hAnsi="Times New Roman" w:eastAsia="黑体"/>
          <w:b w:val="0"/>
          <w:bCs w:val="0"/>
          <w:color w:val="auto"/>
          <w:highlight w:val="none"/>
        </w:rPr>
        <w:t>构设置</w:t>
      </w:r>
      <w:bookmarkEnd w:id="14"/>
      <w:bookmarkEnd w:id="15"/>
    </w:p>
    <w:p w14:paraId="2FE12116">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乐山市五通桥区牛华镇人民政府（本级）</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14:paraId="38B7CF95">
      <w:pPr>
        <w:pStyle w:val="2"/>
        <w:adjustRightInd w:val="0"/>
        <w:snapToGrid w:val="0"/>
        <w:spacing w:before="93" w:line="600" w:lineRule="exact"/>
        <w:ind w:firstLine="672" w:firstLineChars="210"/>
        <w:rPr>
          <w:rFonts w:hint="default" w:ascii="仿宋_GB2312" w:hAnsi="仿宋_GB2312" w:eastAsia="仿宋_GB2312" w:cs="仿宋_GB2312"/>
          <w:color w:val="000000"/>
          <w:sz w:val="32"/>
          <w:szCs w:val="32"/>
          <w:lang w:val="en-US" w:eastAsia="zh-CN"/>
        </w:rPr>
      </w:pPr>
      <w:r>
        <w:rPr>
          <w:rFonts w:hint="eastAsia" w:hAnsi="仿宋_GB2312" w:cs="仿宋_GB2312"/>
          <w:color w:val="000000"/>
          <w:sz w:val="32"/>
          <w:szCs w:val="32"/>
          <w:lang w:val="en-US" w:eastAsia="zh-CN"/>
        </w:rPr>
        <w:t>1、乐山市五通桥区牛华镇人民政府本级</w:t>
      </w:r>
    </w:p>
    <w:p w14:paraId="7836D155">
      <w:pPr>
        <w:widowControl/>
        <w:jc w:val="left"/>
        <w:rPr>
          <w:rFonts w:ascii="Times New Roman" w:hAnsi="Times New Roman" w:eastAsia="仿宋"/>
          <w:color w:val="auto"/>
          <w:sz w:val="32"/>
          <w:szCs w:val="32"/>
          <w:highlight w:val="none"/>
        </w:rPr>
      </w:pPr>
    </w:p>
    <w:p w14:paraId="7EDA4D71">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14:paraId="4F43A273">
      <w:pPr>
        <w:pStyle w:val="3"/>
        <w:jc w:val="center"/>
        <w:rPr>
          <w:rFonts w:hint="eastAsia" w:ascii="Times New Roman" w:hAnsi="Times New Roman" w:eastAsia="方正小标宋简体" w:cs="方正小标宋简体"/>
          <w:b w:val="0"/>
          <w:color w:val="auto"/>
          <w:highlight w:val="none"/>
        </w:rPr>
      </w:pPr>
      <w:bookmarkStart w:id="16" w:name="_Toc15377204"/>
      <w:bookmarkStart w:id="17"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6"/>
      <w:bookmarkEnd w:id="17"/>
    </w:p>
    <w:p w14:paraId="76502A8B">
      <w:pPr>
        <w:rPr>
          <w:rFonts w:ascii="Times New Roman" w:hAnsi="Times New Roman"/>
          <w:color w:val="auto"/>
          <w:highlight w:val="none"/>
        </w:rPr>
      </w:pPr>
    </w:p>
    <w:p w14:paraId="639B554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8" w:name="_Toc15396603"/>
      <w:bookmarkStart w:id="19"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8"/>
      <w:bookmarkEnd w:id="19"/>
    </w:p>
    <w:p w14:paraId="64ACD54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2068.77</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总计各减少</w:t>
      </w:r>
      <w:r>
        <w:rPr>
          <w:rFonts w:hint="eastAsia" w:eastAsia="仿宋_GB2312" w:cs="仿宋_GB2312"/>
          <w:color w:val="auto"/>
          <w:sz w:val="32"/>
          <w:szCs w:val="32"/>
          <w:highlight w:val="none"/>
          <w:lang w:val="en-US" w:eastAsia="zh-CN"/>
        </w:rPr>
        <w:t>482.37</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18.91</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政府性基金收入减少、相关项目结算减少。</w:t>
      </w:r>
    </w:p>
    <w:p w14:paraId="4CA3780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val="en-US" w:eastAsia="zh-CN"/>
        </w:rPr>
        <w:drawing>
          <wp:anchor distT="0" distB="0" distL="114300" distR="114300" simplePos="0" relativeHeight="251660288" behindDoc="0" locked="0" layoutInCell="1" allowOverlap="1">
            <wp:simplePos x="0" y="0"/>
            <wp:positionH relativeFrom="column">
              <wp:posOffset>353695</wp:posOffset>
            </wp:positionH>
            <wp:positionV relativeFrom="paragraph">
              <wp:posOffset>292100</wp:posOffset>
            </wp:positionV>
            <wp:extent cx="4752340" cy="2864485"/>
            <wp:effectExtent l="4445" t="4445" r="5715" b="762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14:paraId="15F7A6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14:paraId="62DBCE7E">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r>
        <w:rPr>
          <w:rFonts w:hint="eastAsia" w:ascii="Times New Roman" w:hAnsi="Times New Roman" w:eastAsia="黑体"/>
          <w:color w:val="auto"/>
          <w:sz w:val="32"/>
          <w:szCs w:val="32"/>
          <w:highlight w:val="none"/>
          <w:lang w:eastAsia="zh-CN"/>
        </w:rPr>
        <w:t>二、收入决算情况说明</w:t>
      </w:r>
      <w:bookmarkEnd w:id="20"/>
      <w:bookmarkEnd w:id="21"/>
    </w:p>
    <w:p w14:paraId="1003E06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2068.77万元，其中：一般公共预算财政拨款收入1805.94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87.29</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262.83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12.7</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03A0DCC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135255</wp:posOffset>
            </wp:positionH>
            <wp:positionV relativeFrom="paragraph">
              <wp:posOffset>51435</wp:posOffset>
            </wp:positionV>
            <wp:extent cx="5256530" cy="3880485"/>
            <wp:effectExtent l="4445" t="4445" r="15875" b="2032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607C7B94">
      <w:pPr>
        <w:ind w:firstLine="1120" w:firstLineChars="3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37512230">
      <w:pPr>
        <w:ind w:firstLine="800" w:firstLineChars="250"/>
        <w:rPr>
          <w:rFonts w:hint="eastAsia" w:ascii="Times New Roman" w:hAnsi="Times New Roman" w:eastAsia="仿宋_GB2312" w:cs="仿宋_GB2312"/>
          <w:color w:val="auto"/>
          <w:sz w:val="32"/>
          <w:szCs w:val="32"/>
          <w:highlight w:val="none"/>
          <w:lang w:eastAsia="zh-CN"/>
        </w:rPr>
      </w:pPr>
    </w:p>
    <w:p w14:paraId="13739731">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22" w:name="_Toc15396605"/>
      <w:bookmarkStart w:id="23"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22"/>
      <w:bookmarkEnd w:id="23"/>
    </w:p>
    <w:p w14:paraId="569820EA">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2068.77</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1464.68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70.79</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604.09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29.2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50174DFE">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39931DC1">
      <w:pPr>
        <w:ind w:firstLine="800" w:firstLineChars="250"/>
        <w:rPr>
          <w:rFonts w:hint="eastAsia" w:ascii="Times New Roman" w:hAnsi="Times New Roman" w:eastAsia="仿宋_GB2312" w:cs="仿宋_GB2312"/>
          <w:color w:val="auto"/>
          <w:sz w:val="32"/>
          <w:szCs w:val="32"/>
          <w:highlight w:val="none"/>
          <w:lang w:eastAsia="zh-CN"/>
        </w:rPr>
      </w:pPr>
    </w:p>
    <w:p w14:paraId="5B61D11C">
      <w:pPr>
        <w:ind w:firstLine="800" w:firstLineChars="250"/>
        <w:rPr>
          <w:rFonts w:hint="eastAsia" w:ascii="Times New Roman" w:hAnsi="Times New Roman" w:eastAsia="仿宋_GB2312" w:cs="仿宋_GB2312"/>
          <w:color w:val="auto"/>
          <w:sz w:val="32"/>
          <w:szCs w:val="32"/>
          <w:highlight w:val="none"/>
          <w:lang w:eastAsia="zh-CN"/>
        </w:rPr>
      </w:pPr>
    </w:p>
    <w:p w14:paraId="1AB7AC20">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961890" cy="3035935"/>
            <wp:effectExtent l="4445" t="4445" r="5715"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1992408">
      <w:pPr>
        <w:ind w:firstLine="1440" w:firstLineChars="4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545D796A">
      <w:pPr>
        <w:ind w:firstLine="800" w:firstLineChars="250"/>
        <w:rPr>
          <w:rFonts w:hint="eastAsia" w:ascii="Times New Roman" w:hAnsi="Times New Roman" w:eastAsia="仿宋_GB2312" w:cs="仿宋_GB2312"/>
          <w:color w:val="auto"/>
          <w:sz w:val="32"/>
          <w:szCs w:val="32"/>
          <w:highlight w:val="none"/>
          <w:lang w:eastAsia="zh-CN"/>
        </w:rPr>
      </w:pPr>
    </w:p>
    <w:p w14:paraId="2352334E">
      <w:pPr>
        <w:spacing w:line="600" w:lineRule="exact"/>
        <w:ind w:firstLine="640" w:firstLineChars="200"/>
        <w:outlineLvl w:val="1"/>
        <w:rPr>
          <w:rStyle w:val="30"/>
          <w:rFonts w:ascii="Times New Roman" w:hAnsi="Times New Roman" w:eastAsia="黑体"/>
          <w:b w:val="0"/>
          <w:color w:val="auto"/>
          <w:highlight w:val="none"/>
        </w:rPr>
      </w:pPr>
      <w:bookmarkStart w:id="24" w:name="_Toc15396606"/>
      <w:bookmarkStart w:id="25" w:name="_Toc15377208"/>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24"/>
      <w:bookmarkEnd w:id="25"/>
    </w:p>
    <w:p w14:paraId="60521BB6">
      <w:pPr>
        <w:spacing w:line="600" w:lineRule="exact"/>
        <w:ind w:firstLine="640"/>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2068.77</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万元。与2023年度相比，财政拨款收入总计、支出总计各减少</w:t>
      </w:r>
      <w:r>
        <w:rPr>
          <w:rFonts w:hint="eastAsia" w:eastAsia="仿宋_GB2312" w:cs="仿宋_GB2312"/>
          <w:color w:val="auto"/>
          <w:kern w:val="2"/>
          <w:sz w:val="32"/>
          <w:szCs w:val="32"/>
          <w:highlight w:val="none"/>
          <w:lang w:val="en-US" w:eastAsia="zh-CN" w:bidi="ar-SA"/>
        </w:rPr>
        <w:t>482.37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18.91</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政府性基金收入减少、相关项目结算减少。</w:t>
      </w:r>
    </w:p>
    <w:p w14:paraId="37551638">
      <w:pPr>
        <w:pStyle w:val="2"/>
        <w:rPr>
          <w:rFonts w:hint="eastAsia" w:eastAsia="仿宋_GB2312" w:cs="仿宋_GB2312"/>
          <w:color w:val="auto"/>
          <w:sz w:val="32"/>
          <w:szCs w:val="32"/>
          <w:highlight w:val="none"/>
          <w:lang w:val="en-US" w:eastAsia="zh-CN"/>
        </w:rPr>
      </w:pPr>
      <w:r>
        <w:rPr>
          <w:rFonts w:hint="eastAsia" w:eastAsia="仿宋_GB2312" w:cs="仿宋_GB2312"/>
          <w:color w:val="auto"/>
          <w:sz w:val="32"/>
          <w:szCs w:val="32"/>
          <w:highlight w:val="none"/>
          <w:lang w:val="en-US" w:eastAsia="zh-CN"/>
        </w:rPr>
        <w:drawing>
          <wp:inline distT="0" distB="0" distL="114300" distR="114300">
            <wp:extent cx="5103495" cy="2312035"/>
            <wp:effectExtent l="4445" t="4445" r="1651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CB64A48">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074DBE12">
      <w:pPr>
        <w:spacing w:line="600" w:lineRule="exact"/>
        <w:ind w:firstLine="640" w:firstLineChars="200"/>
        <w:outlineLvl w:val="1"/>
        <w:rPr>
          <w:rStyle w:val="30"/>
          <w:rFonts w:ascii="Times New Roman" w:hAnsi="Times New Roman" w:eastAsia="黑体"/>
          <w:b w:val="0"/>
          <w:color w:val="auto"/>
          <w:highlight w:val="none"/>
        </w:rPr>
      </w:pPr>
      <w:bookmarkStart w:id="26" w:name="_Toc15377209"/>
      <w:bookmarkStart w:id="27"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6"/>
      <w:bookmarkEnd w:id="27"/>
    </w:p>
    <w:p w14:paraId="518D81B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14:paraId="683B6BA3">
      <w:pPr>
        <w:spacing w:line="600" w:lineRule="exact"/>
        <w:ind w:firstLine="640"/>
        <w:rPr>
          <w:rFonts w:hint="eastAsia"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1805.94</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87.29</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%。与2023年度相比，一般公共预算财政拨款支出减少446.88万元，下降19.84%。主要变动原因是</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政府性基金收入减少、相关项目结算减少。</w:t>
      </w:r>
    </w:p>
    <w:p w14:paraId="39158CC9">
      <w:pPr>
        <w:pStyle w:val="2"/>
        <w:rPr>
          <w:rFonts w:hint="eastAsia" w:eastAsia="仿宋_GB2312" w:cs="仿宋_GB2312"/>
          <w:color w:val="auto"/>
          <w:sz w:val="32"/>
          <w:szCs w:val="32"/>
          <w:highlight w:val="none"/>
          <w:lang w:val="en-US" w:eastAsia="zh-CN"/>
        </w:rPr>
      </w:pPr>
      <w:r>
        <w:rPr>
          <w:rFonts w:hint="eastAsia" w:eastAsia="仿宋_GB2312" w:cs="仿宋_GB2312"/>
          <w:color w:val="auto"/>
          <w:sz w:val="32"/>
          <w:szCs w:val="32"/>
          <w:highlight w:val="none"/>
          <w:lang w:val="en-US" w:eastAsia="zh-CN"/>
        </w:rPr>
        <w:drawing>
          <wp:inline distT="0" distB="0" distL="114300" distR="114300">
            <wp:extent cx="5256530" cy="2988310"/>
            <wp:effectExtent l="5080" t="4445" r="15240" b="1714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C4F0656">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247B501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8FA5A5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14:paraId="0F4DF400">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1805.94</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586.11</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32.45</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公共安全支出9.88万元，占0.55%；</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%；科学技术支出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%；文化旅游体育与传媒支出</w:t>
      </w:r>
      <w:r>
        <w:rPr>
          <w:rFonts w:hint="eastAsia" w:eastAsia="仿宋_GB2312" w:cs="仿宋_GB2312"/>
          <w:color w:val="auto"/>
          <w:kern w:val="2"/>
          <w:sz w:val="32"/>
          <w:szCs w:val="32"/>
          <w:highlight w:val="none"/>
          <w:lang w:val="en-US" w:eastAsia="zh-CN" w:bidi="ar-SA"/>
        </w:rPr>
        <w:t>6.28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0.35</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415.39</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23</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33.48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1.85</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节能环保支出22.23万元，占1.23%；城乡社区支出28.87万元，占1.6%；农林水支出656.42万元，占36.35%；资源勘探工业信息等支出2.25万元，占0.12%；</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44.57</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2.47</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灾害防治及应急管理支出0.46万元，占0.03%。</w:t>
      </w:r>
    </w:p>
    <w:p w14:paraId="3B8C9202">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anchor distT="0" distB="0" distL="114300" distR="114300" simplePos="0" relativeHeight="251662336" behindDoc="0" locked="0" layoutInCell="1" allowOverlap="1">
            <wp:simplePos x="0" y="0"/>
            <wp:positionH relativeFrom="column">
              <wp:posOffset>325120</wp:posOffset>
            </wp:positionH>
            <wp:positionV relativeFrom="paragraph">
              <wp:posOffset>337820</wp:posOffset>
            </wp:positionV>
            <wp:extent cx="4923790" cy="3778885"/>
            <wp:effectExtent l="4445" t="4445" r="5715" b="762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eastAsia="仿宋_GB2312" w:cs="仿宋_GB2312"/>
          <w:color w:val="auto"/>
          <w:kern w:val="2"/>
          <w:sz w:val="32"/>
          <w:szCs w:val="32"/>
          <w:highlight w:val="none"/>
          <w:lang w:val="en-US" w:eastAsia="zh-CN" w:bidi="ar-SA"/>
        </w:rPr>
        <w:t xml:space="preserve">  </w:t>
      </w: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1DB202F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EA0D46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14:paraId="4FBD950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1" w:name="_Toc15377213"/>
      <w:bookmarkStart w:id="32" w:name="_Toc15377444"/>
      <w:bookmarkStart w:id="33" w:name="_Toc15378460"/>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1805.94</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1"/>
      <w:bookmarkEnd w:id="32"/>
      <w:bookmarkEnd w:id="33"/>
    </w:p>
    <w:p w14:paraId="4DCABA3F">
      <w:pPr>
        <w:tabs>
          <w:tab w:val="left" w:pos="312"/>
        </w:tabs>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Style w:val="18"/>
          <w:rFonts w:hint="eastAsia" w:ascii="仿宋_GB2312" w:hAnsi="仿宋_GB2312" w:eastAsia="仿宋_GB2312" w:cs="仿宋_GB2312"/>
          <w:bCs/>
          <w:sz w:val="32"/>
          <w:szCs w:val="32"/>
        </w:rPr>
        <w:t>201： 一般公共服务（类）支出，支出决算为</w:t>
      </w:r>
      <w:r>
        <w:rPr>
          <w:rStyle w:val="18"/>
          <w:rFonts w:hint="eastAsia" w:ascii="仿宋_GB2312" w:hAnsi="仿宋_GB2312" w:eastAsia="仿宋_GB2312" w:cs="仿宋_GB2312"/>
          <w:bCs/>
          <w:sz w:val="32"/>
          <w:szCs w:val="32"/>
          <w:lang w:val="en-US" w:eastAsia="zh-CN"/>
        </w:rPr>
        <w:t>586.11</w:t>
      </w:r>
      <w:r>
        <w:rPr>
          <w:rStyle w:val="18"/>
          <w:rFonts w:hint="eastAsia" w:ascii="仿宋_GB2312" w:hAnsi="仿宋_GB2312" w:eastAsia="仿宋_GB2312" w:cs="仿宋_GB2312"/>
          <w:bCs/>
          <w:sz w:val="32"/>
          <w:szCs w:val="32"/>
        </w:rPr>
        <w:t>万元，完成预算100%，支出明细如下：</w:t>
      </w:r>
    </w:p>
    <w:p w14:paraId="7466F191">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人大事务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其他人大事务支出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4.15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8224886">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政府办公厅（室）及相关机构事务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563.27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3CA5385">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政府办公厅（室）及相关机构事务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其他政府办公厅（室）及相关机构事务支出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11.01</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9A9D869">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党委办公厅（室）及相关机构事务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4686A43">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市场监督管理事务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食品安全监管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0.93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D1F4D79">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市场监督管理事务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其他市场监督管理事务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1.76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405192F">
      <w:pPr>
        <w:tabs>
          <w:tab w:val="left" w:pos="312"/>
        </w:tabs>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204：</w:t>
      </w:r>
      <w:r>
        <w:rPr>
          <w:rStyle w:val="18"/>
          <w:rFonts w:hint="eastAsia" w:ascii="仿宋_GB2312" w:hAnsi="仿宋_GB2312" w:eastAsia="仿宋_GB2312" w:cs="仿宋_GB2312"/>
          <w:bCs/>
          <w:sz w:val="32"/>
          <w:szCs w:val="32"/>
          <w:lang w:val="en-US" w:eastAsia="zh-CN"/>
        </w:rPr>
        <w:t>公共安全</w:t>
      </w:r>
      <w:r>
        <w:rPr>
          <w:rStyle w:val="18"/>
          <w:rFonts w:hint="eastAsia" w:ascii="仿宋_GB2312" w:hAnsi="仿宋_GB2312" w:eastAsia="仿宋_GB2312" w:cs="仿宋_GB2312"/>
          <w:bCs/>
          <w:sz w:val="32"/>
          <w:szCs w:val="32"/>
        </w:rPr>
        <w:t>（类）支出，支出决算为</w:t>
      </w:r>
      <w:r>
        <w:rPr>
          <w:rStyle w:val="18"/>
          <w:rFonts w:hint="eastAsia" w:ascii="仿宋_GB2312" w:hAnsi="仿宋_GB2312" w:eastAsia="仿宋_GB2312" w:cs="仿宋_GB2312"/>
          <w:bCs/>
          <w:sz w:val="32"/>
          <w:szCs w:val="32"/>
          <w:lang w:val="en-US" w:eastAsia="zh-CN"/>
        </w:rPr>
        <w:t>9.88</w:t>
      </w:r>
      <w:r>
        <w:rPr>
          <w:rStyle w:val="18"/>
          <w:rFonts w:hint="eastAsia" w:ascii="仿宋_GB2312" w:hAnsi="仿宋_GB2312" w:eastAsia="仿宋_GB2312" w:cs="仿宋_GB2312"/>
          <w:bCs/>
          <w:sz w:val="32"/>
          <w:szCs w:val="32"/>
        </w:rPr>
        <w:t>万元，完成预算100%，支出明细如下：</w:t>
      </w:r>
    </w:p>
    <w:p w14:paraId="00084D3C">
      <w:pPr>
        <w:pStyle w:val="2"/>
        <w:numPr>
          <w:ilvl w:val="0"/>
          <w:numId w:val="3"/>
        </w:numPr>
        <w:ind w:firstLine="640" w:firstLineChars="200"/>
        <w:rPr>
          <w:rFonts w:hint="default"/>
          <w:lang w:val="en-US" w:eastAsia="zh-CN"/>
        </w:rPr>
      </w:pPr>
      <w:r>
        <w:rPr>
          <w:rFonts w:hint="eastAsia" w:ascii="Times New Roman" w:cs="仿宋_GB2312"/>
          <w:color w:val="auto"/>
          <w:kern w:val="2"/>
          <w:sz w:val="32"/>
          <w:szCs w:val="32"/>
          <w:highlight w:val="none"/>
          <w:lang w:val="en-US" w:eastAsia="zh-CN" w:bidi="ar-SA"/>
        </w:rPr>
        <w:t>公共安全支出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公安</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9.88</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869FDA9">
      <w:pPr>
        <w:tabs>
          <w:tab w:val="left" w:pos="312"/>
        </w:tabs>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207：</w:t>
      </w:r>
      <w:r>
        <w:rPr>
          <w:rStyle w:val="18"/>
          <w:rFonts w:hint="eastAsia" w:ascii="仿宋_GB2312" w:hAnsi="仿宋_GB2312" w:eastAsia="仿宋_GB2312" w:cs="仿宋_GB2312"/>
          <w:bCs/>
          <w:sz w:val="32"/>
          <w:szCs w:val="32"/>
          <w:lang w:val="en-US" w:eastAsia="zh-CN"/>
        </w:rPr>
        <w:t>文化旅游体育与传媒</w:t>
      </w:r>
      <w:r>
        <w:rPr>
          <w:rStyle w:val="18"/>
          <w:rFonts w:hint="eastAsia" w:ascii="仿宋_GB2312" w:hAnsi="仿宋_GB2312" w:eastAsia="仿宋_GB2312" w:cs="仿宋_GB2312"/>
          <w:bCs/>
          <w:sz w:val="32"/>
          <w:szCs w:val="32"/>
        </w:rPr>
        <w:t>（类）支出，支出决算为</w:t>
      </w:r>
      <w:r>
        <w:rPr>
          <w:rStyle w:val="18"/>
          <w:rFonts w:hint="eastAsia" w:ascii="仿宋_GB2312" w:hAnsi="仿宋_GB2312" w:eastAsia="仿宋_GB2312" w:cs="仿宋_GB2312"/>
          <w:bCs/>
          <w:sz w:val="32"/>
          <w:szCs w:val="32"/>
          <w:lang w:val="en-US" w:eastAsia="zh-CN"/>
        </w:rPr>
        <w:t>6.28</w:t>
      </w:r>
      <w:r>
        <w:rPr>
          <w:rStyle w:val="18"/>
          <w:rFonts w:hint="eastAsia" w:ascii="仿宋_GB2312" w:hAnsi="仿宋_GB2312" w:eastAsia="仿宋_GB2312" w:cs="仿宋_GB2312"/>
          <w:bCs/>
          <w:sz w:val="32"/>
          <w:szCs w:val="32"/>
        </w:rPr>
        <w:t>万元，完成预算100%，支出明细如下：</w:t>
      </w:r>
    </w:p>
    <w:p w14:paraId="2AD56E94">
      <w:pPr>
        <w:pStyle w:val="2"/>
        <w:numPr>
          <w:ilvl w:val="0"/>
          <w:numId w:val="4"/>
        </w:numPr>
        <w:ind w:firstLine="640" w:firstLineChars="200"/>
        <w:rPr>
          <w:rFonts w:hint="default"/>
          <w:lang w:val="en-US" w:eastAsia="zh-CN"/>
        </w:rPr>
      </w:pPr>
      <w:r>
        <w:rPr>
          <w:rFonts w:hint="eastAsia" w:ascii="Times New Roman" w:cs="仿宋_GB2312"/>
          <w:color w:val="auto"/>
          <w:kern w:val="2"/>
          <w:sz w:val="32"/>
          <w:szCs w:val="32"/>
          <w:highlight w:val="none"/>
          <w:lang w:val="en-US" w:eastAsia="zh-CN" w:bidi="ar-SA"/>
        </w:rPr>
        <w:t>文化旅游体育与传媒支出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文化和旅游</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群众文化</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1.05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612CBDE">
      <w:pPr>
        <w:pStyle w:val="2"/>
        <w:numPr>
          <w:ilvl w:val="0"/>
          <w:numId w:val="4"/>
        </w:numPr>
        <w:ind w:firstLine="640" w:firstLineChars="200"/>
        <w:rPr>
          <w:rFonts w:hint="default"/>
          <w:lang w:val="en-US" w:eastAsia="zh-CN"/>
        </w:rPr>
      </w:pPr>
      <w:r>
        <w:rPr>
          <w:rFonts w:hint="eastAsia" w:ascii="Times New Roman" w:cs="仿宋_GB2312"/>
          <w:color w:val="auto"/>
          <w:kern w:val="2"/>
          <w:sz w:val="32"/>
          <w:szCs w:val="32"/>
          <w:highlight w:val="none"/>
          <w:lang w:val="en-US" w:eastAsia="zh-CN" w:bidi="ar-SA"/>
        </w:rPr>
        <w:t>文化旅游体育与传媒支出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文化和旅游</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其他文化和旅游支出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5.23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F062350">
      <w:pPr>
        <w:tabs>
          <w:tab w:val="left" w:pos="312"/>
        </w:tabs>
        <w:spacing w:line="600" w:lineRule="exact"/>
        <w:ind w:firstLine="643" w:firstLineChars="200"/>
        <w:rPr>
          <w:rStyle w:val="18"/>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208：</w:t>
      </w:r>
      <w:r>
        <w:rPr>
          <w:rStyle w:val="18"/>
          <w:rFonts w:hint="eastAsia" w:ascii="仿宋_GB2312" w:hAnsi="仿宋_GB2312" w:eastAsia="仿宋_GB2312" w:cs="仿宋_GB2312"/>
          <w:bCs/>
          <w:sz w:val="32"/>
          <w:szCs w:val="32"/>
          <w:lang w:val="en-US" w:eastAsia="zh-CN"/>
        </w:rPr>
        <w:t>社会保障和就业</w:t>
      </w:r>
      <w:r>
        <w:rPr>
          <w:rStyle w:val="18"/>
          <w:rFonts w:hint="eastAsia" w:ascii="仿宋_GB2312" w:hAnsi="仿宋_GB2312" w:eastAsia="仿宋_GB2312" w:cs="仿宋_GB2312"/>
          <w:bCs/>
          <w:sz w:val="32"/>
          <w:szCs w:val="32"/>
        </w:rPr>
        <w:t>（类）支出，支出决算为</w:t>
      </w:r>
      <w:r>
        <w:rPr>
          <w:rStyle w:val="18"/>
          <w:rFonts w:hint="eastAsia" w:ascii="仿宋_GB2312" w:hAnsi="仿宋_GB2312" w:eastAsia="仿宋_GB2312" w:cs="仿宋_GB2312"/>
          <w:bCs/>
          <w:sz w:val="32"/>
          <w:szCs w:val="32"/>
          <w:lang w:val="en-US" w:eastAsia="zh-CN"/>
        </w:rPr>
        <w:t>415.39</w:t>
      </w:r>
      <w:r>
        <w:rPr>
          <w:rStyle w:val="18"/>
          <w:rFonts w:hint="eastAsia" w:ascii="仿宋_GB2312" w:hAnsi="仿宋_GB2312" w:eastAsia="仿宋_GB2312" w:cs="仿宋_GB2312"/>
          <w:bCs/>
          <w:sz w:val="32"/>
          <w:szCs w:val="32"/>
        </w:rPr>
        <w:t>万元，完成预算100%，支出明细如下：</w:t>
      </w:r>
    </w:p>
    <w:p w14:paraId="2ED41B2E">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人力资源和社会保障管理事务支出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其他人力资源和社会保障管理事务支出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1.08</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38B3D05">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民政管理事务支出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基层政权建设和社区治理</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259.36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C167BE4">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民政管理事务支出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其他民政管理事务支出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23D1F55">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机关事业单位基本养老保险缴费支出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51.26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561321E">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机关事业单位职业年金缴费支出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25.63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AD647F2">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其他行政事业单位养老支出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30.1</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84A1E22">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就业补助</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公益性岗位补贴</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28.72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C26136D">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就业补助</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其他就业补助支出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4.03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061085B">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抚恤</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其他优抚支出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5.2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6FB0FD5">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残疾人事业</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其他残疾人事业支出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1.95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F46635A">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临时救助</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临时救助支出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0.56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DCDCCD5">
      <w:pPr>
        <w:pStyle w:val="2"/>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4.79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0A38440">
      <w:pPr>
        <w:tabs>
          <w:tab w:val="left" w:pos="312"/>
        </w:tabs>
        <w:spacing w:line="600" w:lineRule="exact"/>
        <w:ind w:firstLine="643" w:firstLineChars="200"/>
        <w:rPr>
          <w:rStyle w:val="18"/>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210：</w:t>
      </w:r>
      <w:r>
        <w:rPr>
          <w:rStyle w:val="18"/>
          <w:rFonts w:hint="eastAsia" w:ascii="仿宋_GB2312" w:hAnsi="仿宋_GB2312" w:eastAsia="仿宋_GB2312" w:cs="仿宋_GB2312"/>
          <w:bCs/>
          <w:sz w:val="32"/>
          <w:szCs w:val="32"/>
          <w:lang w:val="en-US" w:eastAsia="zh-CN"/>
        </w:rPr>
        <w:t>卫生健康</w:t>
      </w:r>
      <w:r>
        <w:rPr>
          <w:rStyle w:val="18"/>
          <w:rFonts w:hint="eastAsia" w:ascii="仿宋_GB2312" w:hAnsi="仿宋_GB2312" w:eastAsia="仿宋_GB2312" w:cs="仿宋_GB2312"/>
          <w:bCs/>
          <w:sz w:val="32"/>
          <w:szCs w:val="32"/>
        </w:rPr>
        <w:t>（类）支出，支出决算为</w:t>
      </w:r>
      <w:r>
        <w:rPr>
          <w:rStyle w:val="18"/>
          <w:rFonts w:hint="eastAsia" w:ascii="仿宋_GB2312" w:hAnsi="仿宋_GB2312" w:eastAsia="仿宋_GB2312" w:cs="仿宋_GB2312"/>
          <w:bCs/>
          <w:sz w:val="32"/>
          <w:szCs w:val="32"/>
          <w:lang w:val="en-US" w:eastAsia="zh-CN"/>
        </w:rPr>
        <w:t>33.48</w:t>
      </w:r>
      <w:r>
        <w:rPr>
          <w:rStyle w:val="18"/>
          <w:rFonts w:hint="eastAsia" w:ascii="仿宋_GB2312" w:hAnsi="仿宋_GB2312" w:eastAsia="仿宋_GB2312" w:cs="仿宋_GB2312"/>
          <w:bCs/>
          <w:sz w:val="32"/>
          <w:szCs w:val="32"/>
        </w:rPr>
        <w:t>万元，完成预算100%，支出明细如下：</w:t>
      </w:r>
    </w:p>
    <w:p w14:paraId="4AEE5936">
      <w:pPr>
        <w:pStyle w:val="2"/>
        <w:numPr>
          <w:ilvl w:val="0"/>
          <w:numId w:val="6"/>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公共卫生</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采供血机构</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11.06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5560EFC">
      <w:pPr>
        <w:pStyle w:val="2"/>
        <w:numPr>
          <w:ilvl w:val="0"/>
          <w:numId w:val="6"/>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行政单位医疗</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15.52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14A065D">
      <w:pPr>
        <w:pStyle w:val="2"/>
        <w:numPr>
          <w:ilvl w:val="0"/>
          <w:numId w:val="6"/>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公务员医疗补助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6.9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D4406D9">
      <w:pPr>
        <w:pStyle w:val="2"/>
        <w:numPr>
          <w:ilvl w:val="0"/>
          <w:numId w:val="0"/>
        </w:numPr>
        <w:ind w:firstLine="643" w:firstLineChars="200"/>
        <w:rPr>
          <w:rStyle w:val="18"/>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21</w:t>
      </w:r>
      <w:r>
        <w:rPr>
          <w:rFonts w:hint="eastAsia"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w:t>
      </w:r>
      <w:r>
        <w:rPr>
          <w:rStyle w:val="18"/>
          <w:rFonts w:hint="eastAsia" w:hAnsi="仿宋_GB2312" w:cs="仿宋_GB2312"/>
          <w:bCs/>
          <w:sz w:val="32"/>
          <w:szCs w:val="32"/>
          <w:lang w:val="en-US" w:eastAsia="zh-CN"/>
        </w:rPr>
        <w:t>节能环保</w:t>
      </w:r>
      <w:r>
        <w:rPr>
          <w:rStyle w:val="18"/>
          <w:rFonts w:hint="eastAsia" w:ascii="仿宋_GB2312" w:hAnsi="仿宋_GB2312" w:eastAsia="仿宋_GB2312" w:cs="仿宋_GB2312"/>
          <w:bCs/>
          <w:sz w:val="32"/>
          <w:szCs w:val="32"/>
        </w:rPr>
        <w:t>（类）支出，支出决算为</w:t>
      </w:r>
      <w:r>
        <w:rPr>
          <w:rStyle w:val="18"/>
          <w:rFonts w:hint="eastAsia" w:hAnsi="仿宋_GB2312" w:cs="仿宋_GB2312"/>
          <w:bCs/>
          <w:sz w:val="32"/>
          <w:szCs w:val="32"/>
          <w:lang w:val="en-US" w:eastAsia="zh-CN"/>
        </w:rPr>
        <w:t>22.23</w:t>
      </w:r>
      <w:r>
        <w:rPr>
          <w:rStyle w:val="18"/>
          <w:rFonts w:hint="eastAsia" w:ascii="仿宋_GB2312" w:hAnsi="仿宋_GB2312" w:eastAsia="仿宋_GB2312" w:cs="仿宋_GB2312"/>
          <w:bCs/>
          <w:sz w:val="32"/>
          <w:szCs w:val="32"/>
        </w:rPr>
        <w:t>万元，完成预算100%，支出明细如下：</w:t>
      </w:r>
    </w:p>
    <w:p w14:paraId="57B9D221">
      <w:pPr>
        <w:pStyle w:val="2"/>
        <w:numPr>
          <w:ilvl w:val="0"/>
          <w:numId w:val="7"/>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节能环保支出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自然生态保护</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农村环境保护</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22.23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CBFB73D">
      <w:pPr>
        <w:pStyle w:val="2"/>
        <w:numPr>
          <w:ilvl w:val="0"/>
          <w:numId w:val="0"/>
        </w:numPr>
        <w:ind w:firstLine="643" w:firstLineChars="200"/>
        <w:rPr>
          <w:rStyle w:val="18"/>
          <w:rFonts w:hint="eastAsia" w:ascii="仿宋_GB2312" w:hAnsi="仿宋_GB2312" w:eastAsia="仿宋_GB2312" w:cs="仿宋_GB2312"/>
          <w:bCs/>
          <w:sz w:val="32"/>
          <w:szCs w:val="32"/>
        </w:rPr>
      </w:pPr>
      <w:r>
        <w:rPr>
          <w:rFonts w:hint="eastAsia" w:hAnsi="仿宋_GB2312" w:cs="仿宋_GB2312"/>
          <w:b/>
          <w:bCs/>
          <w:sz w:val="32"/>
          <w:szCs w:val="32"/>
          <w:lang w:val="en-US" w:eastAsia="zh-CN"/>
        </w:rPr>
        <w:t>212</w:t>
      </w:r>
      <w:r>
        <w:rPr>
          <w:rFonts w:hint="eastAsia" w:ascii="仿宋_GB2312" w:hAnsi="仿宋_GB2312" w:eastAsia="仿宋_GB2312" w:cs="仿宋_GB2312"/>
          <w:b/>
          <w:bCs/>
          <w:sz w:val="32"/>
          <w:szCs w:val="32"/>
          <w:lang w:val="en-US" w:eastAsia="zh-CN"/>
        </w:rPr>
        <w:t>：</w:t>
      </w:r>
      <w:r>
        <w:rPr>
          <w:rStyle w:val="18"/>
          <w:rFonts w:hint="eastAsia" w:hAnsi="仿宋_GB2312" w:cs="仿宋_GB2312"/>
          <w:bCs/>
          <w:sz w:val="32"/>
          <w:szCs w:val="32"/>
          <w:lang w:val="en-US" w:eastAsia="zh-CN"/>
        </w:rPr>
        <w:t>城乡社区</w:t>
      </w:r>
      <w:r>
        <w:rPr>
          <w:rStyle w:val="18"/>
          <w:rFonts w:hint="eastAsia" w:ascii="仿宋_GB2312" w:hAnsi="仿宋_GB2312" w:eastAsia="仿宋_GB2312" w:cs="仿宋_GB2312"/>
          <w:bCs/>
          <w:sz w:val="32"/>
          <w:szCs w:val="32"/>
        </w:rPr>
        <w:t>（类）支出，支出决算为</w:t>
      </w:r>
      <w:r>
        <w:rPr>
          <w:rStyle w:val="18"/>
          <w:rFonts w:hint="eastAsia" w:hAnsi="仿宋_GB2312" w:cs="仿宋_GB2312"/>
          <w:bCs/>
          <w:sz w:val="32"/>
          <w:szCs w:val="32"/>
          <w:lang w:val="en-US" w:eastAsia="zh-CN"/>
        </w:rPr>
        <w:t>28.87</w:t>
      </w:r>
      <w:r>
        <w:rPr>
          <w:rStyle w:val="18"/>
          <w:rFonts w:hint="eastAsia" w:ascii="仿宋_GB2312" w:hAnsi="仿宋_GB2312" w:eastAsia="仿宋_GB2312" w:cs="仿宋_GB2312"/>
          <w:bCs/>
          <w:sz w:val="32"/>
          <w:szCs w:val="32"/>
        </w:rPr>
        <w:t>万元，完成预算100%，支出明细如下：</w:t>
      </w:r>
    </w:p>
    <w:p w14:paraId="0D746B89">
      <w:pPr>
        <w:pStyle w:val="2"/>
        <w:numPr>
          <w:ilvl w:val="0"/>
          <w:numId w:val="8"/>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其他城乡社区公共设施支出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28.87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58D0B4B">
      <w:pPr>
        <w:pStyle w:val="2"/>
        <w:numPr>
          <w:ilvl w:val="0"/>
          <w:numId w:val="0"/>
        </w:numPr>
        <w:ind w:firstLine="643" w:firstLineChars="200"/>
        <w:rPr>
          <w:rStyle w:val="18"/>
          <w:rFonts w:hint="eastAsia" w:ascii="仿宋_GB2312" w:hAnsi="仿宋_GB2312" w:eastAsia="仿宋_GB2312" w:cs="仿宋_GB2312"/>
          <w:bCs/>
          <w:sz w:val="32"/>
          <w:szCs w:val="32"/>
        </w:rPr>
      </w:pPr>
      <w:r>
        <w:rPr>
          <w:rFonts w:hint="eastAsia" w:hAnsi="仿宋_GB2312" w:cs="仿宋_GB2312"/>
          <w:b/>
          <w:bCs/>
          <w:sz w:val="32"/>
          <w:szCs w:val="32"/>
          <w:lang w:val="en-US" w:eastAsia="zh-CN"/>
        </w:rPr>
        <w:t>213</w:t>
      </w:r>
      <w:r>
        <w:rPr>
          <w:rFonts w:hint="eastAsia" w:ascii="仿宋_GB2312" w:hAnsi="仿宋_GB2312" w:eastAsia="仿宋_GB2312" w:cs="仿宋_GB2312"/>
          <w:b/>
          <w:bCs/>
          <w:sz w:val="32"/>
          <w:szCs w:val="32"/>
          <w:lang w:val="en-US" w:eastAsia="zh-CN"/>
        </w:rPr>
        <w:t>：</w:t>
      </w:r>
      <w:r>
        <w:rPr>
          <w:rStyle w:val="18"/>
          <w:rFonts w:hint="eastAsia" w:hAnsi="仿宋_GB2312" w:cs="仿宋_GB2312"/>
          <w:bCs/>
          <w:sz w:val="32"/>
          <w:szCs w:val="32"/>
          <w:lang w:val="en-US" w:eastAsia="zh-CN"/>
        </w:rPr>
        <w:t>农林水</w:t>
      </w:r>
      <w:r>
        <w:rPr>
          <w:rStyle w:val="18"/>
          <w:rFonts w:hint="eastAsia" w:ascii="仿宋_GB2312" w:hAnsi="仿宋_GB2312" w:eastAsia="仿宋_GB2312" w:cs="仿宋_GB2312"/>
          <w:bCs/>
          <w:sz w:val="32"/>
          <w:szCs w:val="32"/>
        </w:rPr>
        <w:t>（类）支出，支出决算为</w:t>
      </w:r>
      <w:r>
        <w:rPr>
          <w:rStyle w:val="18"/>
          <w:rFonts w:hint="eastAsia" w:hAnsi="仿宋_GB2312" w:cs="仿宋_GB2312"/>
          <w:bCs/>
          <w:color w:val="FF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656.42</w:t>
      </w:r>
      <w:r>
        <w:rPr>
          <w:rStyle w:val="18"/>
          <w:rFonts w:hint="eastAsia" w:ascii="仿宋_GB2312" w:hAnsi="仿宋_GB2312" w:eastAsia="仿宋_GB2312" w:cs="仿宋_GB2312"/>
          <w:bCs/>
          <w:sz w:val="32"/>
          <w:szCs w:val="32"/>
        </w:rPr>
        <w:t>万元，完成预算100%，支出明细如下：</w:t>
      </w:r>
    </w:p>
    <w:p w14:paraId="28EDA4C3">
      <w:pPr>
        <w:pStyle w:val="2"/>
        <w:numPr>
          <w:ilvl w:val="0"/>
          <w:numId w:val="9"/>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农业农村</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乡村道路建设</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70.05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6732378">
      <w:pPr>
        <w:pStyle w:val="2"/>
        <w:numPr>
          <w:ilvl w:val="0"/>
          <w:numId w:val="9"/>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农业农村</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其他农业农村支出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1.76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15287CA">
      <w:pPr>
        <w:pStyle w:val="2"/>
        <w:numPr>
          <w:ilvl w:val="0"/>
          <w:numId w:val="9"/>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林业和草原</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森林资源培育</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E90BC8E">
      <w:pPr>
        <w:pStyle w:val="2"/>
        <w:numPr>
          <w:ilvl w:val="0"/>
          <w:numId w:val="9"/>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巩固脱贫攻坚成果衔接乡村振兴</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其他巩固脱贫攻坚成果衔接乡村振兴支出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41.85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5139091">
      <w:pPr>
        <w:pStyle w:val="2"/>
        <w:numPr>
          <w:ilvl w:val="0"/>
          <w:numId w:val="9"/>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农村综合改革</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对村民委员会和村党支部的补助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507.5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8E988BA">
      <w:pPr>
        <w:pStyle w:val="2"/>
        <w:numPr>
          <w:ilvl w:val="0"/>
          <w:numId w:val="9"/>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农村综合改革</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农村综合改革示范试点补助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31.25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E8FFE4D">
      <w:pPr>
        <w:pStyle w:val="2"/>
        <w:numPr>
          <w:ilvl w:val="0"/>
          <w:numId w:val="0"/>
        </w:numPr>
        <w:ind w:firstLine="643" w:firstLineChars="200"/>
        <w:rPr>
          <w:rStyle w:val="18"/>
          <w:rFonts w:hint="eastAsia" w:ascii="仿宋_GB2312" w:hAnsi="仿宋_GB2312" w:eastAsia="仿宋_GB2312" w:cs="仿宋_GB2312"/>
          <w:bCs/>
          <w:sz w:val="32"/>
          <w:szCs w:val="32"/>
        </w:rPr>
      </w:pPr>
      <w:r>
        <w:rPr>
          <w:rFonts w:hint="eastAsia" w:hAnsi="仿宋_GB2312" w:cs="仿宋_GB2312"/>
          <w:b/>
          <w:bCs/>
          <w:sz w:val="32"/>
          <w:szCs w:val="32"/>
          <w:lang w:val="en-US" w:eastAsia="zh-CN"/>
        </w:rPr>
        <w:t>213</w:t>
      </w:r>
      <w:r>
        <w:rPr>
          <w:rFonts w:hint="eastAsia" w:ascii="仿宋_GB2312" w:hAnsi="仿宋_GB2312" w:eastAsia="仿宋_GB2312" w:cs="仿宋_GB2312"/>
          <w:b/>
          <w:bCs/>
          <w:sz w:val="32"/>
          <w:szCs w:val="32"/>
          <w:lang w:val="en-US" w:eastAsia="zh-CN"/>
        </w:rPr>
        <w:t>：</w:t>
      </w:r>
      <w:r>
        <w:rPr>
          <w:rFonts w:hint="eastAsia" w:hAnsi="仿宋_GB2312" w:cs="仿宋_GB2312"/>
          <w:b/>
          <w:bCs/>
          <w:sz w:val="32"/>
          <w:szCs w:val="32"/>
          <w:lang w:val="en-US" w:eastAsia="zh-CN"/>
        </w:rPr>
        <w:t xml:space="preserve"> </w:t>
      </w:r>
      <w:r>
        <w:rPr>
          <w:rStyle w:val="18"/>
          <w:rFonts w:hint="eastAsia" w:hAnsi="仿宋_GB2312" w:cs="仿宋_GB2312"/>
          <w:bCs/>
          <w:sz w:val="32"/>
          <w:szCs w:val="32"/>
          <w:lang w:val="en-US" w:eastAsia="zh-CN"/>
        </w:rPr>
        <w:t>资源勘探工业信息等</w:t>
      </w:r>
      <w:r>
        <w:rPr>
          <w:rStyle w:val="18"/>
          <w:rFonts w:hint="eastAsia" w:ascii="仿宋_GB2312" w:hAnsi="仿宋_GB2312" w:eastAsia="仿宋_GB2312" w:cs="仿宋_GB2312"/>
          <w:bCs/>
          <w:sz w:val="32"/>
          <w:szCs w:val="32"/>
        </w:rPr>
        <w:t>（类）支出，支出决算为</w:t>
      </w:r>
      <w:r>
        <w:rPr>
          <w:rStyle w:val="18"/>
          <w:rFonts w:hint="eastAsia" w:hAnsi="仿宋_GB2312" w:cs="仿宋_GB2312"/>
          <w:bCs/>
          <w:sz w:val="32"/>
          <w:szCs w:val="32"/>
          <w:lang w:val="en-US" w:eastAsia="zh-CN"/>
        </w:rPr>
        <w:t>2.25</w:t>
      </w:r>
      <w:r>
        <w:rPr>
          <w:rStyle w:val="18"/>
          <w:rFonts w:hint="eastAsia" w:ascii="仿宋_GB2312" w:hAnsi="仿宋_GB2312" w:eastAsia="仿宋_GB2312" w:cs="仿宋_GB2312"/>
          <w:bCs/>
          <w:sz w:val="32"/>
          <w:szCs w:val="32"/>
        </w:rPr>
        <w:t>万元，完成预算100%，支出明细如下：</w:t>
      </w:r>
    </w:p>
    <w:p w14:paraId="52BF8A00">
      <w:pPr>
        <w:pStyle w:val="2"/>
        <w:numPr>
          <w:ilvl w:val="0"/>
          <w:numId w:val="10"/>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资源勘探工业信息等支出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工业和信息产业监管</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2.25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826A7BF">
      <w:pPr>
        <w:pStyle w:val="2"/>
        <w:numPr>
          <w:ilvl w:val="0"/>
          <w:numId w:val="0"/>
        </w:numPr>
        <w:ind w:firstLine="643" w:firstLineChars="200"/>
        <w:rPr>
          <w:rStyle w:val="18"/>
          <w:rFonts w:hint="eastAsia" w:ascii="仿宋_GB2312" w:hAnsi="仿宋_GB2312" w:eastAsia="仿宋_GB2312" w:cs="仿宋_GB2312"/>
          <w:bCs/>
          <w:sz w:val="32"/>
          <w:szCs w:val="32"/>
        </w:rPr>
      </w:pPr>
      <w:r>
        <w:rPr>
          <w:rFonts w:hint="eastAsia" w:hAnsi="仿宋_GB2312" w:cs="仿宋_GB2312"/>
          <w:b/>
          <w:bCs/>
          <w:sz w:val="32"/>
          <w:szCs w:val="32"/>
          <w:lang w:val="en-US" w:eastAsia="zh-CN"/>
        </w:rPr>
        <w:t>221</w:t>
      </w:r>
      <w:r>
        <w:rPr>
          <w:rFonts w:hint="eastAsia" w:ascii="仿宋_GB2312" w:hAnsi="仿宋_GB2312" w:eastAsia="仿宋_GB2312" w:cs="仿宋_GB2312"/>
          <w:b/>
          <w:bCs/>
          <w:sz w:val="32"/>
          <w:szCs w:val="32"/>
          <w:lang w:val="en-US" w:eastAsia="zh-CN"/>
        </w:rPr>
        <w:t>：</w:t>
      </w:r>
      <w:r>
        <w:rPr>
          <w:rFonts w:hint="eastAsia" w:hAnsi="仿宋_GB2312" w:cs="仿宋_GB2312"/>
          <w:b/>
          <w:bCs/>
          <w:sz w:val="32"/>
          <w:szCs w:val="32"/>
          <w:lang w:val="en-US" w:eastAsia="zh-CN"/>
        </w:rPr>
        <w:t xml:space="preserve"> </w:t>
      </w:r>
      <w:r>
        <w:rPr>
          <w:rStyle w:val="18"/>
          <w:rFonts w:hint="eastAsia" w:hAnsi="仿宋_GB2312" w:cs="仿宋_GB2312"/>
          <w:bCs/>
          <w:sz w:val="32"/>
          <w:szCs w:val="32"/>
          <w:lang w:val="en-US" w:eastAsia="zh-CN"/>
        </w:rPr>
        <w:t>住房保障</w:t>
      </w:r>
      <w:r>
        <w:rPr>
          <w:rStyle w:val="18"/>
          <w:rFonts w:hint="eastAsia" w:ascii="仿宋_GB2312" w:hAnsi="仿宋_GB2312" w:eastAsia="仿宋_GB2312" w:cs="仿宋_GB2312"/>
          <w:bCs/>
          <w:sz w:val="32"/>
          <w:szCs w:val="32"/>
        </w:rPr>
        <w:t>（类）支出，支出决算为</w:t>
      </w:r>
      <w:r>
        <w:rPr>
          <w:rStyle w:val="18"/>
          <w:rFonts w:hint="eastAsia" w:hAnsi="仿宋_GB2312" w:cs="仿宋_GB2312"/>
          <w:bCs/>
          <w:sz w:val="32"/>
          <w:szCs w:val="32"/>
          <w:lang w:val="en-US" w:eastAsia="zh-CN"/>
        </w:rPr>
        <w:t>44.57</w:t>
      </w:r>
      <w:r>
        <w:rPr>
          <w:rStyle w:val="18"/>
          <w:rFonts w:hint="eastAsia" w:ascii="仿宋_GB2312" w:hAnsi="仿宋_GB2312" w:eastAsia="仿宋_GB2312" w:cs="仿宋_GB2312"/>
          <w:bCs/>
          <w:sz w:val="32"/>
          <w:szCs w:val="32"/>
        </w:rPr>
        <w:t>万元，完成预算100%，支出明细如下：</w:t>
      </w:r>
    </w:p>
    <w:p w14:paraId="578BACF4">
      <w:pPr>
        <w:pStyle w:val="2"/>
        <w:numPr>
          <w:ilvl w:val="0"/>
          <w:numId w:val="11"/>
        </w:numPr>
        <w:ind w:firstLine="640" w:firstLineChars="200"/>
        <w:rPr>
          <w:rStyle w:val="18"/>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住房保障支出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住房改革支出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住房公积金</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44.57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A4AAD99">
      <w:pPr>
        <w:pStyle w:val="2"/>
        <w:numPr>
          <w:ilvl w:val="0"/>
          <w:numId w:val="0"/>
        </w:numPr>
        <w:ind w:firstLine="643" w:firstLineChars="200"/>
        <w:rPr>
          <w:rStyle w:val="18"/>
          <w:rFonts w:hint="eastAsia" w:ascii="仿宋_GB2312" w:hAnsi="仿宋_GB2312" w:eastAsia="仿宋_GB2312" w:cs="仿宋_GB2312"/>
          <w:bCs/>
          <w:sz w:val="32"/>
          <w:szCs w:val="32"/>
        </w:rPr>
      </w:pPr>
      <w:r>
        <w:rPr>
          <w:rFonts w:hint="eastAsia" w:hAnsi="仿宋_GB2312" w:cs="仿宋_GB2312"/>
          <w:b/>
          <w:bCs/>
          <w:sz w:val="32"/>
          <w:szCs w:val="32"/>
          <w:lang w:val="en-US" w:eastAsia="zh-CN"/>
        </w:rPr>
        <w:t>224</w:t>
      </w:r>
      <w:r>
        <w:rPr>
          <w:rFonts w:hint="eastAsia" w:ascii="仿宋_GB2312" w:hAnsi="仿宋_GB2312" w:eastAsia="仿宋_GB2312" w:cs="仿宋_GB2312"/>
          <w:b/>
          <w:bCs/>
          <w:sz w:val="32"/>
          <w:szCs w:val="32"/>
          <w:lang w:val="en-US" w:eastAsia="zh-CN"/>
        </w:rPr>
        <w:t>：</w:t>
      </w:r>
      <w:r>
        <w:rPr>
          <w:rFonts w:hint="eastAsia" w:hAnsi="仿宋_GB2312" w:cs="仿宋_GB2312"/>
          <w:b/>
          <w:bCs/>
          <w:sz w:val="32"/>
          <w:szCs w:val="32"/>
          <w:lang w:val="en-US" w:eastAsia="zh-CN"/>
        </w:rPr>
        <w:t xml:space="preserve"> </w:t>
      </w:r>
      <w:r>
        <w:rPr>
          <w:rStyle w:val="18"/>
          <w:rFonts w:hint="eastAsia" w:hAnsi="仿宋_GB2312" w:cs="仿宋_GB2312"/>
          <w:bCs/>
          <w:sz w:val="32"/>
          <w:szCs w:val="32"/>
          <w:lang w:val="en-US" w:eastAsia="zh-CN"/>
        </w:rPr>
        <w:t>灾害防治与应急管理</w:t>
      </w:r>
      <w:r>
        <w:rPr>
          <w:rStyle w:val="18"/>
          <w:rFonts w:hint="eastAsia" w:ascii="仿宋_GB2312" w:hAnsi="仿宋_GB2312" w:eastAsia="仿宋_GB2312" w:cs="仿宋_GB2312"/>
          <w:bCs/>
          <w:sz w:val="32"/>
          <w:szCs w:val="32"/>
        </w:rPr>
        <w:t>（类）支出，支出决算为</w:t>
      </w:r>
      <w:r>
        <w:rPr>
          <w:rStyle w:val="18"/>
          <w:rFonts w:hint="eastAsia" w:hAnsi="仿宋_GB2312" w:cs="仿宋_GB2312"/>
          <w:bCs/>
          <w:sz w:val="32"/>
          <w:szCs w:val="32"/>
          <w:lang w:val="en-US" w:eastAsia="zh-CN"/>
        </w:rPr>
        <w:t>0.46</w:t>
      </w:r>
      <w:r>
        <w:rPr>
          <w:rStyle w:val="18"/>
          <w:rFonts w:hint="eastAsia" w:ascii="仿宋_GB2312" w:hAnsi="仿宋_GB2312" w:eastAsia="仿宋_GB2312" w:cs="仿宋_GB2312"/>
          <w:bCs/>
          <w:sz w:val="32"/>
          <w:szCs w:val="32"/>
        </w:rPr>
        <w:t>万元，完成预算100%，支出明细如下：</w:t>
      </w:r>
    </w:p>
    <w:p w14:paraId="55594CE2">
      <w:pPr>
        <w:pStyle w:val="2"/>
        <w:numPr>
          <w:ilvl w:val="0"/>
          <w:numId w:val="12"/>
        </w:numPr>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cs="仿宋_GB2312"/>
          <w:color w:val="auto"/>
          <w:kern w:val="2"/>
          <w:sz w:val="32"/>
          <w:szCs w:val="32"/>
          <w:highlight w:val="none"/>
          <w:lang w:val="en-US" w:eastAsia="zh-CN" w:bidi="ar-SA"/>
        </w:rPr>
        <w:t>灾害防治与应急管理支出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自然灾害救灾及恢复重建支出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自然灾害救灾补助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0.46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FF7633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E8FB13B">
      <w:pPr>
        <w:tabs>
          <w:tab w:val="right" w:pos="8306"/>
        </w:tabs>
        <w:spacing w:line="600" w:lineRule="exact"/>
        <w:ind w:firstLine="640"/>
        <w:outlineLvl w:val="1"/>
        <w:rPr>
          <w:rStyle w:val="30"/>
          <w:rFonts w:ascii="Times New Roman" w:hAnsi="Times New Roman"/>
          <w:color w:val="auto"/>
          <w:highlight w:val="none"/>
        </w:rPr>
      </w:pPr>
      <w:bookmarkStart w:id="34" w:name="_Toc15396608"/>
      <w:bookmarkStart w:id="35"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34"/>
      <w:bookmarkEnd w:id="35"/>
      <w:r>
        <w:rPr>
          <w:rStyle w:val="30"/>
          <w:rFonts w:ascii="Times New Roman" w:hAnsi="Times New Roman" w:eastAsia="黑体"/>
          <w:b w:val="0"/>
          <w:color w:val="auto"/>
          <w:highlight w:val="none"/>
        </w:rPr>
        <w:tab/>
      </w:r>
    </w:p>
    <w:p w14:paraId="376BC91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1464.68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6746120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1358.39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106.29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7B310CB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6C689FC">
      <w:pPr>
        <w:spacing w:line="600" w:lineRule="exact"/>
        <w:ind w:firstLine="640"/>
        <w:outlineLvl w:val="1"/>
        <w:rPr>
          <w:rStyle w:val="30"/>
          <w:rFonts w:ascii="Times New Roman" w:hAnsi="Times New Roman" w:eastAsia="黑体"/>
          <w:b w:val="0"/>
          <w:color w:val="auto"/>
          <w:highlight w:val="none"/>
        </w:rPr>
      </w:pPr>
      <w:bookmarkStart w:id="36" w:name="_Toc15396609"/>
      <w:bookmarkStart w:id="37" w:name="_Toc15377215"/>
      <w:r>
        <w:rPr>
          <w:rFonts w:hint="eastAsia" w:ascii="Times New Roman" w:hAnsi="Times New Roman" w:eastAsia="黑体"/>
          <w:color w:val="auto"/>
          <w:sz w:val="32"/>
          <w:szCs w:val="32"/>
          <w:highlight w:val="none"/>
        </w:rPr>
        <w:t>七、</w:t>
      </w:r>
      <w:r>
        <w:rPr>
          <w:rStyle w:val="30"/>
          <w:rFonts w:hint="eastAsia" w:ascii="Times New Roman" w:hAnsi="Times New Roman" w:eastAsia="黑体"/>
          <w:b w:val="0"/>
          <w:color w:val="auto"/>
          <w:highlight w:val="none"/>
        </w:rPr>
        <w:t>财政拨款</w:t>
      </w:r>
      <w:r>
        <w:rPr>
          <w:rStyle w:val="30"/>
          <w:rFonts w:hint="eastAsia" w:ascii="Times New Roman" w:hAnsi="Times New Roman" w:eastAsia="黑体"/>
          <w:color w:val="auto"/>
          <w:highlight w:val="none"/>
        </w:rPr>
        <w:t>“</w:t>
      </w:r>
      <w:r>
        <w:rPr>
          <w:rStyle w:val="30"/>
          <w:rFonts w:hint="eastAsia" w:ascii="Times New Roman" w:hAnsi="Times New Roman" w:eastAsia="黑体"/>
          <w:b w:val="0"/>
          <w:color w:val="auto"/>
          <w:highlight w:val="none"/>
        </w:rPr>
        <w:t>三公”经费支出决算情况说明</w:t>
      </w:r>
      <w:bookmarkEnd w:id="36"/>
      <w:bookmarkEnd w:id="37"/>
    </w:p>
    <w:p w14:paraId="2E23F6D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8"/>
    </w:p>
    <w:p w14:paraId="4537AAD9">
      <w:pPr>
        <w:spacing w:line="600" w:lineRule="exact"/>
        <w:ind w:firstLine="640" w:firstLineChars="200"/>
        <w:outlineLvl w:val="2"/>
        <w:rPr>
          <w:rFonts w:hint="eastAsia" w:ascii="Times New Roman" w:hAnsi="Times New Roman" w:eastAsia="楷体_GB2312" w:cs="楷体_GB2312"/>
          <w:b/>
          <w:color w:val="auto"/>
          <w:sz w:val="32"/>
          <w:szCs w:val="32"/>
          <w:highlight w:val="none"/>
        </w:rPr>
      </w:pPr>
      <w:bookmarkStart w:id="39" w:name="_Toc15377217"/>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0.92</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1.44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61.02</w:t>
      </w:r>
      <w:r>
        <w:rPr>
          <w:rFonts w:hint="eastAsia" w:ascii="Times New Roman" w:hAnsi="Times New Roman" w:eastAsia="仿宋_GB2312" w:cs="仿宋_GB2312"/>
          <w:color w:val="auto"/>
          <w:kern w:val="2"/>
          <w:sz w:val="32"/>
          <w:szCs w:val="32"/>
          <w:highlight w:val="none"/>
          <w:lang w:val="en-US" w:eastAsia="zh-CN" w:bidi="ar-SA"/>
        </w:rPr>
        <w:t>%。决算数</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预算数</w:t>
      </w:r>
      <w:r>
        <w:rPr>
          <w:rFonts w:hint="eastAsia" w:eastAsia="仿宋_GB2312" w:cs="仿宋_GB2312"/>
          <w:color w:val="auto"/>
          <w:kern w:val="2"/>
          <w:sz w:val="32"/>
          <w:szCs w:val="32"/>
          <w:highlight w:val="none"/>
          <w:lang w:val="en-US" w:eastAsia="zh-CN" w:bidi="ar-SA"/>
        </w:rPr>
        <w:t>持平</w:t>
      </w:r>
      <w:r>
        <w:rPr>
          <w:rFonts w:hint="eastAsia" w:ascii="Times New Roman" w:hAnsi="Times New Roman" w:eastAsia="仿宋_GB2312" w:cs="仿宋_GB2312"/>
          <w:color w:val="auto"/>
          <w:kern w:val="2"/>
          <w:sz w:val="32"/>
          <w:szCs w:val="32"/>
          <w:highlight w:val="none"/>
          <w:lang w:val="en-US" w:eastAsia="zh-CN" w:bidi="ar-SA"/>
        </w:rPr>
        <w:t>的主要原因是</w:t>
      </w:r>
      <w:r>
        <w:rPr>
          <w:rFonts w:hint="eastAsia" w:eastAsia="仿宋_GB2312" w:cs="仿宋_GB2312"/>
          <w:color w:val="auto"/>
          <w:kern w:val="2"/>
          <w:sz w:val="32"/>
          <w:szCs w:val="32"/>
          <w:highlight w:val="none"/>
          <w:lang w:val="en-US" w:eastAsia="zh-CN" w:bidi="ar-SA"/>
        </w:rPr>
        <w:t xml:space="preserve">严格按要求对政府“三公”经费支出进行审批，量入为出，规范公务用车使用程序等。   </w:t>
      </w:r>
      <w:r>
        <w:rPr>
          <w:rFonts w:hint="eastAsia" w:ascii="Times New Roman" w:hAnsi="Times New Roman" w:eastAsia="楷体_GB2312" w:cs="楷体_GB2312"/>
          <w:b/>
          <w:color w:val="auto"/>
          <w:sz w:val="32"/>
          <w:szCs w:val="32"/>
          <w:highlight w:val="none"/>
        </w:rPr>
        <w:t>（二）“三公”经费财政拨款支出决算具体情况说明</w:t>
      </w:r>
      <w:bookmarkEnd w:id="39"/>
    </w:p>
    <w:p w14:paraId="27DDCE65">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0.92</w:t>
      </w:r>
      <w:r>
        <w:rPr>
          <w:rFonts w:hint="eastAsia" w:ascii="仿宋_GB2312" w:hAnsi="仿宋_GB2312" w:eastAsia="仿宋_GB2312" w:cs="仿宋_GB2312"/>
          <w:color w:val="auto"/>
          <w:kern w:val="2"/>
          <w:sz w:val="32"/>
          <w:szCs w:val="32"/>
          <w:highlight w:val="none"/>
          <w:lang w:val="en-US" w:eastAsia="zh-CN" w:bidi="ar-SA"/>
        </w:rPr>
        <w:t>万元，占100%；公务接待费支出决算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万元，占0%。具体情况如下：</w:t>
      </w:r>
    </w:p>
    <w:p w14:paraId="3FE26C57">
      <w:pPr>
        <w:pStyle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drawing>
          <wp:inline distT="0" distB="0" distL="114300" distR="114300">
            <wp:extent cx="5256530" cy="2988310"/>
            <wp:effectExtent l="5080" t="4445" r="15240"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AE0B3E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14:paraId="40A0A70B">
      <w:pPr>
        <w:numPr>
          <w:ilvl w:val="0"/>
          <w:numId w:val="13"/>
        </w:numPr>
        <w:spacing w:line="600" w:lineRule="exact"/>
        <w:ind w:firstLine="640"/>
        <w:rPr>
          <w:rFonts w:hint="eastAsia" w:eastAsia="仿宋_GB2312" w:cs="仿宋_GB2312"/>
          <w:color w:val="auto"/>
          <w:kern w:val="2"/>
          <w:sz w:val="32"/>
          <w:szCs w:val="32"/>
          <w:highlight w:val="none"/>
          <w:lang w:val="en-US" w:eastAsia="zh-CN" w:bidi="ar-SA"/>
        </w:rPr>
      </w:pPr>
      <w:bookmarkStart w:id="40" w:name="_Toc15377218"/>
      <w:bookmarkStart w:id="41" w:name="_Toc15396610"/>
      <w:r>
        <w:rPr>
          <w:rFonts w:hint="eastAsia" w:ascii="Times New Roman" w:hAnsi="Times New Roman" w:eastAsia="仿宋_GB2312" w:cs="仿宋_GB2312"/>
          <w:b/>
          <w:bCs/>
          <w:color w:val="auto"/>
          <w:kern w:val="2"/>
          <w:sz w:val="32"/>
          <w:szCs w:val="32"/>
          <w:highlight w:val="none"/>
          <w:lang w:val="en-US" w:eastAsia="zh-CN" w:bidi="ar-SA"/>
        </w:rPr>
        <w:t>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w:t>
      </w:r>
      <w:r>
        <w:rPr>
          <w:rFonts w:hint="eastAsia" w:eastAsia="仿宋_GB2312" w:cs="仿宋_GB2312"/>
          <w:color w:val="auto"/>
          <w:kern w:val="2"/>
          <w:sz w:val="32"/>
          <w:szCs w:val="32"/>
          <w:highlight w:val="none"/>
          <w:lang w:val="en-US" w:eastAsia="zh-CN" w:bidi="ar-SA"/>
        </w:rPr>
        <w:t>持平。</w:t>
      </w:r>
    </w:p>
    <w:p w14:paraId="569A5A1F">
      <w:pPr>
        <w:numPr>
          <w:ilvl w:val="0"/>
          <w:numId w:val="0"/>
        </w:numPr>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0.92万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公务用车购置及运行维护费支出决算比2023年度减少</w:t>
      </w:r>
      <w:r>
        <w:rPr>
          <w:rFonts w:hint="eastAsia" w:eastAsia="仿宋_GB2312" w:cs="仿宋_GB2312"/>
          <w:color w:val="auto"/>
          <w:kern w:val="2"/>
          <w:sz w:val="32"/>
          <w:szCs w:val="32"/>
          <w:highlight w:val="none"/>
          <w:lang w:val="en-US" w:eastAsia="zh-CN" w:bidi="ar-SA"/>
        </w:rPr>
        <w:t>1.44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61.02</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严格按要求对政府“三公”经费支出进行审批，量入为出，规范公务用车使用程序等。</w:t>
      </w:r>
    </w:p>
    <w:p w14:paraId="50119AE3">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但实际使用2辆，</w:t>
      </w:r>
      <w:r>
        <w:rPr>
          <w:rFonts w:hint="eastAsia" w:ascii="仿宋_GB2312" w:eastAsia="仿宋_GB2312"/>
          <w:color w:val="auto"/>
          <w:sz w:val="32"/>
          <w:szCs w:val="32"/>
          <w:highlight w:val="none"/>
        </w:rPr>
        <w:t>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p>
    <w:p w14:paraId="1B0904D5">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0.92</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ascii="仿宋_GB2312" w:hAnsi="仿宋_GB2312" w:eastAsia="仿宋_GB2312" w:cs="仿宋_GB2312"/>
          <w:sz w:val="32"/>
          <w:szCs w:val="32"/>
        </w:rPr>
        <w:t>主要用于往返市、区开会、应急维稳、上报材料以及下村（社区）开展工作等所需的公务用车燃料费、维修费、过路过桥费、保险费等支出。</w:t>
      </w:r>
    </w:p>
    <w:p w14:paraId="1FE6DDF4">
      <w:pPr>
        <w:numPr>
          <w:ilvl w:val="0"/>
          <w:numId w:val="13"/>
        </w:numPr>
        <w:spacing w:line="600" w:lineRule="exact"/>
        <w:ind w:left="0" w:leftChars="0" w:firstLine="640" w:firstLineChars="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w:t>
      </w:r>
      <w:r>
        <w:rPr>
          <w:rFonts w:hint="eastAsia" w:eastAsia="仿宋_GB2312" w:cs="仿宋_GB2312"/>
          <w:color w:val="auto"/>
          <w:kern w:val="2"/>
          <w:sz w:val="32"/>
          <w:szCs w:val="32"/>
          <w:highlight w:val="none"/>
          <w:lang w:val="en-US" w:eastAsia="zh-CN" w:bidi="ar-SA"/>
        </w:rPr>
        <w:t>持平。</w:t>
      </w:r>
    </w:p>
    <w:p w14:paraId="3AAC59B0">
      <w:pPr>
        <w:spacing w:line="600" w:lineRule="exact"/>
        <w:ind w:firstLine="643"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4D32F99">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605F92B">
      <w:pPr>
        <w:spacing w:line="600" w:lineRule="exact"/>
        <w:ind w:firstLine="640"/>
        <w:outlineLvl w:val="1"/>
        <w:rPr>
          <w:rStyle w:val="30"/>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0"/>
          <w:rFonts w:hint="eastAsia" w:ascii="Times New Roman" w:hAnsi="Times New Roman" w:eastAsia="黑体"/>
          <w:b w:val="0"/>
          <w:color w:val="auto"/>
          <w:highlight w:val="none"/>
        </w:rPr>
        <w:t>政府性基金预算支出决算情况说明</w:t>
      </w:r>
      <w:bookmarkEnd w:id="40"/>
      <w:bookmarkEnd w:id="41"/>
    </w:p>
    <w:p w14:paraId="5E944DA5">
      <w:pPr>
        <w:pStyle w:val="2"/>
        <w:numPr>
          <w:ilvl w:val="0"/>
          <w:numId w:val="0"/>
        </w:numPr>
        <w:spacing w:before="93"/>
        <w:ind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262.83</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12.7</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。与2023年度相比，政府性基金预算财政拨款支出减少</w:t>
      </w:r>
      <w:r>
        <w:rPr>
          <w:rFonts w:hint="eastAsia" w:eastAsia="仿宋_GB2312" w:cs="仿宋_GB2312"/>
          <w:color w:val="auto"/>
          <w:kern w:val="2"/>
          <w:sz w:val="32"/>
          <w:szCs w:val="32"/>
          <w:highlight w:val="none"/>
          <w:lang w:val="en-US" w:eastAsia="zh-CN" w:bidi="ar-SA"/>
        </w:rPr>
        <w:t>35.49</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11.9</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ascii="仿宋_GB2312" w:hAnsi="仿宋_GB2312" w:eastAsia="仿宋_GB2312" w:cs="仿宋_GB2312"/>
          <w:sz w:val="32"/>
          <w:szCs w:val="32"/>
        </w:rPr>
        <w:t>农业农村生态环境支出</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城市环境卫生</w:t>
      </w:r>
      <w:r>
        <w:rPr>
          <w:rFonts w:hint="eastAsia" w:ascii="仿宋_GB2312" w:hAnsi="仿宋_GB2312" w:eastAsia="仿宋_GB2312" w:cs="仿宋_GB2312"/>
          <w:sz w:val="32"/>
          <w:szCs w:val="32"/>
          <w:lang w:val="en-US" w:eastAsia="zh-CN"/>
        </w:rPr>
        <w:t>均减少。具体支出明细如下：</w:t>
      </w:r>
    </w:p>
    <w:p w14:paraId="0ABDC256">
      <w:pPr>
        <w:pStyle w:val="2"/>
        <w:numPr>
          <w:ilvl w:val="0"/>
          <w:numId w:val="0"/>
        </w:numPr>
        <w:spacing w:before="93"/>
        <w:ind w:leftChars="0" w:firstLine="640" w:firstLineChars="200"/>
        <w:rPr>
          <w:rFonts w:hint="eastAsia" w:ascii="仿宋_GB2312" w:hAnsi="仿宋_GB2312" w:eastAsia="仿宋_GB2312" w:cs="仿宋_GB2312"/>
          <w:sz w:val="32"/>
          <w:szCs w:val="32"/>
        </w:rPr>
      </w:pPr>
      <w:r>
        <w:rPr>
          <w:rFonts w:hint="eastAsia" w:hAnsi="仿宋_GB2312" w:cs="仿宋_GB2312"/>
          <w:sz w:val="32"/>
          <w:szCs w:val="32"/>
          <w:lang w:val="en-US" w:eastAsia="zh-CN"/>
        </w:rPr>
        <w:t>1、</w:t>
      </w:r>
      <w:r>
        <w:rPr>
          <w:rFonts w:hint="eastAsia" w:ascii="仿宋_GB2312" w:hAnsi="仿宋_GB2312" w:eastAsia="仿宋_GB2312" w:cs="仿宋_GB2312"/>
          <w:sz w:val="32"/>
          <w:szCs w:val="32"/>
        </w:rPr>
        <w:t>城乡社区支出（类）国有土地使用权出让收入安排的支出（款）农业农村生态环境支出（项）：支出决算为</w:t>
      </w:r>
      <w:r>
        <w:rPr>
          <w:rFonts w:hint="eastAsia" w:hAnsi="仿宋_GB2312" w:cs="仿宋_GB2312"/>
          <w:sz w:val="32"/>
          <w:szCs w:val="32"/>
          <w:lang w:val="en-US" w:eastAsia="zh-CN"/>
        </w:rPr>
        <w:t>15.39</w:t>
      </w:r>
      <w:r>
        <w:rPr>
          <w:rFonts w:hint="eastAsia" w:ascii="仿宋_GB2312" w:hAnsi="仿宋_GB2312" w:eastAsia="仿宋_GB2312" w:cs="仿宋_GB2312"/>
          <w:sz w:val="32"/>
          <w:szCs w:val="32"/>
        </w:rPr>
        <w:t>万元，完成预算100%。</w:t>
      </w:r>
    </w:p>
    <w:p w14:paraId="6FE1AB33">
      <w:pPr>
        <w:pStyle w:val="2"/>
        <w:numPr>
          <w:ilvl w:val="0"/>
          <w:numId w:val="0"/>
        </w:numPr>
        <w:spacing w:before="93"/>
        <w:ind w:leftChars="0"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hAnsi="仿宋_GB2312" w:cs="仿宋_GB2312"/>
          <w:sz w:val="32"/>
          <w:szCs w:val="32"/>
          <w:lang w:val="en-US" w:eastAsia="zh-CN"/>
        </w:rPr>
        <w:t>2、</w:t>
      </w:r>
      <w:r>
        <w:rPr>
          <w:rFonts w:hint="eastAsia" w:ascii="仿宋_GB2312" w:hAnsi="仿宋_GB2312" w:eastAsia="仿宋_GB2312" w:cs="仿宋_GB2312"/>
          <w:sz w:val="32"/>
          <w:szCs w:val="32"/>
        </w:rPr>
        <w:t>城乡社区支出（类）城市基础设施配套费安排的支出（款）城市环境卫生（项）：支出决算为</w:t>
      </w:r>
      <w:r>
        <w:rPr>
          <w:rFonts w:hint="eastAsia" w:hAnsi="仿宋_GB2312" w:cs="仿宋_GB2312"/>
          <w:sz w:val="32"/>
          <w:szCs w:val="32"/>
          <w:lang w:val="en-US" w:eastAsia="zh-CN"/>
        </w:rPr>
        <w:t>247.44</w:t>
      </w:r>
      <w:r>
        <w:rPr>
          <w:rFonts w:hint="eastAsia" w:ascii="仿宋_GB2312" w:hAnsi="仿宋_GB2312" w:eastAsia="仿宋_GB2312" w:cs="仿宋_GB2312"/>
          <w:sz w:val="32"/>
          <w:szCs w:val="32"/>
        </w:rPr>
        <w:t>万元，完成预算100%.</w:t>
      </w:r>
    </w:p>
    <w:p w14:paraId="235CA28A">
      <w:pPr>
        <w:numPr>
          <w:ilvl w:val="0"/>
          <w:numId w:val="0"/>
        </w:numPr>
        <w:spacing w:line="600" w:lineRule="exact"/>
        <w:ind w:left="630" w:leftChars="0"/>
        <w:outlineLvl w:val="1"/>
        <w:rPr>
          <w:rStyle w:val="30"/>
          <w:rFonts w:ascii="Times New Roman" w:hAnsi="Times New Roman" w:eastAsia="黑体"/>
          <w:b w:val="0"/>
          <w:color w:val="auto"/>
          <w:highlight w:val="none"/>
        </w:rPr>
      </w:pPr>
      <w:bookmarkStart w:id="42" w:name="_Toc15396611"/>
      <w:bookmarkStart w:id="43" w:name="_Toc15377219"/>
      <w:r>
        <w:rPr>
          <w:rStyle w:val="30"/>
          <w:rFonts w:hint="eastAsia" w:ascii="Times New Roman" w:hAnsi="Times New Roman" w:eastAsia="黑体"/>
          <w:b w:val="0"/>
          <w:color w:val="auto"/>
          <w:highlight w:val="none"/>
          <w:lang w:eastAsia="zh-CN"/>
        </w:rPr>
        <w:t>九、</w:t>
      </w:r>
      <w:r>
        <w:rPr>
          <w:rStyle w:val="30"/>
          <w:rFonts w:hint="eastAsia" w:ascii="Times New Roman" w:hAnsi="Times New Roman" w:eastAsia="黑体"/>
          <w:b w:val="0"/>
          <w:color w:val="auto"/>
          <w:highlight w:val="none"/>
        </w:rPr>
        <w:t>国有资本经营预算支出决算情况说明</w:t>
      </w:r>
      <w:bookmarkEnd w:id="42"/>
      <w:bookmarkEnd w:id="43"/>
    </w:p>
    <w:p w14:paraId="1C5F40B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w:t>
      </w:r>
      <w:r>
        <w:rPr>
          <w:rFonts w:hint="eastAsia" w:eastAsia="仿宋_GB2312" w:cs="仿宋_GB2312"/>
          <w:color w:val="auto"/>
          <w:kern w:val="2"/>
          <w:sz w:val="32"/>
          <w:szCs w:val="32"/>
          <w:highlight w:val="none"/>
          <w:lang w:val="en-US" w:eastAsia="zh-CN" w:bidi="ar-SA"/>
        </w:rPr>
        <w:t>数与上年度持平。</w:t>
      </w:r>
    </w:p>
    <w:p w14:paraId="3F0644D9">
      <w:pPr>
        <w:numPr>
          <w:ilvl w:val="0"/>
          <w:numId w:val="0"/>
        </w:numPr>
        <w:spacing w:line="600" w:lineRule="exact"/>
        <w:ind w:left="630" w:leftChars="0"/>
        <w:outlineLvl w:val="1"/>
        <w:rPr>
          <w:rStyle w:val="30"/>
          <w:rFonts w:hint="eastAsia" w:ascii="Times New Roman" w:hAnsi="Times New Roman" w:eastAsia="黑体"/>
          <w:b w:val="0"/>
          <w:color w:val="auto"/>
          <w:highlight w:val="none"/>
        </w:rPr>
      </w:pPr>
      <w:bookmarkStart w:id="44" w:name="_Toc15396612"/>
      <w:bookmarkStart w:id="45" w:name="_Toc15377221"/>
      <w:r>
        <w:rPr>
          <w:rStyle w:val="30"/>
          <w:rFonts w:hint="eastAsia" w:ascii="Times New Roman" w:hAnsi="Times New Roman" w:eastAsia="黑体"/>
          <w:b w:val="0"/>
          <w:color w:val="auto"/>
          <w:highlight w:val="none"/>
          <w:lang w:eastAsia="zh-CN"/>
        </w:rPr>
        <w:t>十、</w:t>
      </w:r>
      <w:r>
        <w:rPr>
          <w:rStyle w:val="30"/>
          <w:rFonts w:hint="eastAsia" w:ascii="Times New Roman" w:hAnsi="Times New Roman" w:eastAsia="黑体"/>
          <w:b w:val="0"/>
          <w:color w:val="auto"/>
          <w:highlight w:val="none"/>
        </w:rPr>
        <w:t>其他重要事项的情况说明</w:t>
      </w:r>
      <w:bookmarkEnd w:id="44"/>
      <w:bookmarkEnd w:id="45"/>
    </w:p>
    <w:p w14:paraId="26D034D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6" w:name="_Toc15377222"/>
      <w:r>
        <w:rPr>
          <w:rFonts w:hint="eastAsia" w:ascii="Times New Roman" w:hAnsi="Times New Roman" w:eastAsia="楷体_GB2312" w:cs="楷体_GB2312"/>
          <w:b/>
          <w:color w:val="auto"/>
          <w:sz w:val="32"/>
          <w:szCs w:val="32"/>
          <w:highlight w:val="none"/>
        </w:rPr>
        <w:t>（一）机关运行经费支出情况</w:t>
      </w:r>
      <w:bookmarkEnd w:id="46"/>
    </w:p>
    <w:p w14:paraId="25CAB37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乐山市五通桥区牛华镇人民政府</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106.29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元，比2023年度减少</w:t>
      </w:r>
      <w:r>
        <w:rPr>
          <w:rFonts w:hint="eastAsia" w:eastAsia="仿宋_GB2312" w:cs="仿宋_GB2312"/>
          <w:color w:val="auto"/>
          <w:kern w:val="2"/>
          <w:sz w:val="32"/>
          <w:szCs w:val="32"/>
          <w:highlight w:val="none"/>
          <w:lang w:val="en-US" w:eastAsia="zh-CN" w:bidi="ar-SA"/>
        </w:rPr>
        <w:t>25.94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19.62</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一是</w:t>
      </w:r>
      <w:r>
        <w:rPr>
          <w:rFonts w:hint="eastAsia" w:ascii="仿宋_GB2312" w:eastAsia="仿宋_GB2312"/>
          <w:color w:val="auto"/>
          <w:sz w:val="32"/>
          <w:szCs w:val="32"/>
          <w:highlight w:val="none"/>
          <w:lang w:val="en-US" w:eastAsia="zh-CN"/>
        </w:rPr>
        <w:t>因机关工作人员为按时完成项目进度，抽调机关大部分工作人员参与到政府中心工作中去，差旅费等运行通过项目工作经费报销；二是人员减少，人员经费减少。</w:t>
      </w:r>
    </w:p>
    <w:p w14:paraId="3A1DEEF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7" w:name="_Toc15377223"/>
      <w:r>
        <w:rPr>
          <w:rFonts w:hint="eastAsia" w:ascii="Times New Roman" w:hAnsi="Times New Roman" w:eastAsia="楷体_GB2312" w:cs="楷体_GB2312"/>
          <w:b/>
          <w:color w:val="auto"/>
          <w:sz w:val="32"/>
          <w:szCs w:val="32"/>
          <w:highlight w:val="none"/>
        </w:rPr>
        <w:t>（二）政府采购支出情况</w:t>
      </w:r>
      <w:bookmarkEnd w:id="47"/>
    </w:p>
    <w:p w14:paraId="738185CB">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bookmarkStart w:id="48" w:name="_Toc15377224"/>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乐山市五通桥区牛华镇人民政府</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118.01</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118.01</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w:t>
      </w:r>
      <w:r>
        <w:rPr>
          <w:rFonts w:hint="eastAsia" w:ascii="仿宋_GB2312" w:hAnsi="仿宋_GB2312" w:eastAsia="仿宋_GB2312" w:cs="仿宋_GB2312"/>
          <w:sz w:val="32"/>
          <w:szCs w:val="32"/>
          <w:lang w:val="en-US" w:eastAsia="zh-CN"/>
        </w:rPr>
        <w:t>牛华镇农村公路破损路面修补项目，对我镇三塔村、汤家坝村域内破损路面，铺设水泥混凝土路面、沥青混凝土面层等</w:t>
      </w:r>
      <w:r>
        <w:rPr>
          <w:rFonts w:hint="eastAsia" w:ascii="仿宋_GB2312" w:hAnsi="仿宋_GB2312" w:eastAsia="仿宋_GB2312" w:cs="仿宋_GB2312"/>
          <w:color w:val="auto"/>
          <w:kern w:val="2"/>
          <w:sz w:val="32"/>
          <w:szCs w:val="32"/>
          <w:highlight w:val="none"/>
          <w:lang w:val="en-US" w:eastAsia="zh-CN" w:bidi="ar-SA"/>
        </w:rPr>
        <w:t>。授予中小企业合同金额</w:t>
      </w:r>
      <w:r>
        <w:rPr>
          <w:rFonts w:hint="eastAsia" w:ascii="仿宋_GB2312" w:hAnsi="仿宋_GB2312" w:eastAsia="仿宋_GB2312" w:cs="仿宋_GB2312"/>
          <w:sz w:val="32"/>
          <w:szCs w:val="32"/>
        </w:rPr>
        <w:t>118.01</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14:paraId="54FEC9C4">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（三）国有资产占有使用情况</w:t>
      </w:r>
      <w:bookmarkEnd w:id="48"/>
    </w:p>
    <w:p w14:paraId="18044D7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乐山市五通桥区牛华镇人民政府</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3</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3</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辆，其他用车主要是用于</w:t>
      </w:r>
      <w:r>
        <w:rPr>
          <w:rFonts w:hint="eastAsia" w:ascii="仿宋_GB2312" w:hAnsi="仿宋_GB2312" w:eastAsia="仿宋_GB2312" w:cs="仿宋_GB2312"/>
          <w:sz w:val="32"/>
          <w:szCs w:val="32"/>
        </w:rPr>
        <w:t>往返市、区开会、应急维稳、上报材料以及下村（社区）开展工作等</w:t>
      </w:r>
      <w:r>
        <w:rPr>
          <w:rFonts w:hint="eastAsia" w:ascii="仿宋_GB2312" w:hAnsi="仿宋_GB2312" w:eastAsia="仿宋_GB2312" w:cs="仿宋_GB2312"/>
          <w:color w:val="auto"/>
          <w:kern w:val="2"/>
          <w:sz w:val="32"/>
          <w:szCs w:val="32"/>
          <w:highlight w:val="none"/>
          <w:lang w:val="en-US" w:eastAsia="zh-CN" w:bidi="ar-SA"/>
        </w:rPr>
        <w:t>。单价100万元（含）以上设备（不含车辆）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7B9F7BEF">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632A8585">
      <w:pPr>
        <w:spacing w:line="58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本部门</w:t>
      </w:r>
      <w:r>
        <w:rPr>
          <w:rFonts w:hint="eastAsia" w:ascii="Times New Roman" w:hAnsi="Times New Roman" w:eastAsia="仿宋_GB2312" w:cs="仿宋_GB2312"/>
          <w:color w:val="auto"/>
          <w:kern w:val="2"/>
          <w:sz w:val="32"/>
          <w:szCs w:val="32"/>
          <w:highlight w:val="none"/>
          <w:lang w:val="en-US" w:eastAsia="zh-CN" w:bidi="ar-SA"/>
        </w:rPr>
        <w:t>在2024年度预算编制阶段，</w:t>
      </w:r>
      <w:r>
        <w:rPr>
          <w:rFonts w:hint="eastAsia" w:ascii="仿宋_GB2312" w:hAnsi="仿宋_GB2312" w:eastAsia="仿宋_GB2312" w:cs="仿宋_GB2312"/>
          <w:sz w:val="32"/>
          <w:szCs w:val="32"/>
        </w:rPr>
        <w:t>组织对农村基层组织活动及办公经费、农村公共服务运行维护、乡村振兴驻村第一书记和工作队帮扶事务管理、关心下一代工作事务管理等</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个项目编制了绩效目标</w:t>
      </w:r>
      <w:r>
        <w:rPr>
          <w:rFonts w:hint="eastAsia" w:ascii="仿宋_GB2312" w:hAnsi="仿宋_GB2312" w:eastAsia="仿宋_GB2312" w:cs="仿宋_GB2312"/>
          <w:color w:val="auto"/>
          <w:sz w:val="32"/>
          <w:szCs w:val="32"/>
          <w:highlight w:val="none"/>
        </w:rPr>
        <w:t>，预算执行过程中，选取</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个项目开展绩效监控</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绩效自评表详见第四部分附件。</w:t>
      </w:r>
    </w:p>
    <w:p w14:paraId="277BDCD5">
      <w:pPr>
        <w:pStyle w:val="2"/>
        <w:rPr>
          <w:rFonts w:hint="eastAsia" w:ascii="Times New Roman" w:hAnsi="Times New Roman" w:eastAsia="仿宋_GB2312" w:cs="仿宋_GB2312"/>
          <w:color w:val="auto"/>
          <w:kern w:val="2"/>
          <w:sz w:val="32"/>
          <w:szCs w:val="32"/>
          <w:highlight w:val="none"/>
          <w:lang w:val="en-US" w:eastAsia="zh-CN" w:bidi="ar-SA"/>
        </w:rPr>
      </w:pPr>
    </w:p>
    <w:p w14:paraId="7AD767F2">
      <w:pPr>
        <w:pStyle w:val="2"/>
        <w:rPr>
          <w:rFonts w:hint="eastAsia" w:ascii="Times New Roman" w:hAnsi="Times New Roman" w:eastAsia="仿宋_GB2312" w:cs="仿宋_GB2312"/>
          <w:color w:val="auto"/>
          <w:kern w:val="2"/>
          <w:sz w:val="32"/>
          <w:szCs w:val="32"/>
          <w:highlight w:val="none"/>
          <w:lang w:val="en-US" w:eastAsia="zh-CN" w:bidi="ar-SA"/>
        </w:rPr>
      </w:pPr>
    </w:p>
    <w:p w14:paraId="5A35D61D">
      <w:pPr>
        <w:pStyle w:val="2"/>
        <w:rPr>
          <w:rFonts w:hint="eastAsia" w:ascii="Times New Roman" w:hAnsi="Times New Roman" w:eastAsia="仿宋_GB2312" w:cs="仿宋_GB2312"/>
          <w:color w:val="auto"/>
          <w:kern w:val="2"/>
          <w:sz w:val="32"/>
          <w:szCs w:val="32"/>
          <w:highlight w:val="none"/>
          <w:lang w:val="en-US" w:eastAsia="zh-CN" w:bidi="ar-SA"/>
        </w:rPr>
      </w:pPr>
    </w:p>
    <w:p w14:paraId="54E10DD4">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9" w:name="_Toc15377225"/>
      <w:bookmarkStart w:id="50"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9"/>
      <w:bookmarkEnd w:id="50"/>
    </w:p>
    <w:p w14:paraId="67ABDDC7">
      <w:pPr>
        <w:spacing w:line="600" w:lineRule="exact"/>
        <w:jc w:val="left"/>
        <w:rPr>
          <w:rFonts w:ascii="Times New Roman" w:hAnsi="Times New Roman"/>
          <w:b/>
          <w:color w:val="auto"/>
          <w:sz w:val="44"/>
          <w:szCs w:val="44"/>
          <w:highlight w:val="none"/>
        </w:rPr>
      </w:pPr>
    </w:p>
    <w:p w14:paraId="0176219D">
      <w:pPr>
        <w:pStyle w:val="27"/>
        <w:spacing w:line="560" w:lineRule="exact"/>
        <w:ind w:firstLine="640" w:firstLineChars="200"/>
        <w:rPr>
          <w:rFonts w:ascii="仿宋_GB2312" w:hAnsi="仿宋_GB2312" w:eastAsia="仿宋_GB2312" w:cs="仿宋_GB2312"/>
          <w:color w:val="auto"/>
          <w:sz w:val="32"/>
          <w:szCs w:val="32"/>
        </w:rPr>
      </w:pPr>
      <w:bookmarkStart w:id="51" w:name="_Toc15396614"/>
      <w:bookmarkStart w:id="52" w:name="_Toc15377226"/>
      <w:r>
        <w:rPr>
          <w:rFonts w:hint="eastAsia" w:ascii="仿宋_GB2312" w:hAnsi="仿宋_GB2312" w:eastAsia="仿宋_GB2312" w:cs="仿宋_GB2312"/>
          <w:color w:val="auto"/>
          <w:sz w:val="32"/>
          <w:szCs w:val="32"/>
        </w:rPr>
        <w:t>1.财政拨款收入：指单位从同级财政部门取得的财政预算资金。</w:t>
      </w:r>
    </w:p>
    <w:p w14:paraId="35082C5C">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2.事业收入：指事业单位开展专业业务活动及辅助活动取得的收入。</w:t>
      </w:r>
    </w:p>
    <w:p w14:paraId="7B3847C6">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3.经营收入：指事业单位在专业业务活动及其辅助活动之外开展非独立核算经营活动取得的收入。</w:t>
      </w:r>
    </w:p>
    <w:p w14:paraId="1763A2AC">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4.其他收入：指单位取得的除上述收入以外的各项收入。 </w:t>
      </w:r>
    </w:p>
    <w:p w14:paraId="5410CCFF">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5.使用非财政拨款结余：指事业单位使用以前年度积累的非财政拨款结余弥补当年收支差额的金额。 </w:t>
      </w:r>
    </w:p>
    <w:p w14:paraId="728CD49A">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6.年初结转和结余：指以前年度尚未完成、结转到本年按有关规定继续使用的资金。 </w:t>
      </w:r>
    </w:p>
    <w:p w14:paraId="125AB9F0">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7.结余分配：指事业单位按照会计制度规定缴纳的所得税、提取的专用结余以及转入非财政拨款结余的金额等。</w:t>
      </w:r>
    </w:p>
    <w:p w14:paraId="65C9C350">
      <w:pPr>
        <w:pStyle w:val="27"/>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8、年末结转和结余：指单位按有关规定结转到下年或以后年度继续使用的资金。</w:t>
      </w:r>
    </w:p>
    <w:p w14:paraId="514DD08F">
      <w:pPr>
        <w:pStyle w:val="27"/>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9．一般公共服务：反映政府提供一般公共服务的支出。</w:t>
      </w:r>
    </w:p>
    <w:p w14:paraId="56A1DC0F">
      <w:pPr>
        <w:pStyle w:val="27"/>
        <w:spacing w:line="560" w:lineRule="exact"/>
        <w:ind w:firstLine="1280" w:firstLineChars="4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一般公共服务（类）</w:t>
      </w:r>
      <w:r>
        <w:rPr>
          <w:rFonts w:hint="eastAsia" w:ascii="仿宋_GB2312" w:hAnsi="仿宋_GB2312" w:eastAsia="仿宋_GB2312" w:cs="仿宋_GB2312"/>
          <w:color w:val="000000"/>
          <w:sz w:val="32"/>
          <w:szCs w:val="32"/>
          <w:lang w:val="en-US" w:eastAsia="zh-CN"/>
        </w:rPr>
        <w:t>人大事务</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其他人大事务</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反映除上述项目以外的其他人大事务支出。</w:t>
      </w:r>
    </w:p>
    <w:p w14:paraId="022EFAF4">
      <w:pPr>
        <w:pStyle w:val="27"/>
        <w:spacing w:line="560" w:lineRule="exact"/>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一般公共服务（类）政府办公厅（室）及相关机构事务（款）行政运行（项）：反映行政单位（包括实行公务员管理的事业单位）的基本支出。</w:t>
      </w:r>
    </w:p>
    <w:p w14:paraId="47B71131">
      <w:pPr>
        <w:pStyle w:val="15"/>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一般公共服务（类）政府办公厅（室）及相关机构事务（款）其他政府办公厅（室）及相关机构事务支出（项）：反映除上述项目（行政运行、机关服务等）以外的其他政府办公厅（室）及相关机构事务支出。</w:t>
      </w:r>
    </w:p>
    <w:p w14:paraId="325BDD4E">
      <w:pPr>
        <w:pStyle w:val="15"/>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一般公共服务（类）党委办公厅（室）及相关机构事务（款）一般行政管理事务（项）：反映行政单位（包括实行公务员管理的事业单位）未单独设置项级科目的其他项目支出。</w:t>
      </w:r>
    </w:p>
    <w:p w14:paraId="5B03A675">
      <w:pPr>
        <w:pStyle w:val="15"/>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一般公共服务（类）</w:t>
      </w:r>
      <w:r>
        <w:rPr>
          <w:rFonts w:hint="eastAsia" w:ascii="仿宋_GB2312" w:hAnsi="仿宋_GB2312" w:eastAsia="仿宋_GB2312" w:cs="仿宋_GB2312"/>
          <w:color w:val="000000"/>
          <w:sz w:val="32"/>
          <w:szCs w:val="32"/>
          <w:lang w:val="en-US" w:eastAsia="zh-CN"/>
        </w:rPr>
        <w:t>市场监督管理事务</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食品安全监管</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反映食品安全监管等专项工作支出。</w:t>
      </w:r>
    </w:p>
    <w:p w14:paraId="571CAEB1">
      <w:pPr>
        <w:pStyle w:val="15"/>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pP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一般公共服务（类）</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市场监督管理事务</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（款）</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其他市场监督管理事务</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（项）：</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反映用于除上述项目以外其他市场监督管理事务方面的支出。</w:t>
      </w:r>
    </w:p>
    <w:p w14:paraId="1E2F6B46">
      <w:pPr>
        <w:pStyle w:val="15"/>
        <w:numPr>
          <w:ilvl w:val="0"/>
          <w:numId w:val="14"/>
        </w:numPr>
        <w:shd w:val="clear" w:color="auto" w:fill="FFFFFF"/>
        <w:spacing w:before="360" w:beforeAutospacing="0" w:after="360" w:afterAutospacing="0"/>
        <w:ind w:leftChars="100" w:right="0" w:rightChars="0" w:firstLine="320" w:firstLineChars="1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公共安全支出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反映政府维护社会公共安全方面的支出。</w:t>
      </w:r>
    </w:p>
    <w:p w14:paraId="49004917">
      <w:pPr>
        <w:pStyle w:val="15"/>
        <w:shd w:val="clear" w:color="auto" w:fill="FFFFFF"/>
        <w:spacing w:before="360" w:beforeAutospacing="0" w:after="360" w:afterAutospacing="0"/>
        <w:ind w:firstLine="1049" w:firstLineChars="328"/>
        <w:jc w:val="both"/>
        <w:rPr>
          <w:rFonts w:hint="default"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pP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公共安全支出</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（类）</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公安</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（款）</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行政运行</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（项）：</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反映行政单位（包括实行公务员管理的事业单位）的基本支出。</w:t>
      </w:r>
    </w:p>
    <w:p w14:paraId="4C7DAE70">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．文化旅游体育与传媒支出：反映政府在文化、文物、体育、广播影视、新闻出版等方面的支出。</w:t>
      </w:r>
    </w:p>
    <w:p w14:paraId="2D504BF7">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文化旅游体育与传媒支出（类）文化和旅游（款）群众文化（项）：反映群众文化方面的支出，包括基层文化馆（站）、群众艺术馆支出等。</w:t>
      </w:r>
    </w:p>
    <w:p w14:paraId="375C88E8">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文化旅游体育与传媒支出（类）</w:t>
      </w:r>
      <w:r>
        <w:rPr>
          <w:rFonts w:hint="eastAsia" w:ascii="仿宋_GB2312" w:hAnsi="仿宋_GB2312" w:eastAsia="仿宋_GB2312" w:cs="仿宋_GB2312"/>
          <w:color w:val="000000"/>
          <w:sz w:val="32"/>
          <w:szCs w:val="32"/>
          <w:lang w:val="en-US" w:eastAsia="zh-CN"/>
        </w:rPr>
        <w:t>文化和旅游</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其他文化和旅游支出</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反映上述项目以外其他用于文化和旅游方面的支出。</w:t>
      </w:r>
    </w:p>
    <w:p w14:paraId="5BB8D0B5">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．社会保障和就业支出：反映政府在社会保障与就业方面的支出。</w:t>
      </w:r>
    </w:p>
    <w:p w14:paraId="45B85156">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社会保障和就业支出（类）人力资源和社会保障管理事务（款）其他人力资源和社会保障管理事务支出（项）：反映除上述项目以外其他用于人力资源和社会保障管理事务方面的支出。</w:t>
      </w:r>
    </w:p>
    <w:p w14:paraId="0EE14E0E">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民政管理事务（款）基层政权建设和社区治理（项）：反映开展城乡社区治理、城乡社区服务（乡村便民服务）、村（居）民自治、村（居）务公开、乡镇（街道）服务能力建设等基层政权建设和社区治理工作的支出。</w:t>
      </w:r>
    </w:p>
    <w:p w14:paraId="0581C8F2">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民政管理事务（款）其他民政管理事务支出（项）：反映民政部门接待来访、法制建设、政策宣传方面的支出，以及开展优抚安置、救灾减灾、社会救助、社会福利、婚姻登记、社会事务、信息化建设等专项业务的支出。</w:t>
      </w:r>
    </w:p>
    <w:p w14:paraId="6C1A69E5">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社会保障和就业支出（类）行政事业单位养老支出（款）机关事业单位基本养老保险缴费支出（项）：反映机关事业单位实施养老保险制度由单位缴纳的基本养老保险费支出。</w:t>
      </w:r>
    </w:p>
    <w:p w14:paraId="380B0B39">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社会保障和就业支出（类）行政事业单位养老支出（款）机关事业单位职业年金缴费支出（项）：反映机关事业单位实施养老保险制度由单位实际缴纳的职业年金支出。</w:t>
      </w:r>
    </w:p>
    <w:p w14:paraId="5F53953B">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社会保障和就业支出（类）行政事业单位养老支出（款）其他行政事业单位养老支出（项）：反映除上述项目以外其他用于行政事业单位养老方面的支出。</w:t>
      </w:r>
    </w:p>
    <w:p w14:paraId="5C071DA6">
      <w:pPr>
        <w:pStyle w:val="15"/>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社会保障和就业支出（类）就业补助（款）</w:t>
      </w:r>
      <w:r>
        <w:rPr>
          <w:rFonts w:hint="eastAsia" w:ascii="仿宋_GB2312" w:hAnsi="仿宋_GB2312" w:eastAsia="仿宋_GB2312" w:cs="仿宋_GB2312"/>
          <w:color w:val="000000"/>
          <w:sz w:val="32"/>
          <w:szCs w:val="32"/>
          <w:lang w:val="en-US" w:eastAsia="zh-CN"/>
        </w:rPr>
        <w:t>公益性岗位补贴</w:t>
      </w:r>
      <w:r>
        <w:rPr>
          <w:rFonts w:hint="eastAsia" w:ascii="仿宋_GB2312" w:hAnsi="仿宋_GB2312" w:eastAsia="仿宋_GB2312" w:cs="仿宋_GB2312"/>
          <w:color w:val="000000"/>
          <w:sz w:val="32"/>
          <w:szCs w:val="32"/>
        </w:rPr>
        <w:t>（项）：反映</w:t>
      </w:r>
      <w:r>
        <w:rPr>
          <w:rFonts w:hint="eastAsia" w:ascii="仿宋_GB2312" w:hAnsi="仿宋_GB2312" w:eastAsia="仿宋_GB2312" w:cs="仿宋_GB2312"/>
          <w:color w:val="000000"/>
          <w:sz w:val="32"/>
          <w:szCs w:val="32"/>
          <w:lang w:val="en-US" w:eastAsia="zh-CN"/>
        </w:rPr>
        <w:t>财政对符合条件的就业困难人员在公益性岗位就业给予的岗位补贴支出。</w:t>
      </w:r>
    </w:p>
    <w:p w14:paraId="00AE3F7E">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社会保障和就业支出（类）就业补助（款）其他就业补助支出（项）：反映除上述项目以外按规定确定的其他用于促进就业的补助支出。</w:t>
      </w:r>
    </w:p>
    <w:p w14:paraId="4141873D">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社会保障和就业支出（类）抚恤（款）其他优抚支出（项）：反映除上述项目以外其他用于优抚方面的支出。</w:t>
      </w:r>
    </w:p>
    <w:p w14:paraId="1CAF68B1">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社会保障和就业支出（类）残疾人事业（款）其他残疾人事业支出（项）：反映除上述项目以外其他用于残疾人事业方面的支出。</w:t>
      </w:r>
    </w:p>
    <w:p w14:paraId="77206797">
      <w:pPr>
        <w:pStyle w:val="15"/>
        <w:shd w:val="clear" w:color="auto" w:fill="FFFFFF"/>
        <w:spacing w:before="360" w:beforeAutospacing="0" w:after="360" w:afterAutospacing="0"/>
        <w:ind w:firstLine="640" w:firstLineChars="20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社会保障和就业支出（类）</w:t>
      </w:r>
      <w:r>
        <w:rPr>
          <w:rFonts w:hint="eastAsia" w:ascii="仿宋_GB2312" w:hAnsi="仿宋_GB2312" w:eastAsia="仿宋_GB2312" w:cs="仿宋_GB2312"/>
          <w:color w:val="000000"/>
          <w:sz w:val="32"/>
          <w:szCs w:val="32"/>
          <w:lang w:val="en-US" w:eastAsia="zh-CN"/>
        </w:rPr>
        <w:t>临时救助</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临时救助</w:t>
      </w:r>
      <w:r>
        <w:rPr>
          <w:rFonts w:hint="eastAsia" w:ascii="仿宋_GB2312" w:hAnsi="仿宋_GB2312" w:eastAsia="仿宋_GB2312" w:cs="仿宋_GB2312"/>
          <w:color w:val="000000"/>
          <w:sz w:val="32"/>
          <w:szCs w:val="32"/>
        </w:rPr>
        <w:t>支出（项）：</w:t>
      </w:r>
      <w:r>
        <w:rPr>
          <w:rFonts w:hint="eastAsia" w:ascii="仿宋_GB2312" w:hAnsi="仿宋_GB2312" w:eastAsia="仿宋_GB2312" w:cs="仿宋_GB2312"/>
          <w:color w:val="000000"/>
          <w:sz w:val="32"/>
          <w:szCs w:val="32"/>
          <w:lang w:val="en-US" w:eastAsia="zh-CN"/>
        </w:rPr>
        <w:t>反映用于城乡生活困难居民的临时救助支出。</w:t>
      </w:r>
    </w:p>
    <w:p w14:paraId="4CF7FD00">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社会保障和就业支出（类）其他社会保障和就业支出（款）其他社会保障和就业支出（项）：反映除上述项目以外其他用于社会保障和就业方面的支出。</w:t>
      </w:r>
    </w:p>
    <w:p w14:paraId="61D3F829">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13</w:t>
      </w:r>
      <w:r>
        <w:rPr>
          <w:rFonts w:hint="eastAsia" w:ascii="仿宋_GB2312" w:hAnsi="仿宋_GB2312" w:eastAsia="仿宋_GB2312" w:cs="仿宋_GB2312"/>
          <w:color w:val="000000"/>
          <w:sz w:val="32"/>
          <w:szCs w:val="32"/>
        </w:rPr>
        <w:t>．卫生健康支出：反映政府卫生健康管理方面的支出。</w:t>
      </w:r>
    </w:p>
    <w:p w14:paraId="492E2714">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卫生健康支出（类）公共卫生（款）</w:t>
      </w:r>
      <w:r>
        <w:rPr>
          <w:rFonts w:hint="eastAsia" w:ascii="仿宋_GB2312" w:hAnsi="仿宋_GB2312" w:eastAsia="仿宋_GB2312" w:cs="仿宋_GB2312"/>
          <w:color w:val="000000"/>
          <w:sz w:val="32"/>
          <w:szCs w:val="32"/>
          <w:lang w:val="en-US" w:eastAsia="zh-CN"/>
        </w:rPr>
        <w:t>采供血机构</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反映卫生健康部门所属采供血机构的支出</w:t>
      </w:r>
      <w:r>
        <w:rPr>
          <w:rFonts w:hint="eastAsia" w:ascii="仿宋_GB2312" w:hAnsi="仿宋_GB2312" w:eastAsia="仿宋_GB2312" w:cs="仿宋_GB2312"/>
          <w:color w:val="000000"/>
          <w:sz w:val="32"/>
          <w:szCs w:val="32"/>
        </w:rPr>
        <w:t>。</w:t>
      </w:r>
    </w:p>
    <w:p w14:paraId="5D4CDA19">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卫生健康支出（类）行政事业单位医疗（款）行政单位医疗（项）：反映财政部门集中安排的行政单位基本医疗保险缴费经费，未参加医疗保险的行政单位的公费医疗经费，按国家规定享受离休人员、红军老战士待遇人员的医疗经费。</w:t>
      </w:r>
    </w:p>
    <w:p w14:paraId="2900E606">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卫生健康支出（类）行政事业单位医疗（款）</w:t>
      </w:r>
      <w:r>
        <w:rPr>
          <w:rFonts w:hint="eastAsia" w:ascii="仿宋_GB2312" w:hAnsi="仿宋_GB2312" w:eastAsia="仿宋_GB2312" w:cs="仿宋_GB2312"/>
          <w:color w:val="000000"/>
          <w:sz w:val="32"/>
          <w:szCs w:val="32"/>
          <w:lang w:val="en-US" w:eastAsia="zh-CN"/>
        </w:rPr>
        <w:t>公务员医疗补助</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反映财政部门安排的公务员医疗补助经费。</w:t>
      </w:r>
    </w:p>
    <w:p w14:paraId="688E055A">
      <w:pPr>
        <w:pStyle w:val="15"/>
        <w:numPr>
          <w:ilvl w:val="0"/>
          <w:numId w:val="0"/>
        </w:numPr>
        <w:shd w:val="clear" w:color="auto" w:fill="FFFFFF"/>
        <w:spacing w:before="360" w:beforeAutospacing="0" w:after="360" w:afterAutospacing="0"/>
        <w:ind w:right="0" w:rightChars="0" w:firstLine="320" w:firstLineChars="1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14.节能环保</w:t>
      </w:r>
      <w:r>
        <w:rPr>
          <w:rFonts w:hint="eastAsia" w:ascii="仿宋_GB2312" w:hAnsi="仿宋_GB2312" w:eastAsia="仿宋_GB2312" w:cs="仿宋_GB2312"/>
          <w:color w:val="000000"/>
          <w:sz w:val="32"/>
          <w:szCs w:val="32"/>
        </w:rPr>
        <w:t>支出：反映政府</w:t>
      </w:r>
      <w:r>
        <w:rPr>
          <w:rFonts w:hint="eastAsia" w:ascii="仿宋_GB2312" w:hAnsi="仿宋_GB2312" w:eastAsia="仿宋_GB2312" w:cs="仿宋_GB2312"/>
          <w:color w:val="000000"/>
          <w:sz w:val="32"/>
          <w:szCs w:val="32"/>
          <w:lang w:val="en-US" w:eastAsia="zh-CN"/>
        </w:rPr>
        <w:t>节能环保</w:t>
      </w:r>
      <w:r>
        <w:rPr>
          <w:rFonts w:hint="eastAsia" w:ascii="仿宋_GB2312" w:hAnsi="仿宋_GB2312" w:eastAsia="仿宋_GB2312" w:cs="仿宋_GB2312"/>
          <w:color w:val="000000"/>
          <w:sz w:val="32"/>
          <w:szCs w:val="32"/>
        </w:rPr>
        <w:t>支出。</w:t>
      </w:r>
    </w:p>
    <w:p w14:paraId="6CD09AAD">
      <w:pPr>
        <w:pStyle w:val="15"/>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节能环保</w:t>
      </w:r>
      <w:r>
        <w:rPr>
          <w:rFonts w:hint="eastAsia" w:ascii="仿宋_GB2312" w:hAnsi="仿宋_GB2312" w:eastAsia="仿宋_GB2312" w:cs="仿宋_GB2312"/>
          <w:color w:val="000000"/>
          <w:sz w:val="32"/>
          <w:szCs w:val="32"/>
        </w:rPr>
        <w:t>支出（类）</w:t>
      </w:r>
      <w:r>
        <w:rPr>
          <w:rFonts w:hint="eastAsia" w:ascii="仿宋_GB2312" w:hAnsi="仿宋_GB2312" w:eastAsia="仿宋_GB2312" w:cs="仿宋_GB2312"/>
          <w:color w:val="000000"/>
          <w:sz w:val="32"/>
          <w:szCs w:val="32"/>
          <w:lang w:val="en-US" w:eastAsia="zh-CN"/>
        </w:rPr>
        <w:t>自然生态保护</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农村环境保护</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用于农村环境保护方面的支出。有关事项包括：农村环境综合整治，如生活垃圾、污水处理，农村饮用水源地监测与保护等；小城镇环境保护，如小城镇环境保护能力建设及环境基础设施建设，环境优美乡镇及生态村创建等；农用化学品（化肥、农药、农膜等）污染防治、畜禽养殖污染防治、土壤污染防治；农产品产地环境监测与监管，有机食品基地建设与管理，秸秆等农业废弃物综合利用；农村环境保护能力建设宣教、试点示范等。</w:t>
      </w:r>
    </w:p>
    <w:p w14:paraId="06A91DB0">
      <w:pPr>
        <w:pStyle w:val="15"/>
        <w:numPr>
          <w:ilvl w:val="0"/>
          <w:numId w:val="0"/>
        </w:numPr>
        <w:shd w:val="clear" w:color="auto" w:fill="FFFFFF"/>
        <w:spacing w:before="360" w:beforeAutospacing="0" w:after="360" w:afterAutospacing="0"/>
        <w:ind w:right="0" w:rightChars="0" w:firstLine="320" w:firstLineChars="1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城乡社区支出：反映政府城乡社区事务支出。</w:t>
      </w:r>
    </w:p>
    <w:p w14:paraId="65B460B4">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城乡社区支出（类）城乡社区公共设施（款）其他城乡社区公共设施支出（项）：</w:t>
      </w:r>
      <w:r>
        <w:rPr>
          <w:rFonts w:hint="eastAsia" w:ascii="仿宋_GB2312" w:hAnsi="仿宋_GB2312" w:eastAsia="仿宋_GB2312" w:cs="仿宋_GB2312"/>
          <w:color w:val="000000"/>
          <w:sz w:val="32"/>
          <w:szCs w:val="32"/>
          <w:lang w:val="en-US" w:eastAsia="zh-CN"/>
        </w:rPr>
        <w:t>反</w:t>
      </w:r>
      <w:r>
        <w:rPr>
          <w:rFonts w:hint="eastAsia" w:ascii="仿宋_GB2312" w:hAnsi="仿宋_GB2312" w:eastAsia="仿宋_GB2312" w:cs="仿宋_GB2312"/>
          <w:color w:val="000000"/>
          <w:sz w:val="32"/>
          <w:szCs w:val="32"/>
        </w:rPr>
        <w:t>映除上述项目以外其他用于城乡社区公共设施方面的支出。</w:t>
      </w:r>
      <w:bookmarkStart w:id="67" w:name="_GoBack"/>
      <w:bookmarkEnd w:id="67"/>
    </w:p>
    <w:p w14:paraId="2FA168CA">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．农林水支出：反映政府农林水事务支出。</w:t>
      </w:r>
    </w:p>
    <w:p w14:paraId="1E3B277B">
      <w:pPr>
        <w:pStyle w:val="15"/>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农林水支出（类）农业农村（款）</w:t>
      </w:r>
      <w:r>
        <w:rPr>
          <w:rFonts w:hint="eastAsia" w:ascii="仿宋_GB2312" w:hAnsi="仿宋_GB2312" w:eastAsia="仿宋_GB2312" w:cs="仿宋_GB2312"/>
          <w:color w:val="000000"/>
          <w:sz w:val="32"/>
          <w:szCs w:val="32"/>
          <w:lang w:val="en-US" w:eastAsia="zh-CN"/>
        </w:rPr>
        <w:t>乡村道路建设</w:t>
      </w:r>
      <w:r>
        <w:rPr>
          <w:rFonts w:hint="eastAsia" w:ascii="仿宋_GB2312" w:hAnsi="仿宋_GB2312" w:eastAsia="仿宋_GB2312" w:cs="仿宋_GB2312"/>
          <w:color w:val="000000"/>
          <w:sz w:val="32"/>
          <w:szCs w:val="32"/>
        </w:rPr>
        <w:t>（项）：反映用于</w:t>
      </w:r>
      <w:r>
        <w:rPr>
          <w:rFonts w:hint="eastAsia" w:ascii="仿宋_GB2312" w:hAnsi="仿宋_GB2312" w:eastAsia="仿宋_GB2312" w:cs="仿宋_GB2312"/>
          <w:color w:val="000000"/>
          <w:sz w:val="32"/>
          <w:szCs w:val="32"/>
          <w:lang w:val="en-US" w:eastAsia="zh-CN"/>
        </w:rPr>
        <w:t>乡村内街巷和农田间机耕道建设等方面的支出。</w:t>
      </w:r>
    </w:p>
    <w:p w14:paraId="586B9AD4">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农林水支出（类）农业农村（款）</w:t>
      </w:r>
      <w:r>
        <w:rPr>
          <w:rFonts w:hint="eastAsia" w:ascii="仿宋_GB2312" w:hAnsi="仿宋_GB2312" w:eastAsia="仿宋_GB2312" w:cs="仿宋_GB2312"/>
          <w:color w:val="000000"/>
          <w:sz w:val="32"/>
          <w:szCs w:val="32"/>
          <w:lang w:val="en-US" w:eastAsia="zh-CN"/>
        </w:rPr>
        <w:t>其他农业农村支出</w:t>
      </w:r>
      <w:r>
        <w:rPr>
          <w:rFonts w:hint="eastAsia" w:ascii="仿宋_GB2312" w:hAnsi="仿宋_GB2312" w:eastAsia="仿宋_GB2312" w:cs="仿宋_GB2312"/>
          <w:color w:val="000000"/>
          <w:sz w:val="32"/>
          <w:szCs w:val="32"/>
        </w:rPr>
        <w:t>（项）：反映</w:t>
      </w:r>
      <w:r>
        <w:rPr>
          <w:rFonts w:hint="eastAsia" w:ascii="仿宋_GB2312" w:hAnsi="仿宋_GB2312" w:eastAsia="仿宋_GB2312" w:cs="仿宋_GB2312"/>
          <w:color w:val="000000"/>
          <w:sz w:val="32"/>
          <w:szCs w:val="32"/>
          <w:lang w:val="en-US" w:eastAsia="zh-CN"/>
        </w:rPr>
        <w:t>除上述项目以外其他用于农业农村方面的支出。</w:t>
      </w:r>
    </w:p>
    <w:p w14:paraId="1D24E75B">
      <w:pPr>
        <w:pStyle w:val="15"/>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农林水支出（类）</w:t>
      </w:r>
      <w:r>
        <w:rPr>
          <w:rFonts w:hint="eastAsia" w:ascii="仿宋_GB2312" w:hAnsi="仿宋_GB2312" w:eastAsia="仿宋_GB2312" w:cs="仿宋_GB2312"/>
          <w:color w:val="000000"/>
          <w:sz w:val="32"/>
          <w:szCs w:val="32"/>
          <w:lang w:val="en-US" w:eastAsia="zh-CN"/>
        </w:rPr>
        <w:t>林业和草原</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森林资源培育</w:t>
      </w:r>
      <w:r>
        <w:rPr>
          <w:rFonts w:hint="eastAsia" w:ascii="仿宋_GB2312" w:hAnsi="仿宋_GB2312" w:eastAsia="仿宋_GB2312" w:cs="仿宋_GB2312"/>
          <w:color w:val="000000"/>
          <w:sz w:val="32"/>
          <w:szCs w:val="32"/>
        </w:rPr>
        <w:t>（项）：反映</w:t>
      </w:r>
      <w:r>
        <w:rPr>
          <w:rFonts w:hint="eastAsia" w:ascii="仿宋_GB2312" w:hAnsi="仿宋_GB2312" w:eastAsia="仿宋_GB2312" w:cs="仿宋_GB2312"/>
          <w:color w:val="000000"/>
          <w:sz w:val="32"/>
          <w:szCs w:val="32"/>
          <w:lang w:val="en-US" w:eastAsia="zh-CN"/>
        </w:rPr>
        <w:t>森林资源核查、监测、评估、经营利用、林地保护等方面。</w:t>
      </w:r>
    </w:p>
    <w:p w14:paraId="24B97311">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农林水支出（类）</w:t>
      </w:r>
      <w:r>
        <w:rPr>
          <w:rFonts w:hint="eastAsia" w:ascii="仿宋_GB2312" w:hAnsi="仿宋_GB2312" w:eastAsia="仿宋_GB2312" w:cs="仿宋_GB2312"/>
          <w:color w:val="000000"/>
          <w:sz w:val="32"/>
          <w:szCs w:val="32"/>
          <w:lang w:val="en-US" w:eastAsia="zh-CN"/>
        </w:rPr>
        <w:t>巩固脱贫攻坚成果衔接乡村振兴</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其他巩固脱贫攻坚成果衔接乡村振兴支出</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反映除上述项目以外其他用于巩固拓展脱贫攻坚成果同乡村振兴有效衔接方面的支出。</w:t>
      </w:r>
    </w:p>
    <w:p w14:paraId="30D40087">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农林水支出（类）农村综合改革（款）对村民委员会和村党支部的补助（项）：反映各级财政对村民委员会和村党支部的补助支出，以及支持建立县级基本财力保障机制安排的村级组织运转奖补资金</w:t>
      </w:r>
      <w:r>
        <w:rPr>
          <w:rFonts w:hint="eastAsia" w:ascii="仿宋_GB2312" w:hAnsi="仿宋_GB2312" w:eastAsia="仿宋_GB2312" w:cs="仿宋_GB2312"/>
          <w:color w:val="000000"/>
          <w:sz w:val="32"/>
          <w:szCs w:val="32"/>
          <w:lang w:eastAsia="zh-CN"/>
        </w:rPr>
        <w:t>。</w:t>
      </w:r>
    </w:p>
    <w:p w14:paraId="216AEC2C">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农林水支出（类）农村综合改革（款）农村综合改革示范试点补助（项）：反映各级财政对农村综合改革示范试点、新型农业社会化服务体系建设等补助支出。</w:t>
      </w:r>
    </w:p>
    <w:p w14:paraId="54E35000">
      <w:pPr>
        <w:pStyle w:val="15"/>
        <w:numPr>
          <w:ilvl w:val="0"/>
          <w:numId w:val="15"/>
        </w:numPr>
        <w:shd w:val="clear" w:color="auto" w:fill="FFFFFF"/>
        <w:spacing w:before="360" w:beforeAutospacing="0" w:after="360" w:afterAutospacing="0"/>
        <w:ind w:firstLine="320" w:firstLineChars="1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资源勘探工业信息等</w:t>
      </w:r>
      <w:r>
        <w:rPr>
          <w:rFonts w:hint="eastAsia" w:ascii="仿宋_GB2312" w:hAnsi="仿宋_GB2312" w:eastAsia="仿宋_GB2312" w:cs="仿宋_GB2312"/>
          <w:color w:val="000000"/>
          <w:sz w:val="32"/>
          <w:szCs w:val="32"/>
        </w:rPr>
        <w:t>支出：</w:t>
      </w:r>
      <w:r>
        <w:rPr>
          <w:rFonts w:hint="eastAsia" w:ascii="仿宋_GB2312" w:hAnsi="仿宋_GB2312" w:eastAsia="仿宋_GB2312" w:cs="仿宋_GB2312"/>
          <w:color w:val="000000"/>
          <w:sz w:val="32"/>
          <w:szCs w:val="32"/>
          <w:lang w:val="en-US" w:eastAsia="zh-CN"/>
        </w:rPr>
        <w:t>反映用于资源勘探、制造业、建筑业、工业信息等方面支出</w:t>
      </w:r>
      <w:r>
        <w:rPr>
          <w:rFonts w:hint="eastAsia" w:ascii="仿宋_GB2312" w:hAnsi="仿宋_GB2312" w:eastAsia="仿宋_GB2312" w:cs="仿宋_GB2312"/>
          <w:color w:val="000000"/>
          <w:sz w:val="32"/>
          <w:szCs w:val="32"/>
        </w:rPr>
        <w:t>。</w:t>
      </w:r>
    </w:p>
    <w:p w14:paraId="19677ECC">
      <w:pPr>
        <w:pStyle w:val="15"/>
        <w:numPr>
          <w:ilvl w:val="0"/>
          <w:numId w:val="0"/>
        </w:numPr>
        <w:shd w:val="clear" w:color="auto" w:fill="FFFFFF"/>
        <w:spacing w:before="360" w:beforeAutospacing="0" w:after="360" w:afterAutospacing="0"/>
        <w:ind w:leftChars="100" w:right="0" w:rightChars="0" w:firstLine="640" w:firstLineChars="20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资源勘探工业信息等支出</w:t>
      </w:r>
      <w:r>
        <w:rPr>
          <w:rFonts w:hint="eastAsia" w:ascii="仿宋_GB2312" w:hAnsi="仿宋_GB2312" w:eastAsia="仿宋_GB2312" w:cs="仿宋_GB2312"/>
          <w:color w:val="000000"/>
          <w:sz w:val="32"/>
          <w:szCs w:val="32"/>
        </w:rPr>
        <w:t>（类）</w:t>
      </w:r>
      <w:r>
        <w:rPr>
          <w:rFonts w:hint="eastAsia" w:ascii="仿宋_GB2312" w:hAnsi="仿宋_GB2312" w:eastAsia="仿宋_GB2312" w:cs="仿宋_GB2312"/>
          <w:color w:val="000000"/>
          <w:sz w:val="32"/>
          <w:szCs w:val="32"/>
          <w:lang w:val="en-US" w:eastAsia="zh-CN"/>
        </w:rPr>
        <w:t>工业和信息产业监管</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一般行政管理事务</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反映行政单位（包括实行公务员管理的事业单位）未单独设置项级科目的其他项目支出。</w:t>
      </w:r>
    </w:p>
    <w:p w14:paraId="33DE7EB8">
      <w:pPr>
        <w:pStyle w:val="15"/>
        <w:numPr>
          <w:ilvl w:val="0"/>
          <w:numId w:val="0"/>
        </w:numPr>
        <w:shd w:val="clear" w:color="auto" w:fill="FFFFFF"/>
        <w:spacing w:before="360" w:beforeAutospacing="0" w:after="360" w:afterAutospacing="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18</w:t>
      </w:r>
      <w:r>
        <w:rPr>
          <w:rFonts w:hint="eastAsia" w:ascii="仿宋_GB2312" w:hAnsi="仿宋_GB2312" w:eastAsia="仿宋_GB2312" w:cs="仿宋_GB2312"/>
          <w:color w:val="000000"/>
          <w:sz w:val="32"/>
          <w:szCs w:val="32"/>
        </w:rPr>
        <w:t>．住房保障支出：集中反映政府用于住房方面的支出。</w:t>
      </w:r>
    </w:p>
    <w:p w14:paraId="74265CBB">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住房保障支出（类）住房改革支出（款）住房公积金（项）：反映行政事业单位按人力资源和社会保障部、财政部规定的基本工资和津贴补贴以及规定比例为职工缴纳的住房公积金。</w:t>
      </w:r>
    </w:p>
    <w:p w14:paraId="7A3C6B1B">
      <w:pPr>
        <w:pStyle w:val="15"/>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19</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灾害防治及应急管理支出：反映政府用于自然灾害防治、安全生产监管及应急管理等方面的支出。</w:t>
      </w:r>
    </w:p>
    <w:p w14:paraId="20844A87">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灾害防治及应急管理支出（类）</w:t>
      </w:r>
      <w:r>
        <w:rPr>
          <w:rFonts w:hint="eastAsia" w:ascii="仿宋_GB2312" w:hAnsi="仿宋_GB2312" w:eastAsia="仿宋_GB2312" w:cs="仿宋_GB2312"/>
          <w:color w:val="000000"/>
          <w:sz w:val="32"/>
          <w:szCs w:val="32"/>
          <w:lang w:val="en-US" w:eastAsia="zh-CN"/>
        </w:rPr>
        <w:t>自然灾害救灾及恢复重建支出</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自然灾害救灾补助</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反映用于应对重大自然灾害应急救援和受灾群众救助的支出。</w:t>
      </w:r>
    </w:p>
    <w:p w14:paraId="5E5715C9">
      <w:pPr>
        <w:pStyle w:val="2"/>
        <w:numPr>
          <w:ilvl w:val="0"/>
          <w:numId w:val="0"/>
        </w:numPr>
        <w:spacing w:before="93"/>
        <w:ind w:firstLine="320" w:firstLineChars="100"/>
        <w:rPr>
          <w:rFonts w:hint="default" w:ascii="仿宋_GB2312" w:hAnsi="仿宋_GB2312" w:eastAsia="仿宋_GB2312" w:cs="仿宋_GB2312"/>
          <w:sz w:val="32"/>
          <w:szCs w:val="32"/>
          <w:lang w:val="en-US" w:eastAsia="zh-CN"/>
        </w:rPr>
      </w:pPr>
      <w:r>
        <w:rPr>
          <w:rFonts w:hint="eastAsia" w:hAnsi="仿宋_GB2312" w:cs="仿宋_GB2312"/>
          <w:sz w:val="32"/>
          <w:szCs w:val="32"/>
          <w:lang w:val="en-US" w:eastAsia="zh-CN"/>
        </w:rPr>
        <w:t>20.</w:t>
      </w:r>
      <w:r>
        <w:rPr>
          <w:rFonts w:hint="eastAsia" w:ascii="仿宋_GB2312" w:hAnsi="仿宋_GB2312" w:eastAsia="仿宋_GB2312" w:cs="仿宋_GB2312"/>
          <w:sz w:val="32"/>
          <w:szCs w:val="32"/>
        </w:rPr>
        <w:t>城乡社区支出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反映政府城乡社区事务支出。</w:t>
      </w:r>
    </w:p>
    <w:p w14:paraId="135F8AE2">
      <w:pPr>
        <w:pStyle w:val="2"/>
        <w:numPr>
          <w:ilvl w:val="0"/>
          <w:numId w:val="0"/>
        </w:numPr>
        <w:spacing w:before="93"/>
        <w:ind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城乡社区支出（类）国有土地使用权出让收入安排的支出（款）农业农村生态环境支出（项）：</w:t>
      </w:r>
      <w:r>
        <w:rPr>
          <w:rFonts w:hint="eastAsia" w:ascii="仿宋_GB2312" w:hAnsi="仿宋_GB2312" w:eastAsia="仿宋_GB2312" w:cs="仿宋_GB2312"/>
          <w:sz w:val="32"/>
          <w:szCs w:val="32"/>
          <w:lang w:val="en-US" w:eastAsia="zh-CN"/>
        </w:rPr>
        <w:t>反映土地出让收入用于农村人居环境整治、与农业农村直接相关的山水林田湖草生态保护修复等方面的支出。</w:t>
      </w:r>
    </w:p>
    <w:p w14:paraId="43B6462E">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城乡社区支出（类）城市基础设施配套费安排的支出（款）城市环境卫生（项）：</w:t>
      </w:r>
      <w:r>
        <w:rPr>
          <w:rFonts w:hint="eastAsia" w:ascii="仿宋_GB2312" w:hAnsi="仿宋_GB2312" w:eastAsia="仿宋_GB2312" w:cs="仿宋_GB2312"/>
          <w:sz w:val="32"/>
          <w:szCs w:val="32"/>
          <w:lang w:val="en-US" w:eastAsia="zh-CN"/>
        </w:rPr>
        <w:t>反映城市基础设施配套费安排用于道路清扫、垃圾清运与处理、污水处理、园林绿化等方面的支出。</w:t>
      </w:r>
    </w:p>
    <w:p w14:paraId="7740D4D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21</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14:paraId="452A757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22</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14:paraId="2FB4CEA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23</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14:paraId="2C46E87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24</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6D7DE3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25</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A76E946">
      <w:pPr>
        <w:pStyle w:val="2"/>
        <w:rPr>
          <w:rFonts w:hint="eastAsia" w:ascii="Times New Roman" w:hAnsi="Times New Roman" w:eastAsia="仿宋_GB2312" w:cs="仿宋_GB2312"/>
          <w:color w:val="auto"/>
          <w:kern w:val="2"/>
          <w:sz w:val="32"/>
          <w:szCs w:val="32"/>
          <w:highlight w:val="none"/>
          <w:lang w:val="en-US" w:eastAsia="zh-CN" w:bidi="ar-SA"/>
        </w:rPr>
      </w:pPr>
    </w:p>
    <w:p w14:paraId="3301A740">
      <w:pPr>
        <w:pStyle w:val="2"/>
        <w:rPr>
          <w:rFonts w:hint="eastAsia" w:ascii="Times New Roman" w:hAnsi="Times New Roman" w:eastAsia="仿宋_GB2312" w:cs="仿宋_GB2312"/>
          <w:color w:val="auto"/>
          <w:kern w:val="2"/>
          <w:sz w:val="32"/>
          <w:szCs w:val="32"/>
          <w:highlight w:val="none"/>
          <w:lang w:val="en-US" w:eastAsia="zh-CN" w:bidi="ar-SA"/>
        </w:rPr>
      </w:pPr>
    </w:p>
    <w:p w14:paraId="0766833B">
      <w:pPr>
        <w:spacing w:line="600" w:lineRule="exact"/>
        <w:jc w:val="center"/>
        <w:rPr>
          <w:rStyle w:val="29"/>
          <w:rFonts w:hint="eastAsia" w:ascii="Times New Roman" w:hAnsi="Times New Roman" w:eastAsia="黑体"/>
          <w:b w:val="0"/>
          <w:color w:val="auto"/>
          <w:highlight w:val="none"/>
          <w:lang w:eastAsia="zh-CN"/>
        </w:rPr>
      </w:pPr>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1"/>
    </w:p>
    <w:p w14:paraId="0E360756">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302F2E68">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14:paraId="7CAEC096">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1FA48CC0">
      <w:pPr>
        <w:spacing w:line="600" w:lineRule="exact"/>
        <w:jc w:val="center"/>
        <w:outlineLvl w:val="0"/>
        <w:rPr>
          <w:rFonts w:hint="eastAsia" w:ascii="黑体" w:hAnsi="黑体" w:eastAsia="黑体"/>
          <w:color w:val="FF0000"/>
          <w:sz w:val="44"/>
          <w:szCs w:val="44"/>
          <w:highlight w:val="none"/>
        </w:rPr>
      </w:pPr>
      <w:bookmarkStart w:id="53" w:name="_Toc15396618"/>
      <w:r>
        <w:rPr>
          <w:rFonts w:hint="eastAsia" w:hAnsi="Times New Roman" w:cs="Times New Roman"/>
          <w:sz w:val="32"/>
          <w:szCs w:val="32"/>
          <w:highlight w:val="none"/>
          <w:lang w:val="en-US" w:eastAsia="zh-CN"/>
        </w:rPr>
        <w:t>部门预算项目支出绩效自评表（2024年度）</w:t>
      </w:r>
    </w:p>
    <w:p w14:paraId="38180464">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p>
    <w:p w14:paraId="304248DB">
      <w:pPr>
        <w:pStyle w:val="2"/>
        <w:rPr>
          <w:rFonts w:hint="default" w:ascii="仿宋_GB2312" w:hAnsi="Calibri"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自评表详见附件</w:t>
      </w:r>
    </w:p>
    <w:p w14:paraId="191F6E62">
      <w:pPr>
        <w:widowControl/>
        <w:jc w:val="center"/>
        <w:rPr>
          <w:rFonts w:hint="eastAsia" w:ascii="Times New Roman" w:hAnsi="Times New Roman" w:eastAsia="黑体"/>
          <w:color w:val="auto"/>
          <w:sz w:val="44"/>
          <w:szCs w:val="44"/>
          <w:highlight w:val="none"/>
        </w:rPr>
      </w:pPr>
    </w:p>
    <w:p w14:paraId="1A074A00">
      <w:pPr>
        <w:widowControl/>
        <w:jc w:val="center"/>
        <w:rPr>
          <w:rFonts w:hint="eastAsia" w:ascii="Times New Roman" w:hAnsi="Times New Roman" w:eastAsia="黑体"/>
          <w:color w:val="auto"/>
          <w:sz w:val="44"/>
          <w:szCs w:val="44"/>
          <w:highlight w:val="none"/>
        </w:rPr>
      </w:pPr>
    </w:p>
    <w:p w14:paraId="58B91331">
      <w:pPr>
        <w:widowControl/>
        <w:jc w:val="center"/>
        <w:rPr>
          <w:rFonts w:hint="eastAsia" w:ascii="Times New Roman" w:hAnsi="Times New Roman" w:eastAsia="黑体"/>
          <w:color w:val="auto"/>
          <w:sz w:val="44"/>
          <w:szCs w:val="44"/>
          <w:highlight w:val="none"/>
        </w:rPr>
      </w:pPr>
    </w:p>
    <w:p w14:paraId="5644C581">
      <w:pPr>
        <w:widowControl/>
        <w:jc w:val="center"/>
        <w:rPr>
          <w:rFonts w:hint="eastAsia" w:ascii="Times New Roman" w:hAnsi="Times New Roman" w:eastAsia="黑体"/>
          <w:color w:val="auto"/>
          <w:sz w:val="44"/>
          <w:szCs w:val="44"/>
          <w:highlight w:val="none"/>
        </w:rPr>
      </w:pPr>
    </w:p>
    <w:p w14:paraId="221EFD36">
      <w:pPr>
        <w:widowControl/>
        <w:jc w:val="center"/>
        <w:rPr>
          <w:rFonts w:hint="eastAsia" w:ascii="Times New Roman" w:hAnsi="Times New Roman" w:eastAsia="黑体"/>
          <w:color w:val="auto"/>
          <w:sz w:val="44"/>
          <w:szCs w:val="44"/>
          <w:highlight w:val="none"/>
        </w:rPr>
      </w:pPr>
    </w:p>
    <w:p w14:paraId="0AB5A8FD">
      <w:pPr>
        <w:widowControl/>
        <w:jc w:val="center"/>
        <w:rPr>
          <w:rFonts w:hint="eastAsia" w:ascii="Times New Roman" w:hAnsi="Times New Roman" w:eastAsia="黑体"/>
          <w:color w:val="auto"/>
          <w:sz w:val="44"/>
          <w:szCs w:val="44"/>
          <w:highlight w:val="none"/>
        </w:rPr>
      </w:pPr>
    </w:p>
    <w:p w14:paraId="436FE833">
      <w:pPr>
        <w:widowControl/>
        <w:jc w:val="center"/>
        <w:rPr>
          <w:rFonts w:hint="eastAsia" w:ascii="Times New Roman" w:hAnsi="Times New Roman" w:eastAsia="黑体"/>
          <w:color w:val="auto"/>
          <w:sz w:val="44"/>
          <w:szCs w:val="44"/>
          <w:highlight w:val="none"/>
        </w:rPr>
      </w:pPr>
    </w:p>
    <w:p w14:paraId="0C05241C">
      <w:pPr>
        <w:widowControl/>
        <w:jc w:val="center"/>
        <w:rPr>
          <w:rFonts w:hint="eastAsia" w:ascii="Times New Roman" w:hAnsi="Times New Roman" w:eastAsia="黑体"/>
          <w:color w:val="auto"/>
          <w:sz w:val="44"/>
          <w:szCs w:val="44"/>
          <w:highlight w:val="none"/>
        </w:rPr>
      </w:pPr>
    </w:p>
    <w:p w14:paraId="1880A7A2">
      <w:pPr>
        <w:widowControl/>
        <w:jc w:val="center"/>
        <w:rPr>
          <w:rFonts w:hint="eastAsia" w:ascii="Times New Roman" w:hAnsi="Times New Roman" w:eastAsia="黑体"/>
          <w:color w:val="auto"/>
          <w:sz w:val="44"/>
          <w:szCs w:val="44"/>
          <w:highlight w:val="none"/>
        </w:rPr>
      </w:pPr>
    </w:p>
    <w:p w14:paraId="6DA56C17">
      <w:pPr>
        <w:widowControl/>
        <w:jc w:val="center"/>
        <w:rPr>
          <w:rFonts w:hint="eastAsia" w:ascii="Times New Roman" w:hAnsi="Times New Roman" w:eastAsia="黑体"/>
          <w:color w:val="auto"/>
          <w:sz w:val="44"/>
          <w:szCs w:val="44"/>
          <w:highlight w:val="none"/>
        </w:rPr>
      </w:pPr>
    </w:p>
    <w:p w14:paraId="0A8BE8EB">
      <w:pPr>
        <w:widowControl/>
        <w:jc w:val="center"/>
        <w:rPr>
          <w:rFonts w:hint="eastAsia" w:ascii="Times New Roman" w:hAnsi="Times New Roman" w:eastAsia="黑体"/>
          <w:color w:val="auto"/>
          <w:sz w:val="44"/>
          <w:szCs w:val="44"/>
          <w:highlight w:val="none"/>
        </w:rPr>
      </w:pPr>
    </w:p>
    <w:p w14:paraId="1F24B90C">
      <w:pPr>
        <w:widowControl/>
        <w:jc w:val="center"/>
        <w:rPr>
          <w:rFonts w:hint="eastAsia" w:ascii="Times New Roman" w:hAnsi="Times New Roman" w:eastAsia="黑体"/>
          <w:color w:val="auto"/>
          <w:sz w:val="44"/>
          <w:szCs w:val="44"/>
          <w:highlight w:val="none"/>
        </w:rPr>
      </w:pPr>
    </w:p>
    <w:p w14:paraId="66FEDABA">
      <w:pPr>
        <w:widowControl/>
        <w:jc w:val="center"/>
        <w:rPr>
          <w:rFonts w:hint="eastAsia" w:ascii="Times New Roman" w:hAnsi="Times New Roman" w:eastAsia="黑体"/>
          <w:color w:val="auto"/>
          <w:sz w:val="44"/>
          <w:szCs w:val="44"/>
          <w:highlight w:val="none"/>
        </w:rPr>
      </w:pPr>
    </w:p>
    <w:p w14:paraId="18B9C6A6">
      <w:pPr>
        <w:widowControl/>
        <w:jc w:val="center"/>
        <w:rPr>
          <w:rFonts w:hint="eastAsia" w:ascii="Times New Roman" w:hAnsi="Times New Roman" w:eastAsia="黑体"/>
          <w:color w:val="auto"/>
          <w:sz w:val="44"/>
          <w:szCs w:val="44"/>
          <w:highlight w:val="none"/>
        </w:rPr>
      </w:pPr>
    </w:p>
    <w:p w14:paraId="0335B980">
      <w:pPr>
        <w:widowControl/>
        <w:jc w:val="center"/>
        <w:rPr>
          <w:rFonts w:hint="eastAsia" w:ascii="Times New Roman" w:hAnsi="Times New Roman" w:eastAsia="黑体"/>
          <w:color w:val="auto"/>
          <w:sz w:val="44"/>
          <w:szCs w:val="44"/>
          <w:highlight w:val="none"/>
        </w:rPr>
      </w:pPr>
    </w:p>
    <w:p w14:paraId="0439D8DF">
      <w:pPr>
        <w:widowControl/>
        <w:ind w:firstLine="2640" w:firstLineChars="600"/>
        <w:jc w:val="both"/>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52"/>
      <w:bookmarkEnd w:id="53"/>
      <w:bookmarkStart w:id="54" w:name="_Toc15396619"/>
    </w:p>
    <w:p w14:paraId="3AE2C49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7F000F4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4"/>
    </w:p>
    <w:p w14:paraId="4F72DFF3">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0"/>
      <w:r>
        <w:rPr>
          <w:rFonts w:hint="eastAsia" w:ascii="Times New Roman" w:hAnsi="Times New Roman" w:eastAsia="仿宋_GB2312" w:cs="仿宋_GB2312"/>
          <w:color w:val="auto"/>
          <w:sz w:val="32"/>
          <w:szCs w:val="32"/>
          <w:highlight w:val="none"/>
        </w:rPr>
        <w:t>二、收入决算表</w:t>
      </w:r>
      <w:bookmarkEnd w:id="55"/>
    </w:p>
    <w:p w14:paraId="51053735">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1"/>
      <w:r>
        <w:rPr>
          <w:rFonts w:hint="eastAsia" w:ascii="Times New Roman" w:hAnsi="Times New Roman" w:eastAsia="仿宋_GB2312" w:cs="仿宋_GB2312"/>
          <w:color w:val="auto"/>
          <w:sz w:val="32"/>
          <w:szCs w:val="32"/>
          <w:highlight w:val="none"/>
        </w:rPr>
        <w:t>三、支出决算表</w:t>
      </w:r>
      <w:bookmarkEnd w:id="56"/>
    </w:p>
    <w:p w14:paraId="60F8D61E">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2"/>
      <w:r>
        <w:rPr>
          <w:rFonts w:hint="eastAsia" w:ascii="Times New Roman" w:hAnsi="Times New Roman" w:eastAsia="仿宋_GB2312" w:cs="仿宋_GB2312"/>
          <w:color w:val="auto"/>
          <w:sz w:val="32"/>
          <w:szCs w:val="32"/>
          <w:highlight w:val="none"/>
        </w:rPr>
        <w:t>四、财政拨款收入支出决算总表</w:t>
      </w:r>
      <w:bookmarkEnd w:id="57"/>
    </w:p>
    <w:p w14:paraId="7089045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3"/>
      <w:r>
        <w:rPr>
          <w:rFonts w:hint="eastAsia" w:ascii="Times New Roman" w:hAnsi="Times New Roman" w:eastAsia="仿宋_GB2312" w:cs="仿宋_GB2312"/>
          <w:color w:val="auto"/>
          <w:sz w:val="32"/>
          <w:szCs w:val="32"/>
          <w:highlight w:val="none"/>
        </w:rPr>
        <w:t>五、财政拨款支出决算明细表</w:t>
      </w:r>
      <w:bookmarkEnd w:id="58"/>
      <w:bookmarkStart w:id="59" w:name="_Toc15396624"/>
    </w:p>
    <w:p w14:paraId="367D1853">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9"/>
    </w:p>
    <w:p w14:paraId="12E85A4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5"/>
      <w:r>
        <w:rPr>
          <w:rFonts w:hint="eastAsia" w:ascii="Times New Roman" w:hAnsi="Times New Roman" w:eastAsia="仿宋_GB2312" w:cs="仿宋_GB2312"/>
          <w:color w:val="auto"/>
          <w:sz w:val="32"/>
          <w:szCs w:val="32"/>
          <w:highlight w:val="none"/>
        </w:rPr>
        <w:t>七、一般公共预算财政拨款支出决算明细表</w:t>
      </w:r>
      <w:bookmarkEnd w:id="60"/>
    </w:p>
    <w:p w14:paraId="7FF24C76">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26"/>
      <w:r>
        <w:rPr>
          <w:rFonts w:hint="eastAsia" w:ascii="Times New Roman" w:hAnsi="Times New Roman" w:eastAsia="仿宋_GB2312" w:cs="仿宋_GB2312"/>
          <w:color w:val="auto"/>
          <w:sz w:val="32"/>
          <w:szCs w:val="32"/>
          <w:highlight w:val="none"/>
        </w:rPr>
        <w:t>八、一般公共预算财政拨款基本支出决算表</w:t>
      </w:r>
      <w:bookmarkEnd w:id="61"/>
    </w:p>
    <w:p w14:paraId="401781E2">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7"/>
      <w:r>
        <w:rPr>
          <w:rFonts w:hint="eastAsia" w:ascii="Times New Roman" w:hAnsi="Times New Roman" w:eastAsia="仿宋_GB2312" w:cs="仿宋_GB2312"/>
          <w:color w:val="auto"/>
          <w:sz w:val="32"/>
          <w:szCs w:val="32"/>
          <w:highlight w:val="none"/>
        </w:rPr>
        <w:t>九、一般公共预算财政拨款项目支出决算表</w:t>
      </w:r>
      <w:bookmarkEnd w:id="62"/>
    </w:p>
    <w:p w14:paraId="574D12F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8"/>
      <w:r>
        <w:rPr>
          <w:rFonts w:hint="eastAsia" w:ascii="Times New Roman" w:hAnsi="Times New Roman" w:eastAsia="仿宋_GB2312" w:cs="仿宋_GB2312"/>
          <w:color w:val="auto"/>
          <w:sz w:val="32"/>
          <w:szCs w:val="32"/>
          <w:highlight w:val="none"/>
        </w:rPr>
        <w:t>十、</w:t>
      </w:r>
      <w:bookmarkEnd w:id="63"/>
      <w:r>
        <w:rPr>
          <w:rFonts w:hint="eastAsia" w:ascii="Times New Roman" w:hAnsi="Times New Roman" w:eastAsia="仿宋_GB2312" w:cs="仿宋_GB2312"/>
          <w:color w:val="auto"/>
          <w:sz w:val="32"/>
          <w:szCs w:val="32"/>
          <w:highlight w:val="none"/>
        </w:rPr>
        <w:t>政府性基金预算财政拨款收入支出决算表</w:t>
      </w:r>
    </w:p>
    <w:p w14:paraId="2F0BF03F">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9"/>
      <w:r>
        <w:rPr>
          <w:rFonts w:hint="eastAsia" w:ascii="Times New Roman" w:hAnsi="Times New Roman" w:eastAsia="仿宋_GB2312" w:cs="仿宋_GB2312"/>
          <w:color w:val="auto"/>
          <w:sz w:val="32"/>
          <w:szCs w:val="32"/>
          <w:highlight w:val="none"/>
        </w:rPr>
        <w:t>十一、</w:t>
      </w:r>
      <w:bookmarkEnd w:id="64"/>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39F93A15">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30"/>
      <w:r>
        <w:rPr>
          <w:rFonts w:hint="eastAsia" w:ascii="Times New Roman" w:hAnsi="Times New Roman" w:eastAsia="仿宋_GB2312" w:cs="仿宋_GB2312"/>
          <w:color w:val="auto"/>
          <w:sz w:val="32"/>
          <w:szCs w:val="32"/>
          <w:highlight w:val="none"/>
        </w:rPr>
        <w:t>十二、</w:t>
      </w:r>
      <w:bookmarkEnd w:id="65"/>
      <w:r>
        <w:rPr>
          <w:rFonts w:hint="eastAsia" w:ascii="Times New Roman" w:hAnsi="Times New Roman" w:eastAsia="仿宋_GB2312" w:cs="仿宋_GB2312"/>
          <w:color w:val="auto"/>
          <w:sz w:val="32"/>
          <w:szCs w:val="32"/>
          <w:highlight w:val="none"/>
          <w:lang w:eastAsia="zh-CN"/>
        </w:rPr>
        <w:t>国有资本经营预算财政拨款支出决算表</w:t>
      </w:r>
    </w:p>
    <w:p w14:paraId="70FCE3AF">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6" w:name="_Toc15396631"/>
      <w:r>
        <w:rPr>
          <w:rFonts w:hint="eastAsia" w:ascii="Times New Roman" w:hAnsi="Times New Roman" w:eastAsia="仿宋_GB2312" w:cs="仿宋_GB2312"/>
          <w:color w:val="auto"/>
          <w:sz w:val="32"/>
          <w:szCs w:val="32"/>
          <w:highlight w:val="none"/>
        </w:rPr>
        <w:t>十三、</w:t>
      </w:r>
      <w:bookmarkEnd w:id="66"/>
      <w:r>
        <w:rPr>
          <w:rFonts w:hint="eastAsia" w:ascii="Times New Roman" w:hAnsi="Times New Roman" w:eastAsia="仿宋_GB2312" w:cs="仿宋_GB2312"/>
          <w:color w:val="auto"/>
          <w:sz w:val="32"/>
          <w:szCs w:val="32"/>
          <w:highlight w:val="none"/>
          <w:lang w:eastAsia="zh-CN"/>
        </w:rPr>
        <w:t>财政拨款“三公”经费支出决算表</w:t>
      </w:r>
    </w:p>
    <w:p w14:paraId="0A99E63F">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9A5E">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190E0D">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9190E0D">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14:paraId="0B3D1D67">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78C2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DEA">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BCC1DEA">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991D7">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0B7268">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70B7268">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4B934B29">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737A2">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8C8ED7">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88C8ED7">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7ACED">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BC114"/>
    <w:multiLevelType w:val="singleLevel"/>
    <w:tmpl w:val="85ABC114"/>
    <w:lvl w:ilvl="0" w:tentative="0">
      <w:start w:val="1"/>
      <w:numFmt w:val="decimal"/>
      <w:suff w:val="space"/>
      <w:lvlText w:val="%1."/>
      <w:lvlJc w:val="left"/>
      <w:pPr>
        <w:ind w:left="-10"/>
      </w:pPr>
    </w:lvl>
  </w:abstractNum>
  <w:abstractNum w:abstractNumId="1">
    <w:nsid w:val="92A2BF0F"/>
    <w:multiLevelType w:val="singleLevel"/>
    <w:tmpl w:val="92A2BF0F"/>
    <w:lvl w:ilvl="0" w:tentative="0">
      <w:start w:val="1"/>
      <w:numFmt w:val="decimal"/>
      <w:suff w:val="space"/>
      <w:lvlText w:val="%1."/>
      <w:lvlJc w:val="left"/>
    </w:lvl>
  </w:abstractNum>
  <w:abstractNum w:abstractNumId="2">
    <w:nsid w:val="9CF7E27F"/>
    <w:multiLevelType w:val="singleLevel"/>
    <w:tmpl w:val="9CF7E27F"/>
    <w:lvl w:ilvl="0" w:tentative="0">
      <w:start w:val="1"/>
      <w:numFmt w:val="decimal"/>
      <w:suff w:val="space"/>
      <w:lvlText w:val="%1."/>
      <w:lvlJc w:val="left"/>
    </w:lvl>
  </w:abstractNum>
  <w:abstractNum w:abstractNumId="3">
    <w:nsid w:val="A10E6296"/>
    <w:multiLevelType w:val="singleLevel"/>
    <w:tmpl w:val="A10E6296"/>
    <w:lvl w:ilvl="0" w:tentative="0">
      <w:start w:val="10"/>
      <w:numFmt w:val="decimal"/>
      <w:lvlText w:val="%1."/>
      <w:lvlJc w:val="left"/>
      <w:pPr>
        <w:tabs>
          <w:tab w:val="left" w:pos="312"/>
        </w:tabs>
      </w:pPr>
    </w:lvl>
  </w:abstractNum>
  <w:abstractNum w:abstractNumId="4">
    <w:nsid w:val="D1E1BB20"/>
    <w:multiLevelType w:val="singleLevel"/>
    <w:tmpl w:val="D1E1BB20"/>
    <w:lvl w:ilvl="0" w:tentative="0">
      <w:start w:val="1"/>
      <w:numFmt w:val="decimal"/>
      <w:lvlText w:val="%1."/>
      <w:lvlJc w:val="left"/>
      <w:pPr>
        <w:tabs>
          <w:tab w:val="left" w:pos="312"/>
        </w:tabs>
      </w:pPr>
    </w:lvl>
  </w:abstractNum>
  <w:abstractNum w:abstractNumId="5">
    <w:nsid w:val="DE6B2B27"/>
    <w:multiLevelType w:val="singleLevel"/>
    <w:tmpl w:val="DE6B2B27"/>
    <w:lvl w:ilvl="0" w:tentative="0">
      <w:start w:val="1"/>
      <w:numFmt w:val="chineseCounting"/>
      <w:suff w:val="nothing"/>
      <w:lvlText w:val="%1、"/>
      <w:lvlJc w:val="left"/>
      <w:rPr>
        <w:rFonts w:hint="eastAsia"/>
      </w:rPr>
    </w:lvl>
  </w:abstractNum>
  <w:abstractNum w:abstractNumId="6">
    <w:nsid w:val="0072A8BD"/>
    <w:multiLevelType w:val="singleLevel"/>
    <w:tmpl w:val="0072A8BD"/>
    <w:lvl w:ilvl="0" w:tentative="0">
      <w:start w:val="17"/>
      <w:numFmt w:val="decimal"/>
      <w:lvlText w:val="%1."/>
      <w:lvlJc w:val="left"/>
      <w:pPr>
        <w:tabs>
          <w:tab w:val="left" w:pos="312"/>
        </w:tabs>
      </w:pPr>
    </w:lvl>
  </w:abstractNum>
  <w:abstractNum w:abstractNumId="7">
    <w:nsid w:val="0294E865"/>
    <w:multiLevelType w:val="singleLevel"/>
    <w:tmpl w:val="0294E865"/>
    <w:lvl w:ilvl="0" w:tentative="0">
      <w:start w:val="1"/>
      <w:numFmt w:val="decimal"/>
      <w:suff w:val="space"/>
      <w:lvlText w:val="%1."/>
      <w:lvlJc w:val="left"/>
    </w:lvl>
  </w:abstractNum>
  <w:abstractNum w:abstractNumId="8">
    <w:nsid w:val="0BB13ED9"/>
    <w:multiLevelType w:val="singleLevel"/>
    <w:tmpl w:val="0BB13ED9"/>
    <w:lvl w:ilvl="0" w:tentative="0">
      <w:start w:val="1"/>
      <w:numFmt w:val="decimal"/>
      <w:suff w:val="space"/>
      <w:lvlText w:val="%1."/>
      <w:lvlJc w:val="left"/>
    </w:lvl>
  </w:abstractNum>
  <w:abstractNum w:abstractNumId="9">
    <w:nsid w:val="0F8C4DBB"/>
    <w:multiLevelType w:val="singleLevel"/>
    <w:tmpl w:val="0F8C4DBB"/>
    <w:lvl w:ilvl="0" w:tentative="0">
      <w:start w:val="1"/>
      <w:numFmt w:val="decimal"/>
      <w:suff w:val="space"/>
      <w:lvlText w:val="%1."/>
      <w:lvlJc w:val="left"/>
    </w:lvl>
  </w:abstractNum>
  <w:abstractNum w:abstractNumId="10">
    <w:nsid w:val="14704FFD"/>
    <w:multiLevelType w:val="singleLevel"/>
    <w:tmpl w:val="14704FFD"/>
    <w:lvl w:ilvl="0" w:tentative="0">
      <w:start w:val="1"/>
      <w:numFmt w:val="decimal"/>
      <w:suff w:val="space"/>
      <w:lvlText w:val="%1."/>
      <w:lvlJc w:val="left"/>
    </w:lvl>
  </w:abstractNum>
  <w:abstractNum w:abstractNumId="11">
    <w:nsid w:val="2152E7B4"/>
    <w:multiLevelType w:val="singleLevel"/>
    <w:tmpl w:val="2152E7B4"/>
    <w:lvl w:ilvl="0" w:tentative="0">
      <w:start w:val="1"/>
      <w:numFmt w:val="decimal"/>
      <w:suff w:val="space"/>
      <w:lvlText w:val="%1."/>
      <w:lvlJc w:val="left"/>
    </w:lvl>
  </w:abstractNum>
  <w:abstractNum w:abstractNumId="12">
    <w:nsid w:val="2AEBDBAD"/>
    <w:multiLevelType w:val="singleLevel"/>
    <w:tmpl w:val="2AEBDBAD"/>
    <w:lvl w:ilvl="0" w:tentative="0">
      <w:start w:val="1"/>
      <w:numFmt w:val="decimal"/>
      <w:suff w:val="space"/>
      <w:lvlText w:val="%1."/>
      <w:lvlJc w:val="left"/>
    </w:lvl>
  </w:abstractNum>
  <w:abstractNum w:abstractNumId="13">
    <w:nsid w:val="4A1BB593"/>
    <w:multiLevelType w:val="singleLevel"/>
    <w:tmpl w:val="4A1BB593"/>
    <w:lvl w:ilvl="0" w:tentative="0">
      <w:start w:val="1"/>
      <w:numFmt w:val="decimal"/>
      <w:suff w:val="space"/>
      <w:lvlText w:val="%1."/>
      <w:lvlJc w:val="left"/>
    </w:lvl>
  </w:abstractNum>
  <w:abstractNum w:abstractNumId="14">
    <w:nsid w:val="5FC1E4BF"/>
    <w:multiLevelType w:val="singleLevel"/>
    <w:tmpl w:val="5FC1E4BF"/>
    <w:lvl w:ilvl="0" w:tentative="0">
      <w:start w:val="1"/>
      <w:numFmt w:val="decimal"/>
      <w:lvlText w:val="%1."/>
      <w:lvlJc w:val="left"/>
      <w:pPr>
        <w:tabs>
          <w:tab w:val="left" w:pos="312"/>
        </w:tabs>
      </w:pPr>
    </w:lvl>
  </w:abstractNum>
  <w:num w:numId="1">
    <w:abstractNumId w:val="5"/>
  </w:num>
  <w:num w:numId="2">
    <w:abstractNumId w:val="4"/>
  </w:num>
  <w:num w:numId="3">
    <w:abstractNumId w:val="2"/>
  </w:num>
  <w:num w:numId="4">
    <w:abstractNumId w:val="10"/>
  </w:num>
  <w:num w:numId="5">
    <w:abstractNumId w:val="0"/>
  </w:num>
  <w:num w:numId="6">
    <w:abstractNumId w:val="11"/>
  </w:num>
  <w:num w:numId="7">
    <w:abstractNumId w:val="8"/>
  </w:num>
  <w:num w:numId="8">
    <w:abstractNumId w:val="7"/>
  </w:num>
  <w:num w:numId="9">
    <w:abstractNumId w:val="1"/>
  </w:num>
  <w:num w:numId="10">
    <w:abstractNumId w:val="13"/>
  </w:num>
  <w:num w:numId="11">
    <w:abstractNumId w:val="9"/>
  </w:num>
  <w:num w:numId="12">
    <w:abstractNumId w:val="12"/>
  </w:num>
  <w:num w:numId="13">
    <w:abstractNumId w:val="1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895DD1"/>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5E64FD"/>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18D57D3"/>
    <w:rsid w:val="443866E4"/>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8176D27"/>
    <w:rsid w:val="5AF92295"/>
    <w:rsid w:val="5B154493"/>
    <w:rsid w:val="5B250254"/>
    <w:rsid w:val="5BDD79E6"/>
    <w:rsid w:val="5BF561CA"/>
    <w:rsid w:val="5BFF5DFC"/>
    <w:rsid w:val="5C481B9B"/>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DE3AF6"/>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next w:val="1"/>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收入、支出决算总计变动情况图（万元）</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numCache>
            </c:numRef>
          </c:cat>
          <c:val>
            <c:numRef>
              <c:f>Sheet1!$B$2:$B$3</c:f>
              <c:numCache>
                <c:formatCode>General</c:formatCode>
                <c:ptCount val="2"/>
                <c:pt idx="0">
                  <c:v>2551.14</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numCache>
            </c:numRef>
          </c:cat>
          <c:val>
            <c:numRef>
              <c:f>Sheet1!$C$2:$C$3</c:f>
              <c:numCache>
                <c:formatCode>General</c:formatCode>
                <c:ptCount val="2"/>
                <c:pt idx="0">
                  <c:v>2068.77</c:v>
                </c:pt>
              </c:numCache>
            </c:numRef>
          </c:val>
        </c:ser>
        <c:ser>
          <c:idx val="2"/>
          <c:order val="2"/>
          <c:tx>
            <c:strRef>
              <c:f>Sheet1!$D$1</c:f>
              <c:strCache>
                <c:ptCount val="1"/>
                <c:pt idx="0">
                  <c:v/>
                </c:pt>
              </c:strCache>
            </c:strRef>
          </c:tx>
          <c:spPr>
            <a:solidFill>
              <a:schemeClr val="accent3"/>
            </a:solidFill>
            <a:ln>
              <a:noFill/>
            </a:ln>
            <a:effectLst/>
          </c:spPr>
          <c:invertIfNegative val="0"/>
          <c:dLbls>
            <c:delete val="1"/>
          </c:dLbls>
          <c:cat>
            <c:numRef>
              <c:f>Sheet1!$A$2:$A$3</c:f>
              <c:numCache>
                <c:formatCode>General</c:formatCode>
                <c:ptCount val="2"/>
              </c:numCache>
            </c:numRef>
          </c:cat>
          <c:val>
            <c:numRef>
              <c:f>Sheet1!$D$2:$D$3</c:f>
              <c:numCache>
                <c:formatCode>General</c:formatCode>
                <c:ptCount val="2"/>
              </c:numCache>
            </c:numRef>
          </c:val>
        </c:ser>
        <c:dLbls>
          <c:showLegendKey val="0"/>
          <c:showVal val="0"/>
          <c:showCatName val="0"/>
          <c:showSerName val="0"/>
          <c:showPercent val="0"/>
          <c:showBubbleSize val="0"/>
        </c:dLbls>
        <c:gapWidth val="246"/>
        <c:overlap val="-28"/>
        <c:axId val="818866313"/>
        <c:axId val="41455463"/>
      </c:barChart>
      <c:catAx>
        <c:axId val="81886631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1455463"/>
        <c:crosses val="autoZero"/>
        <c:auto val="1"/>
        <c:lblAlgn val="ctr"/>
        <c:lblOffset val="100"/>
        <c:noMultiLvlLbl val="0"/>
      </c:catAx>
      <c:valAx>
        <c:axId val="4145546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8866313"/>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f3879ab-5913-4a0d-b3ad-8ba870b45d2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27947571877265"/>
          <c:y val="0.298555036124097"/>
          <c:w val="0.39514375453008"/>
          <c:h val="0.695070123246919"/>
        </c:manualLayout>
      </c:layout>
      <c:pieChart>
        <c:varyColors val="1"/>
        <c:ser>
          <c:idx val="0"/>
          <c:order val="0"/>
          <c:tx>
            <c:strRef>
              <c:f>Sheet1!$B$1</c:f>
              <c:strCache>
                <c:ptCount val="1"/>
                <c:pt idx="0">
                  <c:v>收入决算结构图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dLbl>
              <c:idx val="2"/>
              <c:layout>
                <c:manualLayout>
                  <c:x val="0.0652331481034066"/>
                  <c:y val="-0.012272950417280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21406136748007"/>
                  <c:y val="-0.0098183603338242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30804542159942"/>
                  <c:y val="-0.019636720667648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144962551340904"/>
                  <c:y val="-0.056455571919489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833534670210196"/>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43150519449142"/>
                  <c:y val="0.019636720667648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General</c:formatCode>
                <c:ptCount val="8"/>
                <c:pt idx="0">
                  <c:v>1805.94</c:v>
                </c:pt>
                <c:pt idx="1">
                  <c:v>262.83</c:v>
                </c:pt>
                <c:pt idx="2">
                  <c:v>0</c:v>
                </c:pt>
                <c:pt idx="3">
                  <c:v>0</c:v>
                </c:pt>
                <c:pt idx="4">
                  <c:v>0</c:v>
                </c:pt>
                <c:pt idx="5">
                  <c:v>0</c:v>
                </c:pt>
                <c:pt idx="6">
                  <c:v>0</c:v>
                </c:pt>
                <c:pt idx="7">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878f25b-e50e-418b-872c-9dfd31424df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3"/>
              <c:layout>
                <c:manualLayout>
                  <c:x val="0.0691067315075505"/>
                  <c:y val="0.0031374189500104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78704888661377"/>
                  <c:y val="-0.015687094750052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1464.68</c:v>
                </c:pt>
                <c:pt idx="1">
                  <c:v>604.09</c:v>
                </c:pt>
                <c:pt idx="2">
                  <c:v>0</c:v>
                </c:pt>
                <c:pt idx="3">
                  <c:v>0</c:v>
                </c:pt>
                <c:pt idx="4">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ad9dc1e-03ab-4ae5-ba3f-ba5b61ecd54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manualLayout>
          <c:xMode val="edge"/>
          <c:yMode val="edge"/>
          <c:x val="0.207658854795844"/>
          <c:y val="0.0318742031449214"/>
        </c:manualLayout>
      </c:layout>
      <c:overlay val="0"/>
      <c:spPr>
        <a:noFill/>
        <a:ln>
          <a:noFill/>
        </a:ln>
        <a:effectLst/>
      </c:spPr>
    </c:title>
    <c:autoTitleDeleted val="0"/>
    <c:plotArea>
      <c:layout>
        <c:manualLayout>
          <c:layoutTarget val="inner"/>
          <c:xMode val="edge"/>
          <c:yMode val="edge"/>
          <c:x val="0.067600869775308"/>
          <c:y val="0.201657458563536"/>
          <c:w val="0.930345494080696"/>
          <c:h val="0.638631534211645"/>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2551.14</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2068.77</c:v>
                </c:pt>
              </c:numCache>
            </c:numRef>
          </c:val>
        </c:ser>
        <c:dLbls>
          <c:showLegendKey val="0"/>
          <c:showVal val="1"/>
          <c:showCatName val="0"/>
          <c:showSerName val="0"/>
          <c:showPercent val="0"/>
          <c:showBubbleSize val="0"/>
        </c:dLbls>
        <c:gapWidth val="246"/>
        <c:overlap val="-28"/>
        <c:axId val="928404811"/>
        <c:axId val="611193998"/>
      </c:barChart>
      <c:catAx>
        <c:axId val="92840481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1193998"/>
        <c:crosses val="autoZero"/>
        <c:auto val="1"/>
        <c:lblAlgn val="ctr"/>
        <c:lblOffset val="100"/>
        <c:noMultiLvlLbl val="0"/>
      </c:catAx>
      <c:valAx>
        <c:axId val="61119399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840481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93982d7-bdad-4919-aeed-336bc18c8fe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2252.82</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1805.94</c:v>
                </c:pt>
              </c:numCache>
            </c:numRef>
          </c:val>
        </c:ser>
        <c:dLbls>
          <c:showLegendKey val="0"/>
          <c:showVal val="1"/>
          <c:showCatName val="0"/>
          <c:showSerName val="0"/>
          <c:showPercent val="0"/>
          <c:showBubbleSize val="0"/>
        </c:dLbls>
        <c:gapWidth val="246"/>
        <c:overlap val="-28"/>
        <c:axId val="144564575"/>
        <c:axId val="890400515"/>
      </c:barChart>
      <c:catAx>
        <c:axId val="14456457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0400515"/>
        <c:crosses val="autoZero"/>
        <c:auto val="1"/>
        <c:lblAlgn val="ctr"/>
        <c:lblOffset val="100"/>
        <c:noMultiLvlLbl val="0"/>
      </c:catAx>
      <c:valAx>
        <c:axId val="89040051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456457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de66879-dbe0-42c1-9329-0d080269cc4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Pt>
            <c:idx val="8"/>
            <c:bubble3D val="0"/>
            <c:spPr>
              <a:solidFill>
                <a:schemeClr val="accent3">
                  <a:lumMod val="60000"/>
                </a:schemeClr>
              </a:solidFill>
              <a:ln>
                <a:solidFill>
                  <a:schemeClr val="bg1"/>
                </a:solidFill>
              </a:ln>
              <a:effectLst/>
            </c:spPr>
          </c:dPt>
          <c:dPt>
            <c:idx val="9"/>
            <c:bubble3D val="0"/>
            <c:spPr>
              <a:solidFill>
                <a:schemeClr val="accent4">
                  <a:lumMod val="60000"/>
                </a:schemeClr>
              </a:solidFill>
              <a:ln>
                <a:solidFill>
                  <a:schemeClr val="bg1"/>
                </a:solidFill>
              </a:ln>
              <a:effectLst/>
            </c:spPr>
          </c:dPt>
          <c:dPt>
            <c:idx val="10"/>
            <c:bubble3D val="0"/>
            <c:spPr>
              <a:solidFill>
                <a:schemeClr val="accent5">
                  <a:lumMod val="60000"/>
                </a:schemeClr>
              </a:solidFill>
              <a:ln>
                <a:solidFill>
                  <a:schemeClr val="bg1"/>
                </a:solidFill>
              </a:ln>
              <a:effectLst/>
            </c:spPr>
          </c:dPt>
          <c:dPt>
            <c:idx val="11"/>
            <c:bubble3D val="0"/>
            <c:spPr>
              <a:solidFill>
                <a:schemeClr val="accent6">
                  <a:lumMod val="60000"/>
                </a:schemeClr>
              </a:solidFill>
              <a:ln>
                <a:solidFill>
                  <a:schemeClr val="bg1"/>
                </a:solidFill>
              </a:ln>
              <a:effectLst/>
            </c:spPr>
          </c:dPt>
          <c:dPt>
            <c:idx val="12"/>
            <c:bubble3D val="0"/>
            <c:spPr>
              <a:solidFill>
                <a:schemeClr val="accent1">
                  <a:lumMod val="80000"/>
                  <a:lumOff val="20000"/>
                </a:schemeClr>
              </a:solidFill>
              <a:ln>
                <a:solidFill>
                  <a:schemeClr val="bg1"/>
                </a:solidFill>
              </a:ln>
              <a:effectLst/>
            </c:spPr>
          </c:dPt>
          <c:dLbls>
            <c:dLbl>
              <c:idx val="0"/>
              <c:layout>
                <c:manualLayout>
                  <c:x val="0.0914833165771539"/>
                  <c:y val="0.052426667778566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775426809784814"/>
                  <c:y val="-0.026755975976336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65130820070732"/>
                  <c:y val="-0.079718495965692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7553036341022"/>
                  <c:y val="0.013543140734021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0213009785369881"/>
                  <c:y val="0.08410044954726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891802202377321"/>
                  <c:y val="0.031706904670063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672660766214035"/>
                  <c:y val="0.040533270562407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999383509946187"/>
                  <c:y val="-0.0097783643717556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0823520218147519"/>
                  <c:y val="0.019680690402395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103725124253942"/>
                  <c:y val="0.0063961121655911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0.0900582476365839"/>
                  <c:y val="-0.026352035427663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2"/>
              <c:layout>
                <c:manualLayout>
                  <c:x val="0.205410420171108"/>
                  <c:y val="-0.0087016894310935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Sheet1!$A$2:$A$14</c:f>
              <c:strCache>
                <c:ptCount val="13"/>
                <c:pt idx="0">
                  <c:v>一般公共服务支出</c:v>
                </c:pt>
                <c:pt idx="1">
                  <c:v>公共安全支出</c:v>
                </c:pt>
                <c:pt idx="2">
                  <c:v>教育支出</c:v>
                </c:pt>
                <c:pt idx="3">
                  <c:v>科学技术支出</c:v>
                </c:pt>
                <c:pt idx="4">
                  <c:v>文化旅游体育与传媒支出</c:v>
                </c:pt>
                <c:pt idx="5">
                  <c:v>社会保障和就业支出</c:v>
                </c:pt>
                <c:pt idx="6">
                  <c:v>卫生健康支出</c:v>
                </c:pt>
                <c:pt idx="7">
                  <c:v>节能环保支出</c:v>
                </c:pt>
                <c:pt idx="8">
                  <c:v>城乡社区支出</c:v>
                </c:pt>
                <c:pt idx="9">
                  <c:v>农林水支出</c:v>
                </c:pt>
                <c:pt idx="10">
                  <c:v>资源勘探工业信息等支出</c:v>
                </c:pt>
                <c:pt idx="11">
                  <c:v>住房保障支出</c:v>
                </c:pt>
                <c:pt idx="12">
                  <c:v>灾害防治及应急管理支出</c:v>
                </c:pt>
              </c:strCache>
            </c:strRef>
          </c:cat>
          <c:val>
            <c:numRef>
              <c:f>Sheet1!$B$2:$B$14</c:f>
              <c:numCache>
                <c:formatCode>General</c:formatCode>
                <c:ptCount val="13"/>
                <c:pt idx="0">
                  <c:v>586.11</c:v>
                </c:pt>
                <c:pt idx="1">
                  <c:v>9.88</c:v>
                </c:pt>
                <c:pt idx="2">
                  <c:v>0</c:v>
                </c:pt>
                <c:pt idx="3">
                  <c:v>0</c:v>
                </c:pt>
                <c:pt idx="4">
                  <c:v>6.28</c:v>
                </c:pt>
                <c:pt idx="5">
                  <c:v>415.39</c:v>
                </c:pt>
                <c:pt idx="6">
                  <c:v>33.48</c:v>
                </c:pt>
                <c:pt idx="7">
                  <c:v>22.23</c:v>
                </c:pt>
                <c:pt idx="8">
                  <c:v>28.87</c:v>
                </c:pt>
                <c:pt idx="9">
                  <c:v>656.42</c:v>
                </c:pt>
                <c:pt idx="10">
                  <c:v>2.25</c:v>
                </c:pt>
                <c:pt idx="11">
                  <c:v>44.57</c:v>
                </c:pt>
                <c:pt idx="12">
                  <c:v>0.46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manualLayout>
          <c:xMode val="edge"/>
          <c:yMode val="edge"/>
          <c:x val="0.0483621356719113"/>
          <c:y val="0.08351537556713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47f1ddc-b2ee-4405-84e1-81c9a100112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a:t>
            </a:r>
            <a:r>
              <a:rPr altLang="en-US"/>
              <a:t>三公</a:t>
            </a:r>
            <a:r>
              <a:rPr lang="en-US" altLang="zh-CN"/>
              <a:t>”</a:t>
            </a:r>
            <a:r>
              <a:rPr altLang="en-US"/>
              <a:t>经费财政拨款支出结构</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delete val="1"/>
            </c:dLbl>
            <c:dLbl>
              <c:idx val="1"/>
              <c:layout>
                <c:manualLayout>
                  <c:x val="-0.0199329871528569"/>
                  <c:y val="-0.14577738091330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c:v>
                </c:pt>
                <c:pt idx="2">
                  <c:v>公务接待费支出</c:v>
                </c:pt>
              </c:strCache>
            </c:strRef>
          </c:cat>
          <c:val>
            <c:numRef>
              <c:f>Sheet1!$B$2:$B$4</c:f>
              <c:numCache>
                <c:formatCode>General</c:formatCode>
                <c:ptCount val="3"/>
                <c:pt idx="0">
                  <c:v>0</c:v>
                </c:pt>
                <c:pt idx="1">
                  <c:v>0.92</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e4ae7c2-9299-4586-bd41-fe1022ac75f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32</Pages>
  <Words>10353</Words>
  <Characters>11653</Characters>
  <Lines>61</Lines>
  <Paragraphs>17</Paragraphs>
  <TotalTime>19</TotalTime>
  <ScaleCrop>false</ScaleCrop>
  <LinksUpToDate>false</LinksUpToDate>
  <CharactersWithSpaces>11692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王巧丽</cp:lastModifiedBy>
  <cp:lastPrinted>2025-10-23T01:18:00Z</cp:lastPrinted>
  <dcterms:modified xsi:type="dcterms:W3CDTF">2025-10-23T01:22:56Z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04787F2533EB45DC91BCDE4AB213247F</vt:lpwstr>
  </property>
  <property fmtid="{D5CDD505-2E9C-101B-9397-08002B2CF9AE}" pid="4" name="KSOTemplateDocerSaveRecord">
    <vt:lpwstr>eyJoZGlkIjoiMjc5NDJjM2MxY2QxNGFjNjNlMzJlZTRiMmU5ODRjNjciLCJ1c2VySWQiOiIxNDg0MjA2MzkwIn0=</vt:lpwstr>
  </property>
</Properties>
</file>