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Times New Roman" w:hAnsi="Times New Roman" w:eastAsia="方正小标宋简体" w:cs="Times New Roman"/>
          <w:color w:val="auto"/>
          <w:kern w:val="2"/>
          <w:sz w:val="72"/>
          <w:szCs w:val="72"/>
          <w:highlight w:val="none"/>
          <w:lang w:val="en-US" w:eastAsia="zh-CN" w:bidi="ar-SA"/>
        </w:rPr>
      </w:pPr>
      <w:bookmarkStart w:id="0" w:name="_Toc15377425"/>
      <w:bookmarkStart w:id="1" w:name="_Toc15377193"/>
      <w:bookmarkStart w:id="2" w:name="_Toc15396475"/>
      <w:bookmarkStart w:id="3" w:name="_Toc15378441"/>
      <w:bookmarkStart w:id="4" w:name="_Toc15396597"/>
      <w:bookmarkStart w:id="5" w:name="_Toc15306267"/>
    </w:p>
    <w:p>
      <w:pPr>
        <w:pStyle w:val="4"/>
        <w:rPr>
          <w:rFonts w:hint="eastAsia" w:ascii="Times New Roman" w:hAnsi="Times New Roman" w:eastAsia="方正小标宋简体" w:cs="Times New Roman"/>
          <w:color w:val="auto"/>
          <w:kern w:val="2"/>
          <w:sz w:val="72"/>
          <w:szCs w:val="72"/>
          <w:highlight w:val="none"/>
          <w:lang w:val="en-US" w:eastAsia="zh-CN" w:bidi="ar-SA"/>
        </w:rPr>
      </w:pPr>
    </w:p>
    <w:p>
      <w:pPr>
        <w:pStyle w:val="4"/>
        <w:rPr>
          <w:rFonts w:hint="eastAsia" w:ascii="Times New Roman" w:hAnsi="Times New Roman" w:eastAsia="方正小标宋简体" w:cs="Times New Roman"/>
          <w:color w:val="auto"/>
          <w:kern w:val="2"/>
          <w:sz w:val="72"/>
          <w:szCs w:val="72"/>
          <w:highlight w:val="none"/>
          <w:lang w:val="en-US" w:eastAsia="zh-CN" w:bidi="ar-SA"/>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6" w:name="_Toc31032"/>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24</w:t>
      </w:r>
      <w:r>
        <w:rPr>
          <w:rFonts w:hint="eastAsia" w:ascii="方正小标宋简体" w:hAnsi="方正小标宋简体" w:eastAsia="方正小标宋简体" w:cs="方正小标宋简体"/>
          <w:color w:val="auto"/>
          <w:sz w:val="72"/>
          <w:szCs w:val="72"/>
          <w:highlight w:val="none"/>
        </w:rPr>
        <w:t>年度</w:t>
      </w:r>
      <w:bookmarkEnd w:id="6"/>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7" w:name="_Toc32427"/>
      <w:r>
        <w:rPr>
          <w:rFonts w:hint="eastAsia" w:ascii="方正小标宋简体" w:hAnsi="方正小标宋简体" w:eastAsia="方正小标宋简体" w:cs="方正小标宋简体"/>
          <w:color w:val="auto"/>
          <w:sz w:val="72"/>
          <w:szCs w:val="72"/>
          <w:highlight w:val="none"/>
        </w:rPr>
        <w:t>四川省</w:t>
      </w:r>
      <w:r>
        <w:rPr>
          <w:rFonts w:hint="eastAsia" w:ascii="方正小标宋简体" w:hAnsi="方正小标宋简体" w:eastAsia="方正小标宋简体" w:cs="方正小标宋简体"/>
          <w:color w:val="auto"/>
          <w:sz w:val="72"/>
          <w:szCs w:val="72"/>
          <w:highlight w:val="none"/>
          <w:lang w:val="en-US" w:eastAsia="zh-CN"/>
        </w:rPr>
        <w:t>乐山市五通桥区</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r>
        <w:rPr>
          <w:rFonts w:hint="eastAsia" w:ascii="方正小标宋简体" w:hAnsi="方正小标宋简体" w:eastAsia="方正小标宋简体" w:cs="方正小标宋简体"/>
          <w:color w:val="auto"/>
          <w:sz w:val="72"/>
          <w:szCs w:val="72"/>
          <w:highlight w:val="none"/>
          <w:lang w:val="en-US" w:eastAsia="zh-CN"/>
        </w:rPr>
        <w:t>粮食和物资储备中心</w:t>
      </w:r>
      <w:bookmarkStart w:id="128" w:name="_GoBack"/>
      <w:bookmarkEnd w:id="128"/>
      <w:r>
        <w:rPr>
          <w:rFonts w:hint="eastAsia" w:ascii="方正小标宋简体" w:hAnsi="方正小标宋简体" w:eastAsia="方正小标宋简体" w:cs="方正小标宋简体"/>
          <w:color w:val="auto"/>
          <w:sz w:val="72"/>
          <w:szCs w:val="72"/>
          <w:highlight w:val="none"/>
        </w:rPr>
        <w:t>决算</w:t>
      </w:r>
      <w:bookmarkEnd w:id="7"/>
    </w:p>
    <w:p>
      <w:pPr>
        <w:spacing w:line="600" w:lineRule="exact"/>
        <w:jc w:val="center"/>
        <w:outlineLvl w:val="0"/>
        <w:rPr>
          <w:rFonts w:ascii="Times New Roman" w:hAnsi="Times New Roman" w:eastAsia="方正小标宋简体"/>
          <w:color w:val="auto"/>
          <w:sz w:val="72"/>
          <w:szCs w:val="72"/>
          <w:highlight w:val="none"/>
        </w:rPr>
      </w:pPr>
    </w:p>
    <w:p>
      <w:pPr>
        <w:pStyle w:val="19"/>
        <w:rPr>
          <w:rFonts w:ascii="Times New Roman" w:hAnsi="Times New Roman"/>
        </w:rPr>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pPr>
    </w:p>
    <w:p>
      <w:pPr>
        <w:rPr>
          <w:rFonts w:ascii="Times New Roman" w:hAnsi="Times New Roman"/>
        </w:rPr>
      </w:pPr>
    </w:p>
    <w:bookmarkEnd w:id="0"/>
    <w:bookmarkEnd w:id="1"/>
    <w:bookmarkEnd w:id="2"/>
    <w:bookmarkEnd w:id="3"/>
    <w:bookmarkEnd w:id="4"/>
    <w:bookmarkEnd w:id="5"/>
    <w:p>
      <w:pPr>
        <w:widowControl/>
        <w:jc w:val="center"/>
        <w:rPr>
          <w:rFonts w:ascii="Times New Roman" w:hAnsi="Times New Roman" w:eastAsia="黑体"/>
          <w:color w:val="auto"/>
          <w:sz w:val="48"/>
          <w:szCs w:val="48"/>
          <w:highlight w:val="none"/>
        </w:rPr>
      </w:pPr>
      <w:r>
        <w:rPr>
          <w:rFonts w:hint="eastAsia" w:ascii="Times New Roman" w:hAnsi="Times New Roman" w:eastAsia="黑体"/>
          <w:color w:val="auto"/>
          <w:sz w:val="48"/>
          <w:szCs w:val="48"/>
          <w:highlight w:val="none"/>
        </w:rPr>
        <w:t>目录</w:t>
      </w:r>
    </w:p>
    <w:p>
      <w:pPr>
        <w:widowControl/>
        <w:jc w:val="center"/>
        <w:rPr>
          <w:rFonts w:ascii="Times New Roman" w:hAnsi="Times New Roman" w:eastAsia="黑体" w:cstheme="minorBidi"/>
          <w:color w:val="auto"/>
          <w:sz w:val="28"/>
          <w:szCs w:val="28"/>
          <w:highlight w:val="none"/>
        </w:rPr>
      </w:pPr>
    </w:p>
    <w:p>
      <w:pPr>
        <w:pStyle w:val="1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公开时间：20</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 xml:space="preserve"> 10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 xml:space="preserve"> 29 </w:t>
      </w:r>
      <w:r>
        <w:rPr>
          <w:rFonts w:hint="eastAsia" w:ascii="仿宋_GB2312" w:hAnsi="仿宋_GB2312" w:eastAsia="仿宋_GB2312" w:cs="仿宋_GB2312"/>
          <w:color w:val="auto"/>
          <w:sz w:val="32"/>
          <w:szCs w:val="32"/>
          <w:highlight w:val="none"/>
        </w:rPr>
        <w:t>日</w:t>
      </w:r>
    </w:p>
    <w:p>
      <w:pPr>
        <w:rPr>
          <w:rFonts w:hint="eastAsia" w:ascii="Times New Roman" w:hAnsi="Times New Roman" w:eastAsia="仿宋_GB2312" w:cs="仿宋_GB2312"/>
          <w:color w:val="auto"/>
          <w:sz w:val="32"/>
          <w:szCs w:val="32"/>
          <w:highlight w:val="none"/>
        </w:rPr>
      </w:pPr>
    </w:p>
    <w:p>
      <w:pPr>
        <w:pStyle w:val="2"/>
        <w:rPr>
          <w:rFonts w:hint="eastAsia"/>
        </w:rPr>
      </w:pPr>
    </w:p>
    <w:sdt>
      <w:sdtPr>
        <w:rPr>
          <w:rFonts w:ascii="宋体" w:hAnsi="宋体" w:eastAsia="宋体" w:cs="Times New Roman"/>
          <w:kern w:val="2"/>
          <w:sz w:val="21"/>
          <w:szCs w:val="24"/>
          <w:lang w:val="en-US" w:eastAsia="zh-CN" w:bidi="ar-SA"/>
        </w:rPr>
        <w:id w:val="147458235"/>
        <w15:color w:val="DBDBDB"/>
        <w:docPartObj>
          <w:docPartGallery w:val="Table of Contents"/>
          <w:docPartUnique/>
        </w:docPartObj>
      </w:sdtPr>
      <w:sdtEndPr>
        <w:rPr>
          <w:rFonts w:ascii="宋体" w:hAnsi="宋体" w:eastAsia="宋体" w:cs="Times New Roman"/>
          <w:kern w:val="2"/>
          <w:sz w:val="20"/>
          <w:szCs w:val="20"/>
          <w:lang w:val="en-US" w:eastAsia="zh-CN" w:bidi="ar-SA"/>
        </w:rPr>
      </w:sdtEndPr>
      <w:sdtContent>
        <w:p>
          <w:pPr>
            <w:spacing w:before="0" w:beforeLines="0" w:after="0" w:afterLines="0" w:line="240" w:lineRule="auto"/>
            <w:ind w:left="0" w:leftChars="0" w:right="0" w:rightChars="0" w:firstLine="0" w:firstLineChars="0"/>
            <w:jc w:val="center"/>
          </w:pPr>
          <w:bookmarkStart w:id="8" w:name="_Toc18964_WPSOffice_Type3"/>
          <w:r>
            <w:rPr>
              <w:rFonts w:ascii="宋体" w:hAnsi="宋体" w:eastAsia="宋体"/>
              <w:sz w:val="21"/>
            </w:rPr>
            <w:t>目录</w:t>
          </w:r>
        </w:p>
        <w:p>
          <w:pPr>
            <w:pStyle w:val="35"/>
            <w:tabs>
              <w:tab w:val="right" w:leader="dot" w:pos="8306"/>
            </w:tabs>
          </w:pPr>
          <w:r>
            <w:fldChar w:fldCharType="begin"/>
          </w:r>
          <w:r>
            <w:instrText xml:space="preserve"> HYPERLINK \l _Toc6788_WPSOffice_Level1 </w:instrText>
          </w:r>
          <w:r>
            <w:fldChar w:fldCharType="separate"/>
          </w:r>
          <w:sdt>
            <w:sdtPr>
              <w:rPr>
                <w:rFonts w:ascii="Times New Roman" w:hAnsi="Times New Roman" w:eastAsia="宋体" w:cs="Times New Roman"/>
                <w:kern w:val="2"/>
                <w:sz w:val="21"/>
                <w:szCs w:val="24"/>
                <w:lang w:val="en-US" w:eastAsia="zh-CN" w:bidi="ar-SA"/>
              </w:rPr>
              <w:id w:val="147451917"/>
              <w:placeholder>
                <w:docPart w:val="{695d35ab-315a-4a2c-b5cc-3190a7276276}"/>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方正小标宋简体" w:cs="方正小标宋简体"/>
                </w:rPr>
                <w:t>第一部分  部门概况</w:t>
              </w:r>
            </w:sdtContent>
          </w:sdt>
          <w:r>
            <w:tab/>
          </w:r>
          <w:bookmarkStart w:id="9" w:name="_Toc6788_WPSOffice_Level1Page"/>
          <w:r>
            <w:t>1</w:t>
          </w:r>
          <w:bookmarkEnd w:id="9"/>
          <w:r>
            <w:fldChar w:fldCharType="end"/>
          </w:r>
        </w:p>
        <w:p>
          <w:pPr>
            <w:pStyle w:val="36"/>
            <w:tabs>
              <w:tab w:val="right" w:leader="dot" w:pos="8306"/>
            </w:tabs>
          </w:pPr>
          <w:r>
            <w:fldChar w:fldCharType="begin"/>
          </w:r>
          <w:r>
            <w:instrText xml:space="preserve"> HYPERLINK \l _Toc18964_WPSOffice_Level2 </w:instrText>
          </w:r>
          <w:r>
            <w:fldChar w:fldCharType="separate"/>
          </w:r>
          <w:sdt>
            <w:sdtPr>
              <w:rPr>
                <w:rFonts w:ascii="Times New Roman" w:hAnsi="Times New Roman" w:eastAsia="宋体" w:cs="Times New Roman"/>
                <w:kern w:val="2"/>
                <w:sz w:val="21"/>
                <w:szCs w:val="24"/>
                <w:lang w:val="en-US" w:eastAsia="zh-CN" w:bidi="ar-SA"/>
              </w:rPr>
              <w:id w:val="147478171"/>
              <w:placeholder>
                <w:docPart w:val="{ea1f1cf7-4227-485a-854d-9fec1545becd}"/>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heme="majorBidi"/>
                </w:rPr>
                <w:t>一、 部门职责</w:t>
              </w:r>
            </w:sdtContent>
          </w:sdt>
          <w:r>
            <w:tab/>
          </w:r>
          <w:bookmarkStart w:id="10" w:name="_Toc18964_WPSOffice_Level2Page"/>
          <w:r>
            <w:t>1</w:t>
          </w:r>
          <w:bookmarkEnd w:id="10"/>
          <w:r>
            <w:fldChar w:fldCharType="end"/>
          </w:r>
        </w:p>
        <w:p>
          <w:pPr>
            <w:pStyle w:val="36"/>
            <w:tabs>
              <w:tab w:val="right" w:leader="dot" w:pos="8306"/>
            </w:tabs>
          </w:pPr>
          <w:r>
            <w:fldChar w:fldCharType="begin"/>
          </w:r>
          <w:r>
            <w:instrText xml:space="preserve"> HYPERLINK \l _Toc26641_WPSOffice_Level2 </w:instrText>
          </w:r>
          <w:r>
            <w:fldChar w:fldCharType="separate"/>
          </w:r>
          <w:sdt>
            <w:sdtPr>
              <w:rPr>
                <w:rFonts w:ascii="Times New Roman" w:hAnsi="Times New Roman" w:eastAsia="宋体" w:cs="Times New Roman"/>
                <w:kern w:val="2"/>
                <w:sz w:val="21"/>
                <w:szCs w:val="24"/>
                <w:lang w:val="en-US" w:eastAsia="zh-CN" w:bidi="ar-SA"/>
              </w:rPr>
              <w:id w:val="147458268"/>
              <w:placeholder>
                <w:docPart w:val="{15d9e8fd-e3a9-49ab-9c0f-07de6a58e8e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heme="majorBidi"/>
                </w:rPr>
                <w:t>二、机构设置</w:t>
              </w:r>
            </w:sdtContent>
          </w:sdt>
          <w:r>
            <w:tab/>
          </w:r>
          <w:bookmarkStart w:id="11" w:name="_Toc26641_WPSOffice_Level2Page"/>
          <w:r>
            <w:t>1</w:t>
          </w:r>
          <w:bookmarkEnd w:id="11"/>
          <w:r>
            <w:fldChar w:fldCharType="end"/>
          </w:r>
        </w:p>
        <w:p>
          <w:pPr>
            <w:pStyle w:val="35"/>
            <w:tabs>
              <w:tab w:val="right" w:leader="dot" w:pos="8306"/>
            </w:tabs>
          </w:pPr>
          <w:r>
            <w:fldChar w:fldCharType="begin"/>
          </w:r>
          <w:r>
            <w:instrText xml:space="preserve"> HYPERLINK \l _Toc18964_WPSOffice_Level1 </w:instrText>
          </w:r>
          <w:r>
            <w:fldChar w:fldCharType="separate"/>
          </w:r>
          <w:sdt>
            <w:sdtPr>
              <w:rPr>
                <w:rFonts w:ascii="Times New Roman" w:hAnsi="Times New Roman" w:eastAsia="宋体" w:cs="Times New Roman"/>
                <w:kern w:val="2"/>
                <w:sz w:val="21"/>
                <w:szCs w:val="24"/>
                <w:lang w:val="en-US" w:eastAsia="zh-CN" w:bidi="ar-SA"/>
              </w:rPr>
              <w:id w:val="147461738"/>
              <w:placeholder>
                <w:docPart w:val="{e12a1084-298d-48f6-baf0-b0e95304b393}"/>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方正小标宋简体" w:cs="方正小标宋简体"/>
                </w:rPr>
                <w:t>第二部分  2024年度部门决算情况说明</w:t>
              </w:r>
            </w:sdtContent>
          </w:sdt>
          <w:r>
            <w:tab/>
          </w:r>
          <w:bookmarkStart w:id="12" w:name="_Toc18964_WPSOffice_Level1Page"/>
          <w:r>
            <w:t>1</w:t>
          </w:r>
          <w:bookmarkEnd w:id="12"/>
          <w:r>
            <w:fldChar w:fldCharType="end"/>
          </w:r>
        </w:p>
        <w:p>
          <w:pPr>
            <w:pStyle w:val="36"/>
            <w:tabs>
              <w:tab w:val="right" w:leader="dot" w:pos="8306"/>
            </w:tabs>
          </w:pPr>
          <w:r>
            <w:fldChar w:fldCharType="begin"/>
          </w:r>
          <w:r>
            <w:instrText xml:space="preserve"> HYPERLINK \l _Toc23327_WPSOffice_Level2 </w:instrText>
          </w:r>
          <w:r>
            <w:fldChar w:fldCharType="separate"/>
          </w:r>
          <w:sdt>
            <w:sdtPr>
              <w:rPr>
                <w:rFonts w:ascii="Times New Roman" w:hAnsi="Times New Roman" w:eastAsia="宋体" w:cs="Times New Roman"/>
                <w:kern w:val="2"/>
                <w:sz w:val="21"/>
                <w:szCs w:val="24"/>
                <w:lang w:val="en-US" w:eastAsia="zh-CN" w:bidi="ar-SA"/>
              </w:rPr>
              <w:id w:val="147471908"/>
              <w:placeholder>
                <w:docPart w:val="{75c9bc57-f27e-4272-a97c-35a3ae9a6cbc}"/>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一、收</w:t>
              </w:r>
              <w:r>
                <w:rPr>
                  <w:rFonts w:hint="eastAsia" w:ascii="Times New Roman" w:hAnsi="Times New Roman" w:eastAsia="黑体" w:cstheme="majorBidi"/>
                </w:rPr>
                <w:t>入支出决算总体情况说明</w:t>
              </w:r>
            </w:sdtContent>
          </w:sdt>
          <w:r>
            <w:tab/>
          </w:r>
          <w:bookmarkStart w:id="13" w:name="_Toc23327_WPSOffice_Level2Page"/>
          <w:r>
            <w:t>1</w:t>
          </w:r>
          <w:bookmarkEnd w:id="13"/>
          <w:r>
            <w:fldChar w:fldCharType="end"/>
          </w:r>
        </w:p>
        <w:p>
          <w:pPr>
            <w:pStyle w:val="36"/>
            <w:tabs>
              <w:tab w:val="right" w:leader="dot" w:pos="8306"/>
            </w:tabs>
          </w:pPr>
          <w:r>
            <w:fldChar w:fldCharType="begin"/>
          </w:r>
          <w:r>
            <w:instrText xml:space="preserve"> HYPERLINK \l _Toc10327_WPSOffice_Level2 </w:instrText>
          </w:r>
          <w:r>
            <w:fldChar w:fldCharType="separate"/>
          </w:r>
          <w:sdt>
            <w:sdtPr>
              <w:rPr>
                <w:rFonts w:ascii="Times New Roman" w:hAnsi="Times New Roman" w:eastAsia="宋体" w:cs="Times New Roman"/>
                <w:kern w:val="2"/>
                <w:sz w:val="21"/>
                <w:szCs w:val="24"/>
                <w:lang w:val="en-US" w:eastAsia="zh-CN" w:bidi="ar-SA"/>
              </w:rPr>
              <w:id w:val="147480029"/>
              <w:placeholder>
                <w:docPart w:val="{679b9537-da21-4737-bc6f-0e338a13e65c}"/>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二、收入决算情况说明</w:t>
              </w:r>
            </w:sdtContent>
          </w:sdt>
          <w:r>
            <w:tab/>
          </w:r>
          <w:bookmarkStart w:id="14" w:name="_Toc10327_WPSOffice_Level2Page"/>
          <w:r>
            <w:t>2</w:t>
          </w:r>
          <w:bookmarkEnd w:id="14"/>
          <w:r>
            <w:fldChar w:fldCharType="end"/>
          </w:r>
        </w:p>
        <w:p>
          <w:pPr>
            <w:pStyle w:val="36"/>
            <w:tabs>
              <w:tab w:val="right" w:leader="dot" w:pos="8306"/>
            </w:tabs>
          </w:pPr>
          <w:r>
            <w:fldChar w:fldCharType="begin"/>
          </w:r>
          <w:r>
            <w:instrText xml:space="preserve"> HYPERLINK \l _Toc25912_WPSOffice_Level2 </w:instrText>
          </w:r>
          <w:r>
            <w:fldChar w:fldCharType="separate"/>
          </w:r>
          <w:sdt>
            <w:sdtPr>
              <w:rPr>
                <w:rFonts w:ascii="Times New Roman" w:hAnsi="Times New Roman" w:eastAsia="宋体" w:cs="Times New Roman"/>
                <w:kern w:val="2"/>
                <w:sz w:val="21"/>
                <w:szCs w:val="24"/>
                <w:lang w:val="en-US" w:eastAsia="zh-CN" w:bidi="ar-SA"/>
              </w:rPr>
              <w:id w:val="147481033"/>
              <w:placeholder>
                <w:docPart w:val="{418572aa-3fe4-4a8e-bdb1-b4458d0c044c}"/>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三、支</w:t>
              </w:r>
              <w:r>
                <w:rPr>
                  <w:rFonts w:hint="eastAsia" w:ascii="Times New Roman" w:hAnsi="Times New Roman" w:eastAsia="黑体" w:cstheme="majorBidi"/>
                </w:rPr>
                <w:t>出决算情况说明</w:t>
              </w:r>
            </w:sdtContent>
          </w:sdt>
          <w:r>
            <w:tab/>
          </w:r>
          <w:bookmarkStart w:id="15" w:name="_Toc25912_WPSOffice_Level2Page"/>
          <w:r>
            <w:t>3</w:t>
          </w:r>
          <w:bookmarkEnd w:id="15"/>
          <w:r>
            <w:fldChar w:fldCharType="end"/>
          </w:r>
        </w:p>
        <w:p>
          <w:pPr>
            <w:pStyle w:val="36"/>
            <w:tabs>
              <w:tab w:val="right" w:leader="dot" w:pos="8306"/>
            </w:tabs>
          </w:pPr>
          <w:r>
            <w:fldChar w:fldCharType="begin"/>
          </w:r>
          <w:r>
            <w:instrText xml:space="preserve"> HYPERLINK \l _Toc14825_WPSOffice_Level2 </w:instrText>
          </w:r>
          <w:r>
            <w:fldChar w:fldCharType="separate"/>
          </w:r>
          <w:sdt>
            <w:sdtPr>
              <w:rPr>
                <w:rFonts w:ascii="Times New Roman" w:hAnsi="Times New Roman" w:eastAsia="宋体" w:cs="Times New Roman"/>
                <w:kern w:val="2"/>
                <w:sz w:val="21"/>
                <w:szCs w:val="24"/>
                <w:lang w:val="en-US" w:eastAsia="zh-CN" w:bidi="ar-SA"/>
              </w:rPr>
              <w:id w:val="147453258"/>
              <w:placeholder>
                <w:docPart w:val="{4b5dc6a0-cb52-4a2e-b502-ccbb85429431}"/>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四、财</w:t>
              </w:r>
              <w:r>
                <w:rPr>
                  <w:rFonts w:hint="eastAsia" w:ascii="Times New Roman" w:hAnsi="Times New Roman" w:eastAsia="黑体" w:cstheme="majorBidi"/>
                </w:rPr>
                <w:t>政拨款收入支出决算总体情况说明</w:t>
              </w:r>
            </w:sdtContent>
          </w:sdt>
          <w:r>
            <w:tab/>
          </w:r>
          <w:bookmarkStart w:id="16" w:name="_Toc14825_WPSOffice_Level2Page"/>
          <w:r>
            <w:t>4</w:t>
          </w:r>
          <w:bookmarkEnd w:id="16"/>
          <w:r>
            <w:fldChar w:fldCharType="end"/>
          </w:r>
        </w:p>
        <w:p>
          <w:pPr>
            <w:pStyle w:val="36"/>
            <w:tabs>
              <w:tab w:val="right" w:leader="dot" w:pos="8306"/>
            </w:tabs>
          </w:pPr>
          <w:r>
            <w:fldChar w:fldCharType="begin"/>
          </w:r>
          <w:r>
            <w:instrText xml:space="preserve"> HYPERLINK \l _Toc28427_WPSOffice_Level2 </w:instrText>
          </w:r>
          <w:r>
            <w:fldChar w:fldCharType="separate"/>
          </w:r>
          <w:sdt>
            <w:sdtPr>
              <w:rPr>
                <w:rFonts w:ascii="Times New Roman" w:hAnsi="Times New Roman" w:eastAsia="宋体" w:cs="Times New Roman"/>
                <w:kern w:val="2"/>
                <w:sz w:val="21"/>
                <w:szCs w:val="24"/>
                <w:lang w:val="en-US" w:eastAsia="zh-CN" w:bidi="ar-SA"/>
              </w:rPr>
              <w:id w:val="147473225"/>
              <w:placeholder>
                <w:docPart w:val="{bcb7c3c3-d40b-42d6-b0b6-d3216d81e1b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五、一</w:t>
              </w:r>
              <w:r>
                <w:rPr>
                  <w:rFonts w:hint="eastAsia" w:ascii="Times New Roman" w:hAnsi="Times New Roman" w:eastAsia="黑体" w:cstheme="majorBidi"/>
                </w:rPr>
                <w:t>般公共预算财政拨款支出决算情况说明</w:t>
              </w:r>
            </w:sdtContent>
          </w:sdt>
          <w:r>
            <w:tab/>
          </w:r>
          <w:bookmarkStart w:id="17" w:name="_Toc28427_WPSOffice_Level2Page"/>
          <w:r>
            <w:t>5</w:t>
          </w:r>
          <w:bookmarkEnd w:id="17"/>
          <w:r>
            <w:fldChar w:fldCharType="end"/>
          </w:r>
        </w:p>
        <w:p>
          <w:pPr>
            <w:pStyle w:val="37"/>
            <w:tabs>
              <w:tab w:val="right" w:leader="dot" w:pos="8306"/>
            </w:tabs>
          </w:pPr>
          <w:r>
            <w:fldChar w:fldCharType="begin"/>
          </w:r>
          <w:r>
            <w:instrText xml:space="preserve"> HYPERLINK \l _Toc18964_WPSOffice_Level3 </w:instrText>
          </w:r>
          <w:r>
            <w:fldChar w:fldCharType="separate"/>
          </w:r>
          <w:sdt>
            <w:sdtPr>
              <w:rPr>
                <w:rFonts w:ascii="Times New Roman" w:hAnsi="Times New Roman" w:eastAsia="宋体" w:cs="Times New Roman"/>
                <w:kern w:val="2"/>
                <w:sz w:val="21"/>
                <w:szCs w:val="24"/>
                <w:lang w:val="en-US" w:eastAsia="zh-CN" w:bidi="ar-SA"/>
              </w:rPr>
              <w:id w:val="147475677"/>
              <w:placeholder>
                <w:docPart w:val="{99e562c6-cb24-4f94-b080-7b094e45cd20}"/>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（一）一般公共预算财政拨款支出决算总体情况</w:t>
              </w:r>
            </w:sdtContent>
          </w:sdt>
          <w:r>
            <w:tab/>
          </w:r>
          <w:bookmarkStart w:id="18" w:name="_Toc18964_WPSOffice_Level3Page"/>
          <w:r>
            <w:t>5</w:t>
          </w:r>
          <w:bookmarkEnd w:id="18"/>
          <w:r>
            <w:fldChar w:fldCharType="end"/>
          </w:r>
        </w:p>
        <w:p>
          <w:pPr>
            <w:pStyle w:val="37"/>
            <w:tabs>
              <w:tab w:val="right" w:leader="dot" w:pos="8306"/>
            </w:tabs>
          </w:pPr>
          <w:r>
            <w:fldChar w:fldCharType="begin"/>
          </w:r>
          <w:r>
            <w:instrText xml:space="preserve"> HYPERLINK \l _Toc26641_WPSOffice_Level3 </w:instrText>
          </w:r>
          <w:r>
            <w:fldChar w:fldCharType="separate"/>
          </w:r>
          <w:sdt>
            <w:sdtPr>
              <w:rPr>
                <w:rFonts w:ascii="Times New Roman" w:hAnsi="Times New Roman" w:eastAsia="宋体" w:cs="Times New Roman"/>
                <w:kern w:val="2"/>
                <w:sz w:val="21"/>
                <w:szCs w:val="24"/>
                <w:lang w:val="en-US" w:eastAsia="zh-CN" w:bidi="ar-SA"/>
              </w:rPr>
              <w:id w:val="147451456"/>
              <w:placeholder>
                <w:docPart w:val="{078c3de4-d377-40b9-84e7-165c4b80eb0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（二）一般公共预算财政拨款支出决算结构情况</w:t>
              </w:r>
            </w:sdtContent>
          </w:sdt>
          <w:r>
            <w:tab/>
          </w:r>
          <w:bookmarkStart w:id="19" w:name="_Toc26641_WPSOffice_Level3Page"/>
          <w:r>
            <w:t>6</w:t>
          </w:r>
          <w:bookmarkEnd w:id="19"/>
          <w:r>
            <w:fldChar w:fldCharType="end"/>
          </w:r>
        </w:p>
        <w:p>
          <w:pPr>
            <w:pStyle w:val="37"/>
            <w:tabs>
              <w:tab w:val="right" w:leader="dot" w:pos="8306"/>
            </w:tabs>
          </w:pPr>
          <w:r>
            <w:fldChar w:fldCharType="begin"/>
          </w:r>
          <w:r>
            <w:instrText xml:space="preserve"> HYPERLINK \l _Toc23327_WPSOffice_Level3 </w:instrText>
          </w:r>
          <w:r>
            <w:fldChar w:fldCharType="separate"/>
          </w:r>
          <w:sdt>
            <w:sdtPr>
              <w:rPr>
                <w:rFonts w:ascii="Times New Roman" w:hAnsi="Times New Roman" w:eastAsia="宋体" w:cs="Times New Roman"/>
                <w:kern w:val="2"/>
                <w:sz w:val="21"/>
                <w:szCs w:val="24"/>
                <w:lang w:val="en-US" w:eastAsia="zh-CN" w:bidi="ar-SA"/>
              </w:rPr>
              <w:id w:val="147473733"/>
              <w:placeholder>
                <w:docPart w:val="{f93f8a8b-5101-4c36-95b5-31b2f8cfc539}"/>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（三）一般公共预算财政拨款支出决算具体情况</w:t>
              </w:r>
            </w:sdtContent>
          </w:sdt>
          <w:r>
            <w:tab/>
          </w:r>
          <w:bookmarkStart w:id="20" w:name="_Toc23327_WPSOffice_Level3Page"/>
          <w:r>
            <w:t>7</w:t>
          </w:r>
          <w:bookmarkEnd w:id="20"/>
          <w:r>
            <w:fldChar w:fldCharType="end"/>
          </w:r>
        </w:p>
        <w:p>
          <w:pPr>
            <w:pStyle w:val="36"/>
            <w:tabs>
              <w:tab w:val="right" w:leader="dot" w:pos="8306"/>
            </w:tabs>
          </w:pPr>
          <w:r>
            <w:fldChar w:fldCharType="begin"/>
          </w:r>
          <w:r>
            <w:instrText xml:space="preserve"> HYPERLINK \l _Toc30325_WPSOffice_Level2 </w:instrText>
          </w:r>
          <w:r>
            <w:fldChar w:fldCharType="separate"/>
          </w:r>
          <w:sdt>
            <w:sdtPr>
              <w:rPr>
                <w:rFonts w:ascii="Times New Roman" w:hAnsi="Times New Roman" w:eastAsia="宋体" w:cs="Times New Roman"/>
                <w:kern w:val="2"/>
                <w:sz w:val="21"/>
                <w:szCs w:val="24"/>
                <w:lang w:val="en-US" w:eastAsia="zh-CN" w:bidi="ar-SA"/>
              </w:rPr>
              <w:id w:val="147451385"/>
              <w:placeholder>
                <w:docPart w:val="{1d7fb6ae-da14-4d6b-a544-fecde725bfc9}"/>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六、一</w:t>
              </w:r>
              <w:r>
                <w:rPr>
                  <w:rFonts w:hint="eastAsia" w:ascii="Times New Roman" w:hAnsi="Times New Roman" w:eastAsia="黑体" w:cstheme="majorBidi"/>
                </w:rPr>
                <w:t>般公共预算财政拨款基本支出决算情况说明</w:t>
              </w:r>
            </w:sdtContent>
          </w:sdt>
          <w:r>
            <w:tab/>
          </w:r>
          <w:bookmarkStart w:id="21" w:name="_Toc30325_WPSOffice_Level2Page"/>
          <w:r>
            <w:t>9</w:t>
          </w:r>
          <w:bookmarkEnd w:id="21"/>
          <w:r>
            <w:fldChar w:fldCharType="end"/>
          </w:r>
        </w:p>
        <w:p>
          <w:pPr>
            <w:pStyle w:val="36"/>
            <w:tabs>
              <w:tab w:val="right" w:leader="dot" w:pos="8306"/>
            </w:tabs>
          </w:pPr>
          <w:r>
            <w:fldChar w:fldCharType="begin"/>
          </w:r>
          <w:r>
            <w:instrText xml:space="preserve"> HYPERLINK \l _Toc27254_WPSOffice_Level2 </w:instrText>
          </w:r>
          <w:r>
            <w:fldChar w:fldCharType="separate"/>
          </w:r>
          <w:sdt>
            <w:sdtPr>
              <w:rPr>
                <w:rFonts w:ascii="Times New Roman" w:hAnsi="Times New Roman" w:eastAsia="宋体" w:cs="Times New Roman"/>
                <w:kern w:val="2"/>
                <w:sz w:val="21"/>
                <w:szCs w:val="24"/>
                <w:lang w:val="en-US" w:eastAsia="zh-CN" w:bidi="ar-SA"/>
              </w:rPr>
              <w:id w:val="147459240"/>
              <w:placeholder>
                <w:docPart w:val="{ea10a285-c572-4b77-8ded-884788b17396}"/>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七、</w:t>
              </w:r>
              <w:r>
                <w:rPr>
                  <w:rFonts w:hint="eastAsia" w:ascii="Times New Roman" w:hAnsi="Times New Roman" w:eastAsia="黑体" w:cstheme="majorBidi"/>
                </w:rPr>
                <w:t>财政拨款“三公”经费支出决算情况说明</w:t>
              </w:r>
            </w:sdtContent>
          </w:sdt>
          <w:r>
            <w:tab/>
          </w:r>
          <w:bookmarkStart w:id="22" w:name="_Toc27254_WPSOffice_Level2Page"/>
          <w:r>
            <w:t>9</w:t>
          </w:r>
          <w:bookmarkEnd w:id="22"/>
          <w:r>
            <w:fldChar w:fldCharType="end"/>
          </w:r>
        </w:p>
        <w:p>
          <w:pPr>
            <w:pStyle w:val="37"/>
            <w:tabs>
              <w:tab w:val="right" w:leader="dot" w:pos="8306"/>
            </w:tabs>
          </w:pPr>
          <w:r>
            <w:fldChar w:fldCharType="begin"/>
          </w:r>
          <w:r>
            <w:instrText xml:space="preserve"> HYPERLINK \l _Toc10327_WPSOffice_Level3 </w:instrText>
          </w:r>
          <w:r>
            <w:fldChar w:fldCharType="separate"/>
          </w:r>
          <w:sdt>
            <w:sdtPr>
              <w:rPr>
                <w:rFonts w:ascii="Times New Roman" w:hAnsi="Times New Roman" w:eastAsia="宋体" w:cs="Times New Roman"/>
                <w:kern w:val="2"/>
                <w:sz w:val="21"/>
                <w:szCs w:val="24"/>
                <w:lang w:val="en-US" w:eastAsia="zh-CN" w:bidi="ar-SA"/>
              </w:rPr>
              <w:id w:val="147472389"/>
              <w:placeholder>
                <w:docPart w:val="{42b5d08c-fbf5-44b4-b195-90f188366001}"/>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（一）“三公”经费财政拨款支出决算总体情况说明</w:t>
              </w:r>
            </w:sdtContent>
          </w:sdt>
          <w:r>
            <w:tab/>
          </w:r>
          <w:bookmarkStart w:id="23" w:name="_Toc10327_WPSOffice_Level3Page"/>
          <w:r>
            <w:t>9</w:t>
          </w:r>
          <w:bookmarkEnd w:id="23"/>
          <w:r>
            <w:fldChar w:fldCharType="end"/>
          </w:r>
        </w:p>
        <w:p>
          <w:pPr>
            <w:pStyle w:val="37"/>
            <w:tabs>
              <w:tab w:val="right" w:leader="dot" w:pos="8306"/>
            </w:tabs>
          </w:pPr>
          <w:r>
            <w:fldChar w:fldCharType="begin"/>
          </w:r>
          <w:r>
            <w:instrText xml:space="preserve"> HYPERLINK \l _Toc25912_WPSOffice_Level3 </w:instrText>
          </w:r>
          <w:r>
            <w:fldChar w:fldCharType="separate"/>
          </w:r>
          <w:sdt>
            <w:sdtPr>
              <w:rPr>
                <w:rFonts w:ascii="Times New Roman" w:hAnsi="Times New Roman" w:eastAsia="宋体" w:cs="Times New Roman"/>
                <w:kern w:val="2"/>
                <w:sz w:val="21"/>
                <w:szCs w:val="24"/>
                <w:lang w:val="en-US" w:eastAsia="zh-CN" w:bidi="ar-SA"/>
              </w:rPr>
              <w:id w:val="147466812"/>
              <w:placeholder>
                <w:docPart w:val="{660d5be9-0266-4163-b3ac-5079935e82a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（二）“三公”经费财政拨款支出决算具体情况说明</w:t>
              </w:r>
            </w:sdtContent>
          </w:sdt>
          <w:r>
            <w:tab/>
          </w:r>
          <w:bookmarkStart w:id="24" w:name="_Toc25912_WPSOffice_Level3Page"/>
          <w:r>
            <w:t>10</w:t>
          </w:r>
          <w:bookmarkEnd w:id="24"/>
          <w:r>
            <w:fldChar w:fldCharType="end"/>
          </w:r>
        </w:p>
        <w:p>
          <w:pPr>
            <w:pStyle w:val="36"/>
            <w:tabs>
              <w:tab w:val="right" w:leader="dot" w:pos="8306"/>
            </w:tabs>
          </w:pPr>
          <w:r>
            <w:fldChar w:fldCharType="begin"/>
          </w:r>
          <w:r>
            <w:instrText xml:space="preserve"> HYPERLINK \l _Toc13221_WPSOffice_Level2 </w:instrText>
          </w:r>
          <w:r>
            <w:fldChar w:fldCharType="separate"/>
          </w:r>
          <w:sdt>
            <w:sdtPr>
              <w:rPr>
                <w:rFonts w:ascii="Times New Roman" w:hAnsi="Times New Roman" w:eastAsia="宋体" w:cs="Times New Roman"/>
                <w:kern w:val="2"/>
                <w:sz w:val="21"/>
                <w:szCs w:val="24"/>
                <w:lang w:val="en-US" w:eastAsia="zh-CN" w:bidi="ar-SA"/>
              </w:rPr>
              <w:id w:val="147457790"/>
              <w:placeholder>
                <w:docPart w:val="{99577f79-7170-43dd-8d4a-36788aa9f22f}"/>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八、</w:t>
              </w:r>
              <w:r>
                <w:rPr>
                  <w:rFonts w:hint="eastAsia" w:ascii="Times New Roman" w:hAnsi="Times New Roman" w:eastAsia="黑体" w:cstheme="majorBidi"/>
                </w:rPr>
                <w:t>政府性基金预算支出决算情况说明</w:t>
              </w:r>
            </w:sdtContent>
          </w:sdt>
          <w:r>
            <w:tab/>
          </w:r>
          <w:bookmarkStart w:id="25" w:name="_Toc13221_WPSOffice_Level2Page"/>
          <w:r>
            <w:t>11</w:t>
          </w:r>
          <w:bookmarkEnd w:id="25"/>
          <w:r>
            <w:fldChar w:fldCharType="end"/>
          </w:r>
        </w:p>
        <w:p>
          <w:pPr>
            <w:pStyle w:val="36"/>
            <w:tabs>
              <w:tab w:val="right" w:leader="dot" w:pos="8306"/>
            </w:tabs>
          </w:pPr>
          <w:r>
            <w:fldChar w:fldCharType="begin"/>
          </w:r>
          <w:r>
            <w:instrText xml:space="preserve"> HYPERLINK \l _Toc23737_WPSOffice_Level2 </w:instrText>
          </w:r>
          <w:r>
            <w:fldChar w:fldCharType="separate"/>
          </w:r>
          <w:sdt>
            <w:sdtPr>
              <w:rPr>
                <w:rFonts w:ascii="Times New Roman" w:hAnsi="Times New Roman" w:eastAsia="宋体" w:cs="Times New Roman"/>
                <w:kern w:val="2"/>
                <w:sz w:val="21"/>
                <w:szCs w:val="24"/>
                <w:lang w:val="en-US" w:eastAsia="zh-CN" w:bidi="ar-SA"/>
              </w:rPr>
              <w:id w:val="147482006"/>
              <w:placeholder>
                <w:docPart w:val="{638ec0c7-d4d0-4953-bf7a-a5fb919b99d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heme="majorBidi"/>
                </w:rPr>
                <w:t>九、国有资本经营预算支出决算情况说明</w:t>
              </w:r>
            </w:sdtContent>
          </w:sdt>
          <w:r>
            <w:tab/>
          </w:r>
          <w:bookmarkStart w:id="26" w:name="_Toc23737_WPSOffice_Level2Page"/>
          <w:r>
            <w:t>11</w:t>
          </w:r>
          <w:bookmarkEnd w:id="26"/>
          <w:r>
            <w:fldChar w:fldCharType="end"/>
          </w:r>
        </w:p>
        <w:p>
          <w:pPr>
            <w:pStyle w:val="36"/>
            <w:tabs>
              <w:tab w:val="right" w:leader="dot" w:pos="8306"/>
            </w:tabs>
          </w:pPr>
          <w:r>
            <w:fldChar w:fldCharType="begin"/>
          </w:r>
          <w:r>
            <w:instrText xml:space="preserve"> HYPERLINK \l _Toc14085_WPSOffice_Level2 </w:instrText>
          </w:r>
          <w:r>
            <w:fldChar w:fldCharType="separate"/>
          </w:r>
          <w:sdt>
            <w:sdtPr>
              <w:rPr>
                <w:rFonts w:ascii="Times New Roman" w:hAnsi="Times New Roman" w:eastAsia="宋体" w:cs="Times New Roman"/>
                <w:kern w:val="2"/>
                <w:sz w:val="21"/>
                <w:szCs w:val="24"/>
                <w:lang w:val="en-US" w:eastAsia="zh-CN" w:bidi="ar-SA"/>
              </w:rPr>
              <w:id w:val="147478025"/>
              <w:placeholder>
                <w:docPart w:val="{5bf7092d-7072-4019-b1bc-4efbe38016f1}"/>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heme="majorBidi"/>
                </w:rPr>
                <w:t>十、其他重要事项的情况说明</w:t>
              </w:r>
            </w:sdtContent>
          </w:sdt>
          <w:r>
            <w:tab/>
          </w:r>
          <w:bookmarkStart w:id="27" w:name="_Toc14085_WPSOffice_Level2Page"/>
          <w:r>
            <w:t>12</w:t>
          </w:r>
          <w:bookmarkEnd w:id="27"/>
          <w:r>
            <w:fldChar w:fldCharType="end"/>
          </w:r>
        </w:p>
        <w:p>
          <w:pPr>
            <w:pStyle w:val="37"/>
            <w:tabs>
              <w:tab w:val="right" w:leader="dot" w:pos="8306"/>
            </w:tabs>
          </w:pPr>
          <w:r>
            <w:fldChar w:fldCharType="begin"/>
          </w:r>
          <w:r>
            <w:instrText xml:space="preserve"> HYPERLINK \l _Toc14825_WPSOffice_Level3 </w:instrText>
          </w:r>
          <w:r>
            <w:fldChar w:fldCharType="separate"/>
          </w:r>
          <w:sdt>
            <w:sdtPr>
              <w:rPr>
                <w:rFonts w:ascii="Times New Roman" w:hAnsi="Times New Roman" w:eastAsia="宋体" w:cs="Times New Roman"/>
                <w:kern w:val="2"/>
                <w:sz w:val="21"/>
                <w:szCs w:val="24"/>
                <w:lang w:val="en-US" w:eastAsia="zh-CN" w:bidi="ar-SA"/>
              </w:rPr>
              <w:id w:val="147480464"/>
              <w:placeholder>
                <w:docPart w:val="{d674ad92-701c-4f6e-965f-b2b19f0e63a6}"/>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（一）机关运行经费支出情况</w:t>
              </w:r>
            </w:sdtContent>
          </w:sdt>
          <w:r>
            <w:tab/>
          </w:r>
          <w:bookmarkStart w:id="28" w:name="_Toc14825_WPSOffice_Level3Page"/>
          <w:r>
            <w:t>12</w:t>
          </w:r>
          <w:bookmarkEnd w:id="28"/>
          <w:r>
            <w:fldChar w:fldCharType="end"/>
          </w:r>
        </w:p>
        <w:p>
          <w:pPr>
            <w:pStyle w:val="37"/>
            <w:tabs>
              <w:tab w:val="right" w:leader="dot" w:pos="8306"/>
            </w:tabs>
          </w:pPr>
          <w:r>
            <w:fldChar w:fldCharType="begin"/>
          </w:r>
          <w:r>
            <w:instrText xml:space="preserve"> HYPERLINK \l _Toc28427_WPSOffice_Level3 </w:instrText>
          </w:r>
          <w:r>
            <w:fldChar w:fldCharType="separate"/>
          </w:r>
          <w:sdt>
            <w:sdtPr>
              <w:rPr>
                <w:rFonts w:ascii="Times New Roman" w:hAnsi="Times New Roman" w:eastAsia="宋体" w:cs="Times New Roman"/>
                <w:kern w:val="2"/>
                <w:sz w:val="21"/>
                <w:szCs w:val="24"/>
                <w:lang w:val="en-US" w:eastAsia="zh-CN" w:bidi="ar-SA"/>
              </w:rPr>
              <w:id w:val="147452842"/>
              <w:placeholder>
                <w:docPart w:val="{6599d226-e558-4b69-a916-b59e8136b499}"/>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（二）政府采购支出情况</w:t>
              </w:r>
            </w:sdtContent>
          </w:sdt>
          <w:r>
            <w:tab/>
          </w:r>
          <w:bookmarkStart w:id="29" w:name="_Toc28427_WPSOffice_Level3Page"/>
          <w:r>
            <w:t>12</w:t>
          </w:r>
          <w:bookmarkEnd w:id="29"/>
          <w:r>
            <w:fldChar w:fldCharType="end"/>
          </w:r>
        </w:p>
        <w:p>
          <w:pPr>
            <w:pStyle w:val="37"/>
            <w:tabs>
              <w:tab w:val="right" w:leader="dot" w:pos="8306"/>
            </w:tabs>
          </w:pPr>
          <w:r>
            <w:fldChar w:fldCharType="begin"/>
          </w:r>
          <w:r>
            <w:instrText xml:space="preserve"> HYPERLINK \l _Toc30325_WPSOffice_Level3 </w:instrText>
          </w:r>
          <w:r>
            <w:fldChar w:fldCharType="separate"/>
          </w:r>
          <w:sdt>
            <w:sdtPr>
              <w:rPr>
                <w:rFonts w:ascii="Times New Roman" w:hAnsi="Times New Roman" w:eastAsia="宋体" w:cs="Times New Roman"/>
                <w:kern w:val="2"/>
                <w:sz w:val="21"/>
                <w:szCs w:val="24"/>
                <w:lang w:val="en-US" w:eastAsia="zh-CN" w:bidi="ar-SA"/>
              </w:rPr>
              <w:id w:val="147464541"/>
              <w:placeholder>
                <w:docPart w:val="{3c34d13f-f3f4-4a3e-b212-30279f03eaf1}"/>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（三）国有资产占有使用情况</w:t>
              </w:r>
            </w:sdtContent>
          </w:sdt>
          <w:r>
            <w:tab/>
          </w:r>
          <w:bookmarkStart w:id="30" w:name="_Toc30325_WPSOffice_Level3Page"/>
          <w:r>
            <w:t>12</w:t>
          </w:r>
          <w:bookmarkEnd w:id="30"/>
          <w:r>
            <w:fldChar w:fldCharType="end"/>
          </w:r>
        </w:p>
        <w:p>
          <w:pPr>
            <w:pStyle w:val="37"/>
            <w:tabs>
              <w:tab w:val="right" w:leader="dot" w:pos="8306"/>
            </w:tabs>
          </w:pPr>
          <w:r>
            <w:fldChar w:fldCharType="begin"/>
          </w:r>
          <w:r>
            <w:instrText xml:space="preserve"> HYPERLINK \l _Toc27254_WPSOffice_Level3 </w:instrText>
          </w:r>
          <w:r>
            <w:fldChar w:fldCharType="separate"/>
          </w:r>
          <w:sdt>
            <w:sdtPr>
              <w:rPr>
                <w:rFonts w:ascii="Times New Roman" w:hAnsi="Times New Roman" w:eastAsia="宋体" w:cs="Times New Roman"/>
                <w:kern w:val="2"/>
                <w:sz w:val="21"/>
                <w:szCs w:val="24"/>
                <w:lang w:val="en-US" w:eastAsia="zh-CN" w:bidi="ar-SA"/>
              </w:rPr>
              <w:id w:val="147465747"/>
              <w:placeholder>
                <w:docPart w:val="{242e237b-cb6b-49f1-89fb-d87ce2e96982}"/>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楷体_GB2312" w:cs="楷体_GB2312"/>
                </w:rPr>
                <w:t>（四）预算绩效管理情况</w:t>
              </w:r>
            </w:sdtContent>
          </w:sdt>
          <w:r>
            <w:tab/>
          </w:r>
          <w:bookmarkStart w:id="31" w:name="_Toc27254_WPSOffice_Level3Page"/>
          <w:r>
            <w:t>12</w:t>
          </w:r>
          <w:bookmarkEnd w:id="31"/>
          <w:r>
            <w:fldChar w:fldCharType="end"/>
          </w:r>
        </w:p>
        <w:p>
          <w:pPr>
            <w:pStyle w:val="35"/>
            <w:tabs>
              <w:tab w:val="right" w:leader="dot" w:pos="8306"/>
            </w:tabs>
          </w:pPr>
          <w:r>
            <w:fldChar w:fldCharType="begin"/>
          </w:r>
          <w:r>
            <w:instrText xml:space="preserve"> HYPERLINK \l _Toc26641_WPSOffice_Level1 </w:instrText>
          </w:r>
          <w:r>
            <w:fldChar w:fldCharType="separate"/>
          </w:r>
          <w:sdt>
            <w:sdtPr>
              <w:rPr>
                <w:rFonts w:ascii="Times New Roman" w:hAnsi="Times New Roman" w:eastAsia="宋体" w:cs="Times New Roman"/>
                <w:kern w:val="2"/>
                <w:sz w:val="21"/>
                <w:szCs w:val="24"/>
                <w:lang w:val="en-US" w:eastAsia="zh-CN" w:bidi="ar-SA"/>
              </w:rPr>
              <w:id w:val="147475223"/>
              <w:placeholder>
                <w:docPart w:val="{2b2dbb10-ebcc-4d08-a28a-1c6d111bf8fa}"/>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第三部分  名词解释</w:t>
              </w:r>
            </w:sdtContent>
          </w:sdt>
          <w:r>
            <w:tab/>
          </w:r>
          <w:bookmarkStart w:id="32" w:name="_Toc26641_WPSOffice_Level1Page"/>
          <w:r>
            <w:t>13</w:t>
          </w:r>
          <w:bookmarkEnd w:id="32"/>
          <w:r>
            <w:fldChar w:fldCharType="end"/>
          </w:r>
        </w:p>
        <w:p>
          <w:pPr>
            <w:pStyle w:val="35"/>
            <w:tabs>
              <w:tab w:val="right" w:leader="dot" w:pos="8306"/>
            </w:tabs>
          </w:pPr>
          <w:r>
            <w:fldChar w:fldCharType="begin"/>
          </w:r>
          <w:r>
            <w:instrText xml:space="preserve"> HYPERLINK \l _Toc23327_WPSOffice_Level1 </w:instrText>
          </w:r>
          <w:r>
            <w:fldChar w:fldCharType="separate"/>
          </w:r>
          <w:sdt>
            <w:sdtPr>
              <w:rPr>
                <w:rFonts w:ascii="Times New Roman" w:hAnsi="Times New Roman" w:eastAsia="宋体" w:cs="Times New Roman"/>
                <w:kern w:val="2"/>
                <w:sz w:val="21"/>
                <w:szCs w:val="24"/>
                <w:lang w:val="en-US" w:eastAsia="zh-CN" w:bidi="ar-SA"/>
              </w:rPr>
              <w:id w:val="147451110"/>
              <w:placeholder>
                <w:docPart w:val="{9a2a427d-2cc4-49a5-9190-dd8c4b76f1dd}"/>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第四部分  附件</w:t>
              </w:r>
            </w:sdtContent>
          </w:sdt>
          <w:r>
            <w:tab/>
          </w:r>
          <w:bookmarkStart w:id="33" w:name="_Toc23327_WPSOffice_Level1Page"/>
          <w:r>
            <w:t>1</w:t>
          </w:r>
          <w:bookmarkEnd w:id="33"/>
          <w:r>
            <w:rPr>
              <w:rFonts w:hint="eastAsia"/>
              <w:lang w:val="en-US" w:eastAsia="zh-CN"/>
            </w:rPr>
            <w:t>6</w:t>
          </w:r>
          <w:r>
            <w:fldChar w:fldCharType="end"/>
          </w:r>
        </w:p>
        <w:p>
          <w:pPr>
            <w:pStyle w:val="35"/>
            <w:tabs>
              <w:tab w:val="right" w:leader="dot" w:pos="8306"/>
            </w:tabs>
            <w:rPr>
              <w:rFonts w:hint="eastAsia" w:eastAsia="宋体"/>
              <w:lang w:val="en-US" w:eastAsia="zh-CN"/>
            </w:rPr>
          </w:pPr>
          <w:r>
            <w:fldChar w:fldCharType="begin"/>
          </w:r>
          <w:r>
            <w:instrText xml:space="preserve"> HYPERLINK \l _Toc10327_WPSOffice_Level1 </w:instrText>
          </w:r>
          <w:r>
            <w:fldChar w:fldCharType="separate"/>
          </w:r>
          <w:sdt>
            <w:sdtPr>
              <w:rPr>
                <w:rFonts w:ascii="Times New Roman" w:hAnsi="Times New Roman" w:eastAsia="宋体" w:cs="Times New Roman"/>
                <w:kern w:val="2"/>
                <w:sz w:val="21"/>
                <w:szCs w:val="24"/>
                <w:lang w:val="en-US" w:eastAsia="zh-CN" w:bidi="ar-SA"/>
              </w:rPr>
              <w:id w:val="147461620"/>
              <w:placeholder>
                <w:docPart w:val="{5cae3d08-a544-4d17-996c-27f06366c5a8}"/>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黑体" w:cs="Times New Roman"/>
                </w:rPr>
                <w:t>第五部分 附表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_Toc15669_WPSOffice_Level2 </w:instrText>
          </w:r>
          <w:r>
            <w:fldChar w:fldCharType="separate"/>
          </w:r>
          <w:sdt>
            <w:sdtPr>
              <w:rPr>
                <w:rFonts w:ascii="Times New Roman" w:hAnsi="Times New Roman" w:eastAsia="宋体" w:cs="Times New Roman"/>
                <w:kern w:val="2"/>
                <w:sz w:val="21"/>
                <w:szCs w:val="24"/>
                <w:lang w:val="en-US" w:eastAsia="zh-CN" w:bidi="ar-SA"/>
              </w:rPr>
              <w:id w:val="147450926"/>
              <w:placeholder>
                <w:docPart w:val="{4e53b317-323a-4136-b0b9-8f7c6d0bfaa3}"/>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一、收入支出决算总表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_Toc27229_WPSOffice_Level2 </w:instrText>
          </w:r>
          <w:r>
            <w:fldChar w:fldCharType="separate"/>
          </w:r>
          <w:sdt>
            <w:sdtPr>
              <w:rPr>
                <w:rFonts w:ascii="Times New Roman" w:hAnsi="Times New Roman" w:eastAsia="宋体" w:cs="Times New Roman"/>
                <w:kern w:val="2"/>
                <w:sz w:val="21"/>
                <w:szCs w:val="24"/>
                <w:lang w:val="en-US" w:eastAsia="zh-CN" w:bidi="ar-SA"/>
              </w:rPr>
              <w:id w:val="147472095"/>
              <w:placeholder>
                <w:docPart w:val="{af8f5aa9-4671-4e18-9882-c56616315fb9}"/>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二、收入决算表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_Toc26351_WPSOffice_Level2 </w:instrText>
          </w:r>
          <w:r>
            <w:fldChar w:fldCharType="separate"/>
          </w:r>
          <w:sdt>
            <w:sdtPr>
              <w:rPr>
                <w:rFonts w:ascii="Times New Roman" w:hAnsi="Times New Roman" w:eastAsia="宋体" w:cs="Times New Roman"/>
                <w:kern w:val="2"/>
                <w:sz w:val="21"/>
                <w:szCs w:val="24"/>
                <w:lang w:val="en-US" w:eastAsia="zh-CN" w:bidi="ar-SA"/>
              </w:rPr>
              <w:id w:val="147466747"/>
              <w:placeholder>
                <w:docPart w:val="{51854f0a-b07a-4c3b-9168-5e47329b92f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三、支出决算表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_Toc23433_WPSOffice_Level2 </w:instrText>
          </w:r>
          <w:r>
            <w:fldChar w:fldCharType="separate"/>
          </w:r>
          <w:sdt>
            <w:sdtPr>
              <w:rPr>
                <w:rFonts w:ascii="Times New Roman" w:hAnsi="Times New Roman" w:eastAsia="宋体" w:cs="Times New Roman"/>
                <w:kern w:val="2"/>
                <w:sz w:val="21"/>
                <w:szCs w:val="24"/>
                <w:lang w:val="en-US" w:eastAsia="zh-CN" w:bidi="ar-SA"/>
              </w:rPr>
              <w:id w:val="147477805"/>
              <w:placeholder>
                <w:docPart w:val="{93db5e8d-d3ec-4b02-8966-05ab6892daa0}"/>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四、财政拨款收入支出决算总表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_Toc7035_WPSOffice_Level2 </w:instrText>
          </w:r>
          <w:r>
            <w:fldChar w:fldCharType="separate"/>
          </w:r>
          <w:sdt>
            <w:sdtPr>
              <w:rPr>
                <w:rFonts w:ascii="Times New Roman" w:hAnsi="Times New Roman" w:eastAsia="宋体" w:cs="Times New Roman"/>
                <w:kern w:val="2"/>
                <w:sz w:val="21"/>
                <w:szCs w:val="24"/>
                <w:lang w:val="en-US" w:eastAsia="zh-CN" w:bidi="ar-SA"/>
              </w:rPr>
              <w:id w:val="147459032"/>
              <w:placeholder>
                <w:docPart w:val="{b3571115-de97-4a59-b2d9-2a68b2578d45}"/>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五、财政拨款支出决算明细表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_Toc11345_WPSOffice_Level2 </w:instrText>
          </w:r>
          <w:r>
            <w:fldChar w:fldCharType="separate"/>
          </w:r>
          <w:sdt>
            <w:sdtPr>
              <w:rPr>
                <w:rFonts w:ascii="Times New Roman" w:hAnsi="Times New Roman" w:eastAsia="宋体" w:cs="Times New Roman"/>
                <w:kern w:val="2"/>
                <w:sz w:val="21"/>
                <w:szCs w:val="24"/>
                <w:lang w:val="en-US" w:eastAsia="zh-CN" w:bidi="ar-SA"/>
              </w:rPr>
              <w:id w:val="147457445"/>
              <w:placeholder>
                <w:docPart w:val="{5105b8a3-78a6-48a7-9549-d01a1e3f41ff}"/>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六、一般公共预算财政拨款支出决算表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_Toc18943_WPSOffice_Level2 </w:instrText>
          </w:r>
          <w:r>
            <w:fldChar w:fldCharType="separate"/>
          </w:r>
          <w:sdt>
            <w:sdtPr>
              <w:rPr>
                <w:rFonts w:ascii="Times New Roman" w:hAnsi="Times New Roman" w:eastAsia="宋体" w:cs="Times New Roman"/>
                <w:kern w:val="2"/>
                <w:sz w:val="21"/>
                <w:szCs w:val="24"/>
                <w:lang w:val="en-US" w:eastAsia="zh-CN" w:bidi="ar-SA"/>
              </w:rPr>
              <w:id w:val="147467042"/>
              <w:placeholder>
                <w:docPart w:val="{675c257f-2342-4800-9aa1-98b9516158d1}"/>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七、一般公共预算财政拨款支出决算明细表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_Toc31189_WPSOffice_Level2 </w:instrText>
          </w:r>
          <w:r>
            <w:fldChar w:fldCharType="separate"/>
          </w:r>
          <w:sdt>
            <w:sdtPr>
              <w:rPr>
                <w:rFonts w:ascii="Times New Roman" w:hAnsi="Times New Roman" w:eastAsia="宋体" w:cs="Times New Roman"/>
                <w:kern w:val="2"/>
                <w:sz w:val="21"/>
                <w:szCs w:val="24"/>
                <w:lang w:val="en-US" w:eastAsia="zh-CN" w:bidi="ar-SA"/>
              </w:rPr>
              <w:id w:val="147455248"/>
              <w:placeholder>
                <w:docPart w:val="{28c575e2-a44c-482f-9b18-e6d82b90cb2a}"/>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八、一般公共预算财政拨款基本支出决算表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_Toc9057_WPSOffice_Level2 </w:instrText>
          </w:r>
          <w:r>
            <w:fldChar w:fldCharType="separate"/>
          </w:r>
          <w:sdt>
            <w:sdtPr>
              <w:rPr>
                <w:rFonts w:ascii="Times New Roman" w:hAnsi="Times New Roman" w:eastAsia="宋体" w:cs="Times New Roman"/>
                <w:kern w:val="2"/>
                <w:sz w:val="21"/>
                <w:szCs w:val="24"/>
                <w:lang w:val="en-US" w:eastAsia="zh-CN" w:bidi="ar-SA"/>
              </w:rPr>
              <w:id w:val="147459815"/>
              <w:placeholder>
                <w:docPart w:val="{5be33aee-f6e6-4e78-ac0d-d902ef0e107d}"/>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九、一般公共预算财政拨款项目支出决算表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_Toc16519_WPSOffice_Level2 </w:instrText>
          </w:r>
          <w:r>
            <w:fldChar w:fldCharType="separate"/>
          </w:r>
          <w:sdt>
            <w:sdtPr>
              <w:rPr>
                <w:rFonts w:ascii="Times New Roman" w:hAnsi="Times New Roman" w:eastAsia="宋体" w:cs="Times New Roman"/>
                <w:kern w:val="2"/>
                <w:sz w:val="21"/>
                <w:szCs w:val="24"/>
                <w:lang w:val="en-US" w:eastAsia="zh-CN" w:bidi="ar-SA"/>
              </w:rPr>
              <w:id w:val="147461650"/>
              <w:placeholder>
                <w:docPart w:val="{f268c593-40dc-43b0-8c6e-3968c940e37f}"/>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十、政府性基金预算财政拨款收入支出决算表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_Toc3300_WPSOffice_Level2 </w:instrText>
          </w:r>
          <w:r>
            <w:fldChar w:fldCharType="separate"/>
          </w:r>
          <w:sdt>
            <w:sdtPr>
              <w:rPr>
                <w:rFonts w:ascii="Times New Roman" w:hAnsi="Times New Roman" w:eastAsia="宋体" w:cs="Times New Roman"/>
                <w:kern w:val="2"/>
                <w:sz w:val="21"/>
                <w:szCs w:val="24"/>
                <w:lang w:val="en-US" w:eastAsia="zh-CN" w:bidi="ar-SA"/>
              </w:rPr>
              <w:id w:val="147460045"/>
              <w:placeholder>
                <w:docPart w:val="{db3d5d40-ed08-40d0-93f5-d38c4053d877}"/>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十一、国有资本经营预算财政拨款收入支出决算表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rPr>
              <w:rFonts w:hint="eastAsia" w:eastAsia="宋体"/>
              <w:lang w:val="en-US" w:eastAsia="zh-CN"/>
            </w:rPr>
          </w:pPr>
          <w:r>
            <w:fldChar w:fldCharType="begin"/>
          </w:r>
          <w:r>
            <w:instrText xml:space="preserve"> HYPERLINK \l _Toc10445_WPSOffice_Level2 </w:instrText>
          </w:r>
          <w:r>
            <w:fldChar w:fldCharType="separate"/>
          </w:r>
          <w:sdt>
            <w:sdtPr>
              <w:rPr>
                <w:rFonts w:ascii="Times New Roman" w:hAnsi="Times New Roman" w:eastAsia="宋体" w:cs="Times New Roman"/>
                <w:kern w:val="2"/>
                <w:sz w:val="21"/>
                <w:szCs w:val="24"/>
                <w:lang w:val="en-US" w:eastAsia="zh-CN" w:bidi="ar-SA"/>
              </w:rPr>
              <w:id w:val="147481848"/>
              <w:placeholder>
                <w:docPart w:val="{accf25a2-7c83-40ba-9fa7-fc3823829513}"/>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十二、国有资本经营预算财政拨款支出决算表</w:t>
              </w:r>
            </w:sdtContent>
          </w:sdt>
          <w:r>
            <w:tab/>
          </w:r>
          <w:r>
            <w:rPr>
              <w:rFonts w:hint="eastAsia"/>
              <w:lang w:val="en-US" w:eastAsia="zh-CN"/>
            </w:rPr>
            <w:t>1</w:t>
          </w:r>
          <w:r>
            <w:fldChar w:fldCharType="end"/>
          </w:r>
          <w:r>
            <w:rPr>
              <w:rFonts w:hint="eastAsia"/>
              <w:lang w:val="en-US" w:eastAsia="zh-CN"/>
            </w:rPr>
            <w:t>6</w:t>
          </w:r>
        </w:p>
        <w:p>
          <w:pPr>
            <w:pStyle w:val="36"/>
            <w:tabs>
              <w:tab w:val="right" w:leader="dot" w:pos="8306"/>
            </w:tabs>
          </w:pPr>
          <w:r>
            <w:fldChar w:fldCharType="begin"/>
          </w:r>
          <w:r>
            <w:instrText xml:space="preserve"> HYPERLINK \l _Toc19652_WPSOffice_Level2 </w:instrText>
          </w:r>
          <w:r>
            <w:fldChar w:fldCharType="separate"/>
          </w:r>
          <w:sdt>
            <w:sdtPr>
              <w:rPr>
                <w:rFonts w:ascii="Times New Roman" w:hAnsi="Times New Roman" w:eastAsia="宋体" w:cs="Times New Roman"/>
                <w:kern w:val="2"/>
                <w:sz w:val="21"/>
                <w:szCs w:val="24"/>
                <w:lang w:val="en-US" w:eastAsia="zh-CN" w:bidi="ar-SA"/>
              </w:rPr>
              <w:id w:val="147459642"/>
              <w:placeholder>
                <w:docPart w:val="{e1c779bc-fa7e-40ef-96f6-a3ca05b21f75}"/>
              </w:placeholder>
              <w15:color w:val="509DF3"/>
            </w:sdtPr>
            <w:sdtEndPr>
              <w:rPr>
                <w:rFonts w:ascii="Times New Roman" w:hAnsi="Times New Roman" w:eastAsia="宋体" w:cs="Times New Roman"/>
                <w:kern w:val="2"/>
                <w:sz w:val="21"/>
                <w:szCs w:val="24"/>
                <w:lang w:val="en-US" w:eastAsia="zh-CN" w:bidi="ar-SA"/>
              </w:rPr>
            </w:sdtEndPr>
            <w:sdtContent>
              <w:r>
                <w:rPr>
                  <w:rFonts w:hint="eastAsia" w:ascii="Times New Roman" w:hAnsi="Times New Roman" w:eastAsia="仿宋_GB2312" w:cs="仿宋_GB2312"/>
                </w:rPr>
                <w:t>十三、财政拨款“三公”经费支出决算表</w:t>
              </w:r>
            </w:sdtContent>
          </w:sdt>
          <w:r>
            <w:tab/>
          </w:r>
          <w:r>
            <w:rPr>
              <w:rFonts w:hint="eastAsia"/>
              <w:lang w:val="en-US" w:eastAsia="zh-CN"/>
            </w:rPr>
            <w:t>1</w:t>
          </w:r>
          <w:r>
            <w:fldChar w:fldCharType="end"/>
          </w:r>
          <w:bookmarkEnd w:id="8"/>
          <w:r>
            <w:rPr>
              <w:rFonts w:hint="eastAsia"/>
              <w:lang w:val="en-US" w:eastAsia="zh-CN"/>
            </w:rPr>
            <w:t>6</w:t>
          </w:r>
        </w:p>
      </w:sdtContent>
    </w:sdt>
    <w:p>
      <w:pPr>
        <w:rPr>
          <w:rFonts w:ascii="Times New Roman" w:hAnsi="Times New Roman"/>
          <w:color w:val="auto"/>
          <w:highlight w:val="none"/>
        </w:rPr>
      </w:pPr>
    </w:p>
    <w:p>
      <w:pPr>
        <w:pStyle w:val="5"/>
        <w:jc w:val="center"/>
        <w:rPr>
          <w:rFonts w:hint="eastAsia" w:ascii="Times New Roman" w:hAnsi="Times New Roman" w:eastAsia="方正小标宋简体" w:cs="方正小标宋简体"/>
          <w:b w:val="0"/>
          <w:color w:val="auto"/>
          <w:highlight w:val="none"/>
        </w:rPr>
      </w:pPr>
      <w:bookmarkStart w:id="34" w:name="_Toc15377196"/>
      <w:bookmarkStart w:id="35" w:name="_Toc15396599"/>
    </w:p>
    <w:p>
      <w:pPr>
        <w:rPr>
          <w:rFonts w:hint="eastAsia" w:ascii="Times New Roman" w:hAnsi="Times New Roman" w:eastAsia="方正小标宋简体" w:cs="方正小标宋简体"/>
          <w:b w:val="0"/>
          <w:color w:val="auto"/>
          <w:highlight w:val="none"/>
        </w:rPr>
      </w:pPr>
    </w:p>
    <w:p>
      <w:pPr>
        <w:pStyle w:val="2"/>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4"/>
        <w:rPr>
          <w:rFonts w:hint="eastAsia" w:ascii="Times New Roman" w:hAnsi="Times New Roman" w:eastAsia="方正小标宋简体" w:cs="方正小标宋简体"/>
          <w:b w:val="0"/>
          <w:color w:val="auto"/>
          <w:highlight w:val="none"/>
        </w:rPr>
      </w:pPr>
    </w:p>
    <w:p>
      <w:pPr>
        <w:pStyle w:val="5"/>
        <w:jc w:val="center"/>
        <w:rPr>
          <w:rFonts w:hint="eastAsia" w:ascii="Times New Roman" w:hAnsi="Times New Roman" w:eastAsia="方正小标宋简体" w:cs="方正小标宋简体"/>
          <w:b w:val="0"/>
          <w:color w:val="auto"/>
          <w:highlight w:val="none"/>
        </w:rPr>
        <w:sectPr>
          <w:footerReference r:id="rId6" w:type="first"/>
          <w:footerReference r:id="rId5" w:type="default"/>
          <w:pgSz w:w="11906" w:h="16838"/>
          <w:pgMar w:top="1440" w:right="1800" w:bottom="1440" w:left="1800" w:header="851" w:footer="992" w:gutter="0"/>
          <w:pgNumType w:fmt="numberInDash" w:start="1"/>
          <w:cols w:space="425" w:num="1"/>
          <w:titlePg/>
          <w:docGrid w:type="lines" w:linePitch="312" w:charSpace="0"/>
        </w:sectPr>
      </w:pPr>
    </w:p>
    <w:p>
      <w:pPr>
        <w:pStyle w:val="5"/>
        <w:jc w:val="center"/>
        <w:rPr>
          <w:rFonts w:ascii="Times New Roman" w:hAnsi="Times New Roman" w:eastAsia="黑体"/>
          <w:color w:val="auto"/>
          <w:sz w:val="32"/>
          <w:szCs w:val="32"/>
          <w:highlight w:val="none"/>
        </w:rPr>
      </w:pPr>
      <w:bookmarkStart w:id="36" w:name="_Toc6788_WPSOffice_Level1"/>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34"/>
      <w:bookmarkEnd w:id="35"/>
      <w:bookmarkEnd w:id="36"/>
    </w:p>
    <w:p>
      <w:pPr>
        <w:pStyle w:val="6"/>
        <w:numPr>
          <w:ilvl w:val="0"/>
          <w:numId w:val="1"/>
        </w:numPr>
        <w:rPr>
          <w:rFonts w:hint="eastAsia" w:ascii="Times New Roman" w:hAnsi="Times New Roman" w:eastAsia="黑体"/>
          <w:b w:val="0"/>
          <w:color w:val="auto"/>
          <w:highlight w:val="none"/>
          <w:lang w:eastAsia="zh-CN"/>
        </w:rPr>
      </w:pPr>
      <w:bookmarkStart w:id="37" w:name="_Toc18964_WPSOffice_Level2"/>
      <w:r>
        <w:rPr>
          <w:rFonts w:hint="eastAsia" w:ascii="Times New Roman" w:hAnsi="Times New Roman" w:eastAsia="黑体"/>
          <w:b w:val="0"/>
          <w:color w:val="auto"/>
          <w:highlight w:val="none"/>
          <w:lang w:eastAsia="zh-CN"/>
        </w:rPr>
        <w:t>部门职责</w:t>
      </w:r>
      <w:bookmarkEnd w:id="37"/>
    </w:p>
    <w:p>
      <w:pPr>
        <w:pageBreakBefore w:val="0"/>
        <w:numPr>
          <w:ilvl w:val="0"/>
          <w:numId w:val="0"/>
        </w:numPr>
        <w:kinsoku/>
        <w:wordWrap/>
        <w:overflowPunct/>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color w:val="000000"/>
          <w:sz w:val="32"/>
          <w:szCs w:val="32"/>
          <w:lang w:eastAsia="zh-CN"/>
        </w:rPr>
        <w:t>乐山市五通桥区粮食和物资储备中心基本</w:t>
      </w:r>
      <w:r>
        <w:rPr>
          <w:rFonts w:hint="eastAsia" w:ascii="仿宋_GB2312" w:hAnsi="仿宋_GB2312" w:eastAsia="仿宋_GB2312" w:cs="仿宋_GB2312"/>
          <w:bCs/>
          <w:color w:val="000000"/>
          <w:sz w:val="32"/>
          <w:szCs w:val="32"/>
          <w:lang w:val="en-US" w:eastAsia="zh-CN"/>
        </w:rPr>
        <w:t>职责</w:t>
      </w:r>
      <w:r>
        <w:rPr>
          <w:rFonts w:hint="eastAsia" w:ascii="仿宋_GB2312" w:hAnsi="仿宋_GB2312" w:eastAsia="仿宋_GB2312" w:cs="仿宋_GB2312"/>
          <w:bCs/>
          <w:color w:val="000000"/>
          <w:sz w:val="32"/>
          <w:szCs w:val="32"/>
          <w:lang w:eastAsia="zh-CN"/>
        </w:rPr>
        <w:t>包括：</w:t>
      </w:r>
      <w:r>
        <w:rPr>
          <w:rFonts w:hint="eastAsia" w:ascii="仿宋_GB2312" w:hAnsi="仿宋_GB2312" w:eastAsia="仿宋_GB2312" w:cs="仿宋_GB2312"/>
          <w:sz w:val="32"/>
          <w:szCs w:val="32"/>
          <w:lang w:val="zh-CN"/>
        </w:rPr>
        <w:t xml:space="preserve"> </w:t>
      </w:r>
      <w:r>
        <w:rPr>
          <w:rFonts w:hint="eastAsia" w:ascii="仿宋_GB2312" w:hAnsi="仿宋_GB2312" w:eastAsia="仿宋_GB2312" w:cs="仿宋_GB2312"/>
          <w:sz w:val="32"/>
          <w:szCs w:val="32"/>
        </w:rPr>
        <w:t>一是负责对区级</w:t>
      </w:r>
      <w:r>
        <w:rPr>
          <w:rFonts w:hint="eastAsia" w:ascii="仿宋_GB2312" w:hAnsi="仿宋_GB2312" w:eastAsia="仿宋_GB2312" w:cs="仿宋_GB2312"/>
          <w:sz w:val="32"/>
          <w:szCs w:val="32"/>
          <w:lang w:eastAsia="zh-CN"/>
        </w:rPr>
        <w:t>政府</w:t>
      </w:r>
      <w:r>
        <w:rPr>
          <w:rFonts w:hint="eastAsia" w:ascii="仿宋_GB2312" w:hAnsi="仿宋_GB2312" w:eastAsia="仿宋_GB2312" w:cs="仿宋_GB2312"/>
          <w:sz w:val="32"/>
          <w:szCs w:val="32"/>
        </w:rPr>
        <w:t>储备粮食的管理工作；二是负责五通桥区应急救灾物资仓库管理的物资的储备和调拨工作；三是负责对原区属粮食转制企业国有资产安全监管</w:t>
      </w:r>
      <w:r>
        <w:rPr>
          <w:rFonts w:hint="eastAsia" w:ascii="仿宋_GB2312" w:hAnsi="仿宋_GB2312" w:eastAsia="仿宋_GB2312" w:cs="仿宋_GB2312"/>
          <w:sz w:val="32"/>
          <w:szCs w:val="32"/>
          <w:lang w:val="en-US" w:eastAsia="zh-CN"/>
        </w:rPr>
        <w:t>和维护</w:t>
      </w:r>
      <w:r>
        <w:rPr>
          <w:rFonts w:hint="eastAsia" w:ascii="仿宋_GB2312" w:hAnsi="仿宋_GB2312" w:eastAsia="仿宋_GB2312" w:cs="仿宋_GB2312"/>
          <w:sz w:val="32"/>
          <w:szCs w:val="32"/>
        </w:rPr>
        <w:t>工作；四是具体承担对区属国有粮食企业的指导管理和对区内涉粮企业的行业管理工作。</w:t>
      </w:r>
    </w:p>
    <w:p>
      <w:pPr>
        <w:pStyle w:val="6"/>
        <w:rPr>
          <w:rStyle w:val="29"/>
          <w:rFonts w:ascii="Times New Roman" w:hAnsi="Times New Roman"/>
          <w:b w:val="0"/>
          <w:bCs w:val="0"/>
          <w:color w:val="auto"/>
          <w:highlight w:val="none"/>
        </w:rPr>
      </w:pPr>
      <w:bookmarkStart w:id="38" w:name="_Toc26641_WPSOffice_Level2"/>
      <w:bookmarkStart w:id="39" w:name="_Toc15377200"/>
      <w:bookmarkStart w:id="40" w:name="_Toc15396601"/>
      <w:r>
        <w:rPr>
          <w:rFonts w:hint="eastAsia" w:ascii="Times New Roman" w:hAnsi="Times New Roman" w:eastAsia="黑体"/>
          <w:b w:val="0"/>
          <w:color w:val="auto"/>
          <w:highlight w:val="none"/>
        </w:rPr>
        <w:t>二、机</w:t>
      </w:r>
      <w:r>
        <w:rPr>
          <w:rStyle w:val="29"/>
          <w:rFonts w:hint="eastAsia" w:ascii="Times New Roman" w:hAnsi="Times New Roman" w:eastAsia="黑体"/>
          <w:b w:val="0"/>
          <w:bCs w:val="0"/>
          <w:color w:val="auto"/>
          <w:highlight w:val="none"/>
        </w:rPr>
        <w:t>构设置</w:t>
      </w:r>
      <w:bookmarkEnd w:id="38"/>
      <w:bookmarkEnd w:id="39"/>
      <w:bookmarkEnd w:id="40"/>
    </w:p>
    <w:p>
      <w:pPr>
        <w:ind w:firstLine="800" w:firstLineChars="250"/>
        <w:rPr>
          <w:rFonts w:hint="eastAsia" w:ascii="仿宋_GB2312" w:hAnsi="仿宋_GB2312" w:eastAsia="仿宋_GB2312" w:cs="仿宋_GB2312"/>
          <w:color w:val="auto"/>
          <w:sz w:val="32"/>
          <w:szCs w:val="32"/>
          <w:highlight w:val="none"/>
        </w:rPr>
      </w:pPr>
      <w:bookmarkStart w:id="41" w:name="_Toc15396602"/>
      <w:bookmarkStart w:id="42" w:name="_Toc15377204"/>
      <w:r>
        <w:rPr>
          <w:rFonts w:hint="eastAsia" w:ascii="仿宋_GB2312" w:hAnsi="仿宋_GB2312" w:eastAsia="仿宋_GB2312" w:cs="仿宋_GB2312"/>
          <w:bCs/>
          <w:color w:val="000000"/>
          <w:sz w:val="32"/>
          <w:szCs w:val="32"/>
          <w:highlight w:val="none"/>
          <w:lang w:eastAsia="zh-CN"/>
        </w:rPr>
        <w:t>乐山市五通桥区粮食和物资储备中心</w:t>
      </w:r>
      <w:r>
        <w:rPr>
          <w:rFonts w:hint="eastAsia" w:ascii="仿宋_GB2312" w:hAnsi="仿宋_GB2312" w:eastAsia="仿宋_GB2312" w:cs="仿宋_GB2312"/>
          <w:color w:val="auto"/>
          <w:sz w:val="32"/>
          <w:szCs w:val="32"/>
          <w:highlight w:val="none"/>
        </w:rPr>
        <w:t>下属二级</w:t>
      </w:r>
      <w:r>
        <w:rPr>
          <w:rFonts w:hint="eastAsia" w:ascii="仿宋_GB2312" w:hAnsi="仿宋_GB2312" w:eastAsia="仿宋_GB2312" w:cs="仿宋_GB2312"/>
          <w:color w:val="auto"/>
          <w:sz w:val="32"/>
          <w:szCs w:val="32"/>
          <w:highlight w:val="none"/>
          <w:lang w:eastAsia="zh-CN"/>
        </w:rPr>
        <w:t>预算</w:t>
      </w: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个，其中行政单位</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个，参照公务员法管理的事业单位</w:t>
      </w: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个，其他事业单位</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个。</w:t>
      </w:r>
    </w:p>
    <w:p>
      <w:pPr>
        <w:pStyle w:val="4"/>
        <w:adjustRightInd w:val="0"/>
        <w:snapToGrid w:val="0"/>
        <w:spacing w:before="93" w:line="600" w:lineRule="exact"/>
        <w:ind w:firstLine="672" w:firstLineChars="210"/>
        <w:rPr>
          <w:rFonts w:hint="eastAsia" w:ascii="Times New Roman" w:hAnsi="Times New Roman" w:eastAsia="方正小标宋简体" w:cs="方正小标宋简体"/>
          <w:b w:val="0"/>
          <w:color w:val="auto"/>
          <w:highlight w:val="none"/>
        </w:rPr>
      </w:pPr>
      <w:r>
        <w:rPr>
          <w:rFonts w:hint="eastAsia" w:ascii="仿宋_GB2312" w:hAnsi="仿宋_GB2312" w:eastAsia="仿宋_GB2312" w:cs="仿宋_GB2312"/>
          <w:color w:val="auto"/>
          <w:sz w:val="32"/>
          <w:szCs w:val="32"/>
          <w:highlight w:val="none"/>
        </w:rPr>
        <w:t>纳入</w:t>
      </w:r>
      <w:r>
        <w:rPr>
          <w:rFonts w:hint="eastAsia" w:ascii="仿宋_GB2312" w:hAnsi="仿宋_GB2312" w:eastAsia="仿宋_GB2312" w:cs="仿宋_GB2312"/>
          <w:bCs/>
          <w:color w:val="000000"/>
          <w:sz w:val="32"/>
          <w:szCs w:val="32"/>
          <w:highlight w:val="none"/>
          <w:lang w:eastAsia="zh-CN"/>
        </w:rPr>
        <w:t>乐山市五通桥区粮食和物资储备中心</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rPr>
        <w:t>决算编制范围的二级预算单位包括：</w:t>
      </w:r>
      <w:r>
        <w:rPr>
          <w:rFonts w:hint="eastAsia" w:ascii="仿宋_GB2312" w:hAnsi="仿宋_GB2312" w:eastAsia="仿宋_GB2312" w:cs="仿宋_GB2312"/>
          <w:bCs/>
          <w:color w:val="000000"/>
          <w:sz w:val="32"/>
          <w:szCs w:val="32"/>
          <w:highlight w:val="none"/>
          <w:lang w:eastAsia="zh-CN"/>
        </w:rPr>
        <w:t>乐山市五通桥区粮食和物资储备中心。</w:t>
      </w:r>
      <w:bookmarkStart w:id="43" w:name="_Toc18964_WPSOffice_Level1"/>
    </w:p>
    <w:p>
      <w:pPr>
        <w:pStyle w:val="5"/>
        <w:jc w:val="center"/>
        <w:rPr>
          <w:rFonts w:hint="eastAsia" w:ascii="Times New Roman" w:hAnsi="Times New Roman" w:eastAsia="方正小标宋简体" w:cs="方正小标宋简体"/>
          <w:b w:val="0"/>
          <w:color w:val="auto"/>
          <w:highlight w:val="none"/>
        </w:rPr>
      </w:pPr>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41"/>
      <w:bookmarkEnd w:id="42"/>
      <w:bookmarkEnd w:id="43"/>
    </w:p>
    <w:p>
      <w:pPr>
        <w:rPr>
          <w:rFonts w:ascii="Times New Roman" w:hAnsi="Times New Roman"/>
          <w:color w:val="auto"/>
          <w:highlight w:val="none"/>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44" w:name="_Toc23327_WPSOffice_Level2"/>
      <w:bookmarkStart w:id="45" w:name="_Toc15377205"/>
      <w:bookmarkStart w:id="46" w:name="_Toc15396603"/>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44"/>
      <w:bookmarkEnd w:id="45"/>
      <w:bookmarkEnd w:id="46"/>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2024年度收入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总计</w:t>
      </w:r>
      <w:r>
        <w:rPr>
          <w:rFonts w:hint="eastAsia" w:ascii="仿宋_GB2312" w:hAnsi="仿宋_GB2312"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424.97</w:t>
      </w:r>
      <w:r>
        <w:rPr>
          <w:rFonts w:hint="eastAsia" w:ascii="仿宋_GB2312" w:hAnsi="仿宋_GB2312" w:eastAsia="仿宋_GB2312" w:cs="仿宋_GB2312"/>
          <w:color w:val="auto"/>
          <w:sz w:val="32"/>
          <w:szCs w:val="32"/>
          <w:highlight w:val="none"/>
        </w:rPr>
        <w:t>万元。与</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度</w:t>
      </w:r>
      <w:r>
        <w:rPr>
          <w:rFonts w:hint="eastAsia" w:ascii="仿宋_GB2312" w:hAnsi="仿宋_GB2312" w:eastAsia="仿宋_GB2312" w:cs="仿宋_GB2312"/>
          <w:color w:val="auto"/>
          <w:sz w:val="32"/>
          <w:szCs w:val="32"/>
          <w:highlight w:val="none"/>
          <w:lang w:val="en-US" w:eastAsia="zh-CN"/>
        </w:rPr>
        <w:t>508.72万元</w:t>
      </w:r>
      <w:r>
        <w:rPr>
          <w:rFonts w:hint="eastAsia" w:ascii="仿宋_GB2312" w:hAnsi="仿宋_GB2312" w:eastAsia="仿宋_GB2312" w:cs="仿宋_GB2312"/>
          <w:color w:val="auto"/>
          <w:sz w:val="32"/>
          <w:szCs w:val="32"/>
          <w:highlight w:val="none"/>
        </w:rPr>
        <w:t>相比，</w:t>
      </w:r>
      <w:r>
        <w:rPr>
          <w:rFonts w:hint="eastAsia" w:ascii="仿宋_GB2312" w:hAnsi="仿宋_GB2312" w:eastAsia="仿宋_GB2312" w:cs="仿宋_GB2312"/>
          <w:color w:val="auto"/>
          <w:sz w:val="32"/>
          <w:szCs w:val="32"/>
          <w:highlight w:val="none"/>
          <w:lang w:eastAsia="zh-CN"/>
        </w:rPr>
        <w:t>收入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总计各</w:t>
      </w:r>
      <w:r>
        <w:rPr>
          <w:rFonts w:hint="eastAsia" w:ascii="仿宋_GB2312" w:hAnsi="仿宋_GB2312" w:eastAsia="仿宋_GB2312" w:cs="仿宋_GB2312"/>
          <w:color w:val="auto"/>
          <w:sz w:val="32"/>
          <w:szCs w:val="32"/>
          <w:highlight w:val="none"/>
          <w:lang w:val="en-US" w:eastAsia="zh-CN"/>
        </w:rPr>
        <w:t>减少83.75</w:t>
      </w:r>
      <w:r>
        <w:rPr>
          <w:rFonts w:hint="eastAsia" w:ascii="仿宋_GB2312" w:hAnsi="仿宋_GB2312" w:eastAsia="仿宋_GB2312" w:cs="仿宋_GB2312"/>
          <w:color w:val="auto"/>
          <w:sz w:val="32"/>
          <w:szCs w:val="32"/>
          <w:highlight w:val="none"/>
        </w:rPr>
        <w:t>万元，下降</w:t>
      </w:r>
      <w:r>
        <w:rPr>
          <w:rFonts w:hint="eastAsia" w:ascii="仿宋_GB2312" w:hAnsi="仿宋_GB2312" w:eastAsia="仿宋_GB2312" w:cs="仿宋_GB2312"/>
          <w:color w:val="auto"/>
          <w:sz w:val="32"/>
          <w:szCs w:val="32"/>
          <w:highlight w:val="none"/>
          <w:lang w:val="en-US" w:eastAsia="zh-CN"/>
        </w:rPr>
        <w:t>16.46</w:t>
      </w:r>
      <w:r>
        <w:rPr>
          <w:rFonts w:hint="eastAsia" w:ascii="仿宋_GB2312" w:hAnsi="仿宋_GB2312" w:eastAsia="仿宋_GB2312" w:cs="仿宋_GB2312"/>
          <w:color w:val="auto"/>
          <w:sz w:val="32"/>
          <w:szCs w:val="32"/>
          <w:highlight w:val="none"/>
        </w:rPr>
        <w:t>%。主要变动原因是</w:t>
      </w:r>
      <w:r>
        <w:rPr>
          <w:rFonts w:hint="eastAsia" w:ascii="仿宋_GB2312" w:hAnsi="仿宋_GB2312" w:eastAsia="仿宋_GB2312" w:cs="仿宋_GB2312"/>
          <w:color w:val="auto"/>
          <w:sz w:val="32"/>
          <w:szCs w:val="32"/>
          <w:highlight w:val="none"/>
          <w:lang w:val="en-US" w:eastAsia="zh-CN"/>
        </w:rPr>
        <w:t>本年度减少粮食储备库改造工程采购项目，省“8.18”洪灾仓储设施应急维修资金，2022年产粮大县奖励资金用于促进粮油产业高质量发展项目专项资金预算等项目支出，本年度收入支出相应减少。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（图1：</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决算总计变动情况图）（柱状图）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仿宋_GB2312" w:cs="仿宋_GB2312"/>
          <w:color w:val="auto"/>
          <w:sz w:val="32"/>
          <w:szCs w:val="32"/>
          <w:highlight w:val="none"/>
        </w:rPr>
      </w:pPr>
      <w:r>
        <w:rPr>
          <w:rFonts w:hint="eastAsia" w:eastAsia="仿宋_GB2312"/>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47" w:name="_Toc10327_WPSOffice_Level2"/>
      <w:bookmarkStart w:id="48" w:name="_Toc15377206"/>
      <w:bookmarkStart w:id="49" w:name="_Toc15396604"/>
      <w:r>
        <w:rPr>
          <w:rFonts w:hint="eastAsia" w:ascii="Times New Roman" w:hAnsi="Times New Roman" w:eastAsia="黑体"/>
          <w:color w:val="auto"/>
          <w:sz w:val="32"/>
          <w:szCs w:val="32"/>
          <w:highlight w:val="none"/>
          <w:lang w:eastAsia="zh-CN"/>
        </w:rPr>
        <w:t>二、收入决算情况说明</w:t>
      </w:r>
      <w:bookmarkEnd w:id="47"/>
      <w:bookmarkEnd w:id="48"/>
      <w:bookmarkEnd w:id="49"/>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371.8万元，其中：一般公共预算财政拨款收入268.65</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72.25</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102.28</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27.51%</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0.87</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0.23</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（图2：收入决算结构图）（饼状图）</w:t>
      </w:r>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50" w:name="_Toc25912_WPSOffice_Level2"/>
      <w:bookmarkStart w:id="51" w:name="_Toc15396605"/>
      <w:bookmarkStart w:id="52" w:name="_Toc15377207"/>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50"/>
      <w:bookmarkEnd w:id="51"/>
      <w:bookmarkEnd w:id="52"/>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371.92</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243.24</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65.39</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128.69</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34.6</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（图3：支出决算结构图）（饼状图）</w:t>
      </w:r>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shd w:val="pct10" w:color="auto" w:fill="FFFFFF"/>
          <w:lang w:eastAsia="zh-CN"/>
        </w:rPr>
        <w:drawing>
          <wp:inline distT="0" distB="0" distL="114300" distR="114300">
            <wp:extent cx="5080000" cy="3315335"/>
            <wp:effectExtent l="4445" t="4445" r="20955" b="1397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firstLineChars="200"/>
        <w:outlineLvl w:val="1"/>
        <w:rPr>
          <w:rStyle w:val="29"/>
          <w:rFonts w:ascii="Times New Roman" w:hAnsi="Times New Roman" w:eastAsia="黑体"/>
          <w:b w:val="0"/>
          <w:color w:val="auto"/>
          <w:highlight w:val="none"/>
        </w:rPr>
      </w:pPr>
      <w:bookmarkStart w:id="53" w:name="_Toc14825_WPSOffice_Level2"/>
      <w:bookmarkStart w:id="54" w:name="_Toc15396606"/>
      <w:bookmarkStart w:id="55" w:name="_Toc15377208"/>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53"/>
      <w:bookmarkEnd w:id="54"/>
      <w:bookmarkEnd w:id="55"/>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370.93</w:t>
      </w:r>
      <w:r>
        <w:rPr>
          <w:rFonts w:hint="eastAsia" w:ascii="仿宋_GB2312" w:hAnsi="仿宋_GB2312" w:eastAsia="仿宋_GB2312" w:cs="仿宋_GB2312"/>
          <w:color w:val="auto"/>
          <w:kern w:val="2"/>
          <w:sz w:val="32"/>
          <w:szCs w:val="32"/>
          <w:highlight w:val="none"/>
          <w:lang w:val="en-US" w:eastAsia="zh-CN" w:bidi="ar-SA"/>
        </w:rPr>
        <w:t>万元。与2023年度455.12万元相比，财政拨款收入总计、支出总计各减少84.19万元，下降18.49%。</w:t>
      </w:r>
      <w:r>
        <w:rPr>
          <w:rFonts w:hint="eastAsia" w:ascii="仿宋_GB2312" w:hAnsi="仿宋_GB2312" w:eastAsia="仿宋_GB2312" w:cs="仿宋_GB2312"/>
          <w:color w:val="auto"/>
          <w:sz w:val="32"/>
          <w:szCs w:val="32"/>
          <w:highlight w:val="none"/>
        </w:rPr>
        <w:t>主要变动原因是</w:t>
      </w:r>
      <w:r>
        <w:rPr>
          <w:rFonts w:hint="eastAsia" w:ascii="仿宋_GB2312" w:hAnsi="仿宋_GB2312" w:eastAsia="仿宋_GB2312" w:cs="仿宋_GB2312"/>
          <w:color w:val="auto"/>
          <w:sz w:val="32"/>
          <w:szCs w:val="32"/>
          <w:highlight w:val="none"/>
          <w:lang w:val="en-US" w:eastAsia="zh-CN"/>
        </w:rPr>
        <w:t>本年度减少粮食储备库改造工程采购项目，省“8.18”洪灾仓储设施应急维修资金，2022年产粮大县奖励资金用于促进粮油产业高质量发展项目专项资金预算等项目支出，本年度财政拨款收入支出相应减少。</w:t>
      </w:r>
    </w:p>
    <w:p>
      <w:pPr>
        <w:spacing w:line="600" w:lineRule="exact"/>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（图4：财政拨款收、支决算总计变动情况）（柱状图）</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pStyle w:val="2"/>
        <w:ind w:left="0" w:leftChars="0" w:firstLine="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val="en-US" w:eastAsia="zh-CN"/>
        </w:rPr>
        <w:t xml:space="preserve">  </w:t>
      </w:r>
      <w:r>
        <w:rPr>
          <w:rFonts w:hint="eastAsia" w:ascii="仿宋" w:hAnsi="仿宋" w:eastAsia="仿宋"/>
          <w:sz w:val="32"/>
          <w:szCs w:val="32"/>
          <w:lang w:eastAsia="zh-CN"/>
        </w:rPr>
        <w:drawing>
          <wp:inline distT="0" distB="0" distL="114300" distR="114300">
            <wp:extent cx="5080000" cy="2678430"/>
            <wp:effectExtent l="4445" t="4445" r="20955" b="222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640" w:firstLineChars="200"/>
        <w:outlineLvl w:val="1"/>
        <w:rPr>
          <w:rStyle w:val="29"/>
          <w:rFonts w:ascii="Times New Roman" w:hAnsi="Times New Roman" w:eastAsia="黑体"/>
          <w:b w:val="0"/>
          <w:color w:val="auto"/>
          <w:highlight w:val="none"/>
        </w:rPr>
      </w:pPr>
      <w:bookmarkStart w:id="56" w:name="_Toc15396607"/>
      <w:bookmarkStart w:id="57" w:name="_Toc28427_WPSOffice_Level2"/>
      <w:bookmarkStart w:id="58" w:name="_Toc15377209"/>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56"/>
      <w:bookmarkEnd w:id="57"/>
      <w:bookmarkEnd w:id="58"/>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59" w:name="_Toc15377210"/>
      <w:bookmarkStart w:id="60" w:name="_Toc18964_WPSOffice_Level3"/>
      <w:r>
        <w:rPr>
          <w:rFonts w:hint="eastAsia" w:ascii="Times New Roman" w:hAnsi="Times New Roman" w:eastAsia="楷体_GB2312" w:cs="楷体_GB2312"/>
          <w:b/>
          <w:color w:val="auto"/>
          <w:sz w:val="32"/>
          <w:szCs w:val="32"/>
          <w:highlight w:val="none"/>
        </w:rPr>
        <w:t>（一）一般公共预算财政拨款支出决算总体情况</w:t>
      </w:r>
      <w:bookmarkEnd w:id="59"/>
      <w:bookmarkEnd w:id="60"/>
    </w:p>
    <w:p>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268.65</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72.23</w:t>
      </w:r>
      <w:r>
        <w:rPr>
          <w:rFonts w:hint="eastAsia" w:ascii="仿宋_GB2312" w:hAnsi="仿宋_GB2312" w:eastAsia="仿宋_GB2312" w:cs="仿宋_GB2312"/>
          <w:color w:val="auto"/>
          <w:kern w:val="2"/>
          <w:sz w:val="32"/>
          <w:szCs w:val="32"/>
          <w:highlight w:val="none"/>
          <w:lang w:val="en-US" w:eastAsia="zh-CN" w:bidi="ar-SA"/>
        </w:rPr>
        <w:t>%。与2023年度406.41万元相比，一般公共预算财政拨款支出减少137.76万元，下降33.9%。主要变动原因是省“8.18”洪灾仓储设施应急维修资金等项目已完成，不再增列预算没项目经费支出总额减少，本年度退休一人，工资发放和五险一金支付总额降低，公用经费定额核定总数减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（图5：一般公共预算财政拨款支出决算变动情况）（柱状图）</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pStyle w:val="2"/>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810000"/>
            <wp:effectExtent l="4445" t="4445" r="20955" b="1460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61" w:name="_Toc15377211"/>
      <w:bookmarkStart w:id="62" w:name="_Toc26641_WPSOffice_Level3"/>
      <w:r>
        <w:rPr>
          <w:rFonts w:hint="eastAsia" w:ascii="Times New Roman" w:hAnsi="Times New Roman" w:eastAsia="楷体_GB2312" w:cs="楷体_GB2312"/>
          <w:b/>
          <w:color w:val="auto"/>
          <w:sz w:val="32"/>
          <w:szCs w:val="32"/>
          <w:highlight w:val="none"/>
        </w:rPr>
        <w:t>（二）一般公共预算财政拨款支出决算结构情况</w:t>
      </w:r>
      <w:bookmarkEnd w:id="61"/>
      <w:bookmarkEnd w:id="62"/>
    </w:p>
    <w:p>
      <w:pPr>
        <w:spacing w:line="600" w:lineRule="exact"/>
        <w:ind w:firstLine="64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268.65</w:t>
      </w:r>
      <w:r>
        <w:rPr>
          <w:rFonts w:hint="eastAsia" w:ascii="仿宋_GB2312" w:hAnsi="仿宋_GB2312" w:eastAsia="仿宋_GB2312" w:cs="仿宋_GB2312"/>
          <w:color w:val="auto"/>
          <w:kern w:val="2"/>
          <w:sz w:val="32"/>
          <w:szCs w:val="32"/>
          <w:highlight w:val="none"/>
          <w:lang w:val="en-US" w:eastAsia="zh-CN" w:bidi="ar-SA"/>
        </w:rPr>
        <w:t>万元，主要用于以下方面：</w:t>
      </w:r>
      <w:r>
        <w:rPr>
          <w:rFonts w:hint="eastAsia" w:ascii="仿宋_GB2312" w:hAnsi="仿宋_GB2312" w:eastAsia="仿宋_GB2312" w:cs="仿宋_GB2312"/>
          <w:b w:val="0"/>
          <w:bCs w:val="0"/>
          <w:color w:val="auto"/>
          <w:sz w:val="32"/>
          <w:szCs w:val="32"/>
          <w:highlight w:val="none"/>
        </w:rPr>
        <w:t>社会保障和就业支出</w:t>
      </w:r>
      <w:r>
        <w:rPr>
          <w:rFonts w:hint="eastAsia" w:ascii="仿宋_GB2312" w:hAnsi="仿宋_GB2312" w:eastAsia="仿宋_GB2312" w:cs="仿宋_GB2312"/>
          <w:b w:val="0"/>
          <w:bCs w:val="0"/>
          <w:color w:val="auto"/>
          <w:sz w:val="32"/>
          <w:szCs w:val="32"/>
          <w:highlight w:val="none"/>
          <w:lang w:val="en-US" w:eastAsia="zh-CN"/>
        </w:rPr>
        <w:t>77.16</w:t>
      </w:r>
      <w:r>
        <w:rPr>
          <w:rFonts w:hint="eastAsia" w:ascii="仿宋_GB2312" w:hAnsi="仿宋_GB2312" w:eastAsia="仿宋_GB2312" w:cs="仿宋_GB2312"/>
          <w:b w:val="0"/>
          <w:bCs w:val="0"/>
          <w:color w:val="auto"/>
          <w:sz w:val="32"/>
          <w:szCs w:val="32"/>
          <w:highlight w:val="none"/>
        </w:rPr>
        <w:t>万元，占</w:t>
      </w:r>
      <w:r>
        <w:rPr>
          <w:rFonts w:hint="eastAsia" w:ascii="仿宋_GB2312" w:hAnsi="仿宋_GB2312" w:eastAsia="仿宋_GB2312" w:cs="仿宋_GB2312"/>
          <w:b w:val="0"/>
          <w:bCs w:val="0"/>
          <w:color w:val="auto"/>
          <w:sz w:val="32"/>
          <w:szCs w:val="32"/>
          <w:highlight w:val="none"/>
          <w:lang w:val="en-US" w:eastAsia="zh-CN"/>
        </w:rPr>
        <w:t>28.72</w:t>
      </w:r>
      <w:r>
        <w:rPr>
          <w:rFonts w:hint="eastAsia" w:ascii="仿宋_GB2312" w:hAnsi="仿宋_GB2312" w:eastAsia="仿宋_GB2312" w:cs="仿宋_GB2312"/>
          <w:b w:val="0"/>
          <w:bCs w:val="0"/>
          <w:color w:val="auto"/>
          <w:sz w:val="32"/>
          <w:szCs w:val="32"/>
          <w:highlight w:val="none"/>
        </w:rPr>
        <w:t>%；卫生健康支出</w:t>
      </w:r>
      <w:r>
        <w:rPr>
          <w:rFonts w:hint="eastAsia" w:ascii="仿宋_GB2312" w:hAnsi="仿宋_GB2312" w:eastAsia="仿宋_GB2312" w:cs="仿宋_GB2312"/>
          <w:b w:val="0"/>
          <w:bCs w:val="0"/>
          <w:color w:val="auto"/>
          <w:sz w:val="32"/>
          <w:szCs w:val="32"/>
          <w:highlight w:val="none"/>
          <w:lang w:val="en-US" w:eastAsia="zh-CN"/>
        </w:rPr>
        <w:t>9.76</w:t>
      </w:r>
      <w:r>
        <w:rPr>
          <w:rFonts w:hint="eastAsia" w:ascii="仿宋_GB2312" w:hAnsi="仿宋_GB2312" w:eastAsia="仿宋_GB2312" w:cs="仿宋_GB2312"/>
          <w:b w:val="0"/>
          <w:bCs w:val="0"/>
          <w:color w:val="auto"/>
          <w:sz w:val="32"/>
          <w:szCs w:val="32"/>
          <w:highlight w:val="none"/>
        </w:rPr>
        <w:t>万元，占</w:t>
      </w:r>
      <w:r>
        <w:rPr>
          <w:rFonts w:hint="eastAsia" w:ascii="仿宋_GB2312" w:hAnsi="仿宋_GB2312" w:eastAsia="仿宋_GB2312" w:cs="仿宋_GB2312"/>
          <w:b w:val="0"/>
          <w:bCs w:val="0"/>
          <w:color w:val="auto"/>
          <w:sz w:val="32"/>
          <w:szCs w:val="32"/>
          <w:highlight w:val="none"/>
          <w:lang w:val="en-US" w:eastAsia="zh-CN"/>
        </w:rPr>
        <w:t>3.63</w:t>
      </w:r>
      <w:r>
        <w:rPr>
          <w:rFonts w:hint="eastAsia" w:ascii="仿宋_GB2312" w:hAnsi="仿宋_GB2312" w:eastAsia="仿宋_GB2312" w:cs="仿宋_GB2312"/>
          <w:b w:val="0"/>
          <w:bCs w:val="0"/>
          <w:color w:val="auto"/>
          <w:sz w:val="32"/>
          <w:szCs w:val="32"/>
          <w:highlight w:val="none"/>
        </w:rPr>
        <w:t>%；住房保障支出</w:t>
      </w:r>
      <w:r>
        <w:rPr>
          <w:rFonts w:hint="eastAsia" w:ascii="仿宋_GB2312" w:hAnsi="仿宋_GB2312" w:eastAsia="仿宋_GB2312" w:cs="仿宋_GB2312"/>
          <w:b w:val="0"/>
          <w:bCs w:val="0"/>
          <w:color w:val="auto"/>
          <w:sz w:val="32"/>
          <w:szCs w:val="32"/>
          <w:highlight w:val="none"/>
          <w:lang w:val="en-US" w:eastAsia="zh-CN"/>
        </w:rPr>
        <w:t>13.07</w:t>
      </w:r>
      <w:r>
        <w:rPr>
          <w:rFonts w:hint="eastAsia" w:ascii="仿宋_GB2312" w:hAnsi="仿宋_GB2312" w:eastAsia="仿宋_GB2312" w:cs="仿宋_GB2312"/>
          <w:b w:val="0"/>
          <w:bCs w:val="0"/>
          <w:color w:val="auto"/>
          <w:sz w:val="32"/>
          <w:szCs w:val="32"/>
          <w:highlight w:val="none"/>
        </w:rPr>
        <w:t>万元，占</w:t>
      </w:r>
      <w:r>
        <w:rPr>
          <w:rFonts w:hint="eastAsia" w:ascii="仿宋_GB2312" w:hAnsi="仿宋_GB2312" w:eastAsia="仿宋_GB2312" w:cs="仿宋_GB2312"/>
          <w:b w:val="0"/>
          <w:bCs w:val="0"/>
          <w:color w:val="auto"/>
          <w:sz w:val="32"/>
          <w:szCs w:val="32"/>
          <w:highlight w:val="none"/>
          <w:lang w:val="en-US" w:eastAsia="zh-CN"/>
        </w:rPr>
        <w:t>4.86</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粮油物资储备支出164.71万元，占61.31%；灾害防治及应急管理支出3.95万元，占1.47%</w:t>
      </w:r>
      <w:r>
        <w:rPr>
          <w:rFonts w:hint="eastAsia" w:ascii="仿宋_GB2312" w:hAnsi="仿宋_GB2312" w:eastAsia="仿宋_GB2312" w:cs="仿宋_GB2312"/>
          <w:b w:val="0"/>
          <w:bCs w:val="0"/>
          <w:color w:val="auto"/>
          <w:sz w:val="32"/>
          <w:szCs w:val="32"/>
          <w:highlight w:val="none"/>
        </w:rPr>
        <w:t>。</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（图6：一般公共预算财政拨款支出决算结构）（饼状图）</w:t>
      </w:r>
    </w:p>
    <w:p>
      <w:pPr>
        <w:pStyle w:val="2"/>
        <w:ind w:left="0" w:leftChars="0" w:firstLine="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810000"/>
            <wp:effectExtent l="4445" t="4445" r="20955" b="146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63" w:name="_Toc15377212"/>
      <w:bookmarkStart w:id="64" w:name="_Toc23327_WPSOffice_Level3"/>
      <w:r>
        <w:rPr>
          <w:rFonts w:hint="eastAsia" w:ascii="Times New Roman" w:hAnsi="Times New Roman" w:eastAsia="楷体_GB2312" w:cs="楷体_GB2312"/>
          <w:b/>
          <w:color w:val="auto"/>
          <w:sz w:val="32"/>
          <w:szCs w:val="32"/>
          <w:highlight w:val="none"/>
        </w:rPr>
        <w:t>（三）一般公共预算财政拨款支出决算具体情况</w:t>
      </w:r>
      <w:bookmarkEnd w:id="63"/>
      <w:bookmarkEnd w:id="64"/>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bookmarkStart w:id="65" w:name="_Toc15378460"/>
      <w:bookmarkStart w:id="66" w:name="_Toc15377213"/>
      <w:bookmarkStart w:id="67" w:name="_Toc15377444"/>
      <w:r>
        <w:rPr>
          <w:rFonts w:hint="eastAsia" w:ascii="仿宋_GB2312" w:hAnsi="仿宋_GB2312"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268.65</w:t>
      </w:r>
      <w:r>
        <w:rPr>
          <w:rFonts w:hint="eastAsia" w:ascii="仿宋_GB2312" w:hAnsi="仿宋_GB2312" w:eastAsia="仿宋_GB2312" w:cs="仿宋_GB2312"/>
          <w:color w:val="auto"/>
          <w:kern w:val="2"/>
          <w:sz w:val="32"/>
          <w:szCs w:val="32"/>
          <w:highlight w:val="none"/>
          <w:lang w:val="en-US" w:eastAsia="zh-CN" w:bidi="ar-SA"/>
        </w:rPr>
        <w:t>，完成预算100%。其中：</w:t>
      </w:r>
      <w:bookmarkEnd w:id="65"/>
      <w:bookmarkEnd w:id="66"/>
      <w:bookmarkEnd w:id="67"/>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bookmarkStart w:id="68" w:name="_Toc15377214"/>
      <w:bookmarkStart w:id="69" w:name="_Toc15396608"/>
      <w:r>
        <w:rPr>
          <w:rFonts w:hint="eastAsia" w:ascii="仿宋_GB2312" w:hAnsi="仿宋_GB2312" w:eastAsia="仿宋_GB2312" w:cs="仿宋_GB2312"/>
          <w:color w:val="auto"/>
          <w:kern w:val="2"/>
          <w:sz w:val="32"/>
          <w:szCs w:val="32"/>
          <w:highlight w:val="none"/>
          <w:lang w:val="en-US" w:eastAsia="zh-CN" w:bidi="ar-SA"/>
        </w:rPr>
        <w:t>1.社会保障和就业（类）行政事业单位养老支出（款）机关事业单位基本养老保险缴费支出（项）: 支出决算为15.07万元，完成预算100%，决算数与预算数持平。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2.社会保障和就业（类）行政事业单位养老支出（款）机关事业单位职业年金缴费支出（项）: 支出决算为9.2万元，完成预算100%，决算数与预算数持平。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3.社会保障和就业（类）行政事业单位养老支出（款）其他行政事业单位养老支出（项）: 支出决算为28.62万元，完成预算100%，决算数与预算数持平。</w:t>
      </w:r>
    </w:p>
    <w:p>
      <w:pPr>
        <w:pStyle w:val="2"/>
        <w:spacing w:after="0"/>
        <w:ind w:left="0" w:leftChars="0"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4.社会保障和就业（类）抚恤（款）死亡抚恤（项）: 支出决算为22.88万元，完成预算100%，决算数与预算数持平。</w:t>
      </w:r>
    </w:p>
    <w:p>
      <w:pPr>
        <w:pStyle w:val="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kern w:val="2"/>
          <w:sz w:val="32"/>
          <w:szCs w:val="32"/>
          <w:highlight w:val="none"/>
          <w:lang w:val="en-US" w:eastAsia="zh-CN" w:bidi="ar-SA"/>
        </w:rPr>
        <w:t>5.社会保障和就业（类）其他社会保障和就业支出（款）其他社会保障和就业支出（项）: 支出决算为1.39万元，完成预算100%，决算数与预算数持平。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6.卫生健康（类）行政事业单位医疗（款）行政单位医疗（项）:支出决算为5.66万元，完成预算100%，决算数与预算数持平。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7.卫生健康（类）行政事业单位医疗（款）公务员医疗补助（项）:支出决算为4.1万元，完成预算100%，决算数与预算数持平。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8.住房保障（类）住房改革支出（款）住房公积金（项）:支出决算为13.07万元，完成预算100%，决算数与预算数持平。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9.粮油物资储备（类）粮油物资事务（款）行政运行（项）:支出决算为143.25万元，完成预算100%，决算数与预算数持平。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10.粮油物资储备（类）粮油物资事务（款）其他粮油物资事务支出（项）:支出决算为20.19万元，完成预算100%，决算数与预算数持平。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11.粮油物资储备（类）粮油储备（款）储备粮油补贴（项）:支出决算为1.26万元，完成预算100%，决算数与预算数持平。</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12.灾害防治及应急管理（类）应急管理事务（款）应急救援（项）:支出决算为3.95万元，完成预算100%，决算数与预算数持平。</w:t>
      </w:r>
    </w:p>
    <w:p>
      <w:pPr>
        <w:tabs>
          <w:tab w:val="right" w:pos="8306"/>
        </w:tabs>
        <w:spacing w:line="600" w:lineRule="exact"/>
        <w:ind w:firstLine="640"/>
        <w:outlineLvl w:val="1"/>
        <w:rPr>
          <w:rStyle w:val="29"/>
          <w:rFonts w:ascii="Times New Roman" w:hAnsi="Times New Roman"/>
          <w:color w:val="auto"/>
          <w:highlight w:val="none"/>
        </w:rPr>
      </w:pPr>
      <w:bookmarkStart w:id="70" w:name="_Toc30325_WPSOffice_Level2"/>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68"/>
      <w:bookmarkEnd w:id="69"/>
      <w:bookmarkEnd w:id="70"/>
      <w:r>
        <w:rPr>
          <w:rStyle w:val="29"/>
          <w:rFonts w:ascii="Times New Roman" w:hAnsi="Times New Roman" w:eastAsia="黑体"/>
          <w:b w:val="0"/>
          <w:color w:val="auto"/>
          <w:highlight w:val="none"/>
        </w:rPr>
        <w:tab/>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243.24</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217.64</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25.59</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9"/>
          <w:rFonts w:ascii="Times New Roman" w:hAnsi="Times New Roman" w:eastAsia="黑体"/>
          <w:b w:val="0"/>
          <w:color w:val="auto"/>
          <w:highlight w:val="none"/>
        </w:rPr>
      </w:pPr>
      <w:bookmarkStart w:id="71" w:name="_Toc15377215"/>
      <w:bookmarkStart w:id="72" w:name="_Toc27254_WPSOffice_Level2"/>
      <w:bookmarkStart w:id="73" w:name="_Toc15396609"/>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71"/>
      <w:bookmarkEnd w:id="72"/>
      <w:bookmarkEnd w:id="73"/>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74" w:name="_Toc15377216"/>
      <w:bookmarkStart w:id="75" w:name="_Toc10327_WPSOffice_Level3"/>
      <w:r>
        <w:rPr>
          <w:rFonts w:hint="eastAsia" w:ascii="Times New Roman" w:hAnsi="Times New Roman" w:eastAsia="楷体_GB2312" w:cs="楷体_GB2312"/>
          <w:b/>
          <w:color w:val="auto"/>
          <w:sz w:val="32"/>
          <w:szCs w:val="32"/>
          <w:highlight w:val="none"/>
        </w:rPr>
        <w:t>（一）“三公”经费财政拨款支出决算总体情况说明</w:t>
      </w:r>
      <w:bookmarkEnd w:id="74"/>
      <w:bookmarkEnd w:id="75"/>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0.52</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kern w:val="2"/>
          <w:sz w:val="32"/>
          <w:szCs w:val="32"/>
          <w:highlight w:val="none"/>
          <w:lang w:val="en-US" w:eastAsia="zh-CN" w:bidi="ar-SA"/>
        </w:rPr>
        <w:t>%，较上年度0.1万元增加0.42万元，增长420%。决算数与预算数持平。</w:t>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76" w:name="_Toc25912_WPSOffice_Level3"/>
      <w:bookmarkStart w:id="77"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76"/>
      <w:bookmarkEnd w:id="77"/>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2024年度“三公”经费财政拨款支出决算中，因公出国（境）费支出决算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万元，占0%；公务用车购置及运行维护费支出决算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万元，占0%；公务接待费支出决算</w:t>
      </w:r>
      <w:r>
        <w:rPr>
          <w:rFonts w:hint="eastAsia" w:ascii="仿宋_GB2312" w:hAnsi="仿宋_GB2312" w:eastAsia="仿宋_GB2312" w:cs="仿宋_GB2312"/>
          <w:sz w:val="32"/>
          <w:szCs w:val="32"/>
        </w:rPr>
        <w:t>0.52</w:t>
      </w:r>
      <w:r>
        <w:rPr>
          <w:rFonts w:hint="eastAsia" w:ascii="仿宋_GB2312" w:hAnsi="仿宋_GB2312" w:eastAsia="仿宋_GB2312" w:cs="仿宋_GB2312"/>
          <w:color w:val="auto"/>
          <w:kern w:val="2"/>
          <w:sz w:val="32"/>
          <w:szCs w:val="32"/>
          <w:highlight w:val="none"/>
          <w:lang w:val="en-US" w:eastAsia="zh-CN" w:bidi="ar-SA"/>
        </w:rPr>
        <w:t>万元，占100%。具体情况如下：</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（图7：“三公”经费财政拨款支出结构）（饼状图）</w:t>
      </w:r>
    </w:p>
    <w:p>
      <w:pPr>
        <w:pStyle w:val="4"/>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205480"/>
            <wp:effectExtent l="4445" t="4445" r="20955" b="952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numPr>
          <w:ilvl w:val="0"/>
          <w:numId w:val="0"/>
        </w:numPr>
        <w:spacing w:line="600" w:lineRule="exact"/>
        <w:ind w:firstLine="642" w:firstLineChars="200"/>
        <w:rPr>
          <w:rFonts w:hint="eastAsia"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1.因公出国（境）经费支出0万元，完成预算0%。</w:t>
      </w:r>
      <w:r>
        <w:rPr>
          <w:rFonts w:hint="eastAsia" w:ascii="仿宋_GB2312" w:hAnsi="仿宋_GB2312" w:eastAsia="仿宋_GB2312" w:cs="仿宋_GB2312"/>
          <w:color w:val="auto"/>
          <w:kern w:val="2"/>
          <w:sz w:val="32"/>
          <w:szCs w:val="32"/>
          <w:highlight w:val="none"/>
          <w:lang w:val="en-US" w:eastAsia="zh-CN" w:bidi="ar-SA"/>
        </w:rPr>
        <w:t>全年安排因公出国（境）团</w:t>
      </w:r>
      <w:r>
        <w:rPr>
          <w:rFonts w:hint="eastAsia" w:ascii="仿宋_GB2312" w:hAnsi="仿宋_GB2312" w:eastAsia="仿宋_GB2312" w:cs="仿宋_GB2312"/>
          <w:color w:val="auto"/>
          <w:kern w:val="2"/>
          <w:sz w:val="32"/>
          <w:szCs w:val="32"/>
          <w:highlight w:val="none"/>
          <w:lang w:val="en-US" w:eastAsia="zh-CN" w:bidi="ar-SA"/>
        </w:rPr>
        <w:t>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人。因公出国（境）支出决算比2023年无变化。</w:t>
      </w:r>
    </w:p>
    <w:p>
      <w:pPr>
        <w:numPr>
          <w:ilvl w:val="0"/>
          <w:numId w:val="0"/>
        </w:numPr>
        <w:spacing w:line="600" w:lineRule="exact"/>
        <w:ind w:firstLine="642" w:firstLineChars="200"/>
        <w:rPr>
          <w:rFonts w:hint="default"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2.公务用车购置及运行维护费支出</w:t>
      </w:r>
      <w:r>
        <w:rPr>
          <w:rFonts w:hint="eastAsia" w:ascii="仿宋_GB2312" w:hAnsi="仿宋_GB2312" w:eastAsia="仿宋_GB2312" w:cs="仿宋_GB2312"/>
          <w:b/>
          <w:bCs/>
          <w:color w:val="auto"/>
          <w:kern w:val="2"/>
          <w:sz w:val="32"/>
          <w:szCs w:val="32"/>
          <w:highlight w:val="none"/>
          <w:lang w:val="en-US" w:eastAsia="zh-CN" w:bidi="ar-SA"/>
        </w:rPr>
        <w:t>0万元，完成预算0%。</w:t>
      </w:r>
      <w:r>
        <w:rPr>
          <w:rFonts w:hint="eastAsia" w:ascii="仿宋_GB2312" w:hAnsi="仿宋_GB2312" w:eastAsia="仿宋_GB2312" w:cs="仿宋_GB2312"/>
          <w:color w:val="auto"/>
          <w:kern w:val="2"/>
          <w:sz w:val="32"/>
          <w:szCs w:val="32"/>
          <w:highlight w:val="none"/>
          <w:lang w:val="en-US" w:eastAsia="zh-CN" w:bidi="ar-SA"/>
        </w:rPr>
        <w:t>公务用车购置及运行维护费支出决算比2023年度无变化。</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其中：公务用车购置支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万元。全年按规定更新购置公务用车0辆，其中：轿车0辆、金额0万元，越野车0辆、金额0万元，载客汽车0辆、金额0万元。截至2024年12月31日，单位共有公务用车0辆。</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公务用车运行维护费支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3.公务接待费支出</w:t>
      </w:r>
      <w:r>
        <w:rPr>
          <w:rFonts w:hint="eastAsia" w:ascii="仿宋_GB2312" w:hAnsi="仿宋_GB2312" w:eastAsia="仿宋_GB2312" w:cs="仿宋_GB2312"/>
          <w:b/>
          <w:bCs/>
          <w:color w:val="auto"/>
          <w:kern w:val="2"/>
          <w:sz w:val="32"/>
          <w:szCs w:val="32"/>
          <w:highlight w:val="none"/>
          <w:lang w:val="en-US" w:eastAsia="zh-CN" w:bidi="ar-SA"/>
        </w:rPr>
        <w:t>0.52万元，完成预算100%。</w:t>
      </w:r>
      <w:r>
        <w:rPr>
          <w:rFonts w:hint="eastAsia" w:ascii="仿宋_GB2312" w:hAnsi="仿宋_GB2312" w:eastAsia="仿宋_GB2312" w:cs="仿宋_GB2312"/>
          <w:color w:val="auto"/>
          <w:kern w:val="2"/>
          <w:sz w:val="32"/>
          <w:szCs w:val="32"/>
          <w:highlight w:val="none"/>
          <w:lang w:val="en-US" w:eastAsia="zh-CN" w:bidi="ar-SA"/>
        </w:rPr>
        <w:t>公务接待费支出决算比2023年度0.1万元增加0.42万元，增长420%。主要原因是业务开展的需要，为正常工作开展支出。其中：</w:t>
      </w:r>
    </w:p>
    <w:p>
      <w:pPr>
        <w:spacing w:line="600" w:lineRule="exact"/>
        <w:ind w:firstLine="640"/>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国内公务接待支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0.52</w:t>
      </w:r>
      <w:r>
        <w:rPr>
          <w:rFonts w:hint="eastAsia" w:ascii="仿宋_GB2312" w:hAnsi="仿宋_GB2312" w:eastAsia="仿宋_GB2312" w:cs="仿宋_GB2312"/>
          <w:color w:val="auto"/>
          <w:kern w:val="2"/>
          <w:sz w:val="32"/>
          <w:szCs w:val="32"/>
          <w:highlight w:val="none"/>
          <w:lang w:val="en-US" w:eastAsia="zh-CN" w:bidi="ar-SA"/>
        </w:rPr>
        <w:t>万元，主要用于执行公务、开展业务活动开支的交通费、住宿费、用餐费等。国内公务接</w:t>
      </w:r>
      <w:r>
        <w:rPr>
          <w:rFonts w:hint="eastAsia" w:ascii="仿宋_GB2312" w:hAnsi="仿宋_GB2312" w:eastAsia="仿宋_GB2312" w:cs="仿宋_GB2312"/>
          <w:color w:val="auto"/>
          <w:kern w:val="2"/>
          <w:sz w:val="32"/>
          <w:szCs w:val="32"/>
          <w:highlight w:val="none"/>
          <w:lang w:val="en-US" w:eastAsia="zh-CN" w:bidi="ar-SA"/>
        </w:rPr>
        <w:t>待</w:t>
      </w:r>
      <w:r>
        <w:rPr>
          <w:rFonts w:hint="eastAsia" w:ascii="仿宋_GB2312" w:hAnsi="仿宋_GB2312" w:eastAsia="仿宋_GB2312" w:cs="仿宋_GB2312"/>
          <w:sz w:val="32"/>
          <w:szCs w:val="32"/>
        </w:rPr>
        <w:t>3</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52</w:t>
      </w:r>
      <w:r>
        <w:rPr>
          <w:rFonts w:hint="eastAsia" w:ascii="仿宋_GB2312" w:hAnsi="仿宋_GB2312" w:eastAsia="仿宋_GB2312" w:cs="仿宋_GB2312"/>
          <w:color w:val="auto"/>
          <w:kern w:val="2"/>
          <w:sz w:val="32"/>
          <w:szCs w:val="32"/>
          <w:highlight w:val="none"/>
          <w:lang w:val="en-US" w:eastAsia="zh-CN" w:bidi="ar-SA"/>
        </w:rPr>
        <w:t>人次（不包括陪同人员），共计支出0.52万元，</w:t>
      </w:r>
      <w:r>
        <w:rPr>
          <w:rFonts w:hint="eastAsia" w:ascii="仿宋_GB2312" w:hAnsi="仿宋_GB2312" w:eastAsia="仿宋_GB2312" w:cs="仿宋_GB2312"/>
          <w:b w:val="0"/>
          <w:bCs/>
          <w:color w:val="auto"/>
          <w:sz w:val="32"/>
          <w:szCs w:val="32"/>
          <w:highlight w:val="none"/>
        </w:rPr>
        <w:t>具体内容包括：</w:t>
      </w:r>
      <w:r>
        <w:rPr>
          <w:rFonts w:hint="eastAsia" w:ascii="仿宋_GB2312" w:hAnsi="仿宋_GB2312" w:eastAsia="仿宋_GB2312" w:cs="仿宋_GB2312"/>
          <w:b w:val="0"/>
          <w:bCs/>
          <w:color w:val="auto"/>
          <w:sz w:val="32"/>
          <w:szCs w:val="32"/>
          <w:highlight w:val="none"/>
          <w:lang w:val="en-US" w:eastAsia="zh-CN"/>
        </w:rPr>
        <w:t>粮油检查、交流粮油管理工作接待费支出</w:t>
      </w:r>
      <w:r>
        <w:rPr>
          <w:rFonts w:hint="eastAsia" w:ascii="仿宋_GB2312" w:hAnsi="仿宋_GB2312" w:eastAsia="仿宋_GB2312" w:cs="仿宋_GB2312"/>
          <w:b w:val="0"/>
          <w:bCs/>
          <w:color w:val="auto"/>
          <w:sz w:val="32"/>
          <w:szCs w:val="32"/>
          <w:highlight w:val="none"/>
        </w:rPr>
        <w:t>。</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外事接待支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w:t>
      </w:r>
      <w:bookmarkStart w:id="78" w:name="_Toc15396610"/>
      <w:bookmarkStart w:id="79" w:name="_Toc15377218"/>
    </w:p>
    <w:p>
      <w:pPr>
        <w:spacing w:line="600" w:lineRule="exact"/>
        <w:ind w:firstLine="640"/>
        <w:outlineLvl w:val="1"/>
        <w:rPr>
          <w:rStyle w:val="29"/>
          <w:rFonts w:ascii="Times New Roman" w:hAnsi="Times New Roman" w:eastAsia="黑体"/>
          <w:color w:val="auto"/>
          <w:highlight w:val="none"/>
        </w:rPr>
      </w:pPr>
      <w:bookmarkStart w:id="80" w:name="_Toc13221_WPSOffice_Level2"/>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78"/>
      <w:bookmarkEnd w:id="79"/>
      <w:bookmarkEnd w:id="80"/>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102.28</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27.5</w:t>
      </w:r>
      <w:r>
        <w:rPr>
          <w:rFonts w:hint="eastAsia" w:ascii="仿宋_GB2312" w:hAnsi="仿宋_GB2312" w:eastAsia="仿宋_GB2312" w:cs="仿宋_GB2312"/>
          <w:color w:val="auto"/>
          <w:kern w:val="2"/>
          <w:sz w:val="32"/>
          <w:szCs w:val="32"/>
          <w:highlight w:val="none"/>
          <w:lang w:val="en-US" w:eastAsia="zh-CN" w:bidi="ar-SA"/>
        </w:rPr>
        <w:t>%。与2023年度48.71万元相比，政府性基金预算财政拨款支出增加53.57万元，增长109.97%。主要变动原因是新增粮食储备库改造工程采购项目，实施粮食购销领域监管信息化提档升级建设项目，原办公楼拆除搬迁需更换购置办公设施设备政府性基金预算项目支出。</w:t>
      </w:r>
    </w:p>
    <w:p>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81" w:name="_Toc15377219"/>
      <w:bookmarkStart w:id="82" w:name="_Toc15396611"/>
      <w:bookmarkStart w:id="83" w:name="_Toc23737_WPSOffice_Level2"/>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81"/>
      <w:bookmarkEnd w:id="82"/>
      <w:bookmarkEnd w:id="83"/>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w:t>
      </w:r>
    </w:p>
    <w:p>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84" w:name="_Toc14085_WPSOffice_Level2"/>
      <w:bookmarkStart w:id="85" w:name="_Toc15396612"/>
      <w:bookmarkStart w:id="86" w:name="_Toc15377221"/>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84"/>
      <w:bookmarkEnd w:id="85"/>
      <w:bookmarkEnd w:id="86"/>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87" w:name="_Toc15377222"/>
      <w:bookmarkStart w:id="88" w:name="_Toc14825_WPSOffice_Level3"/>
      <w:r>
        <w:rPr>
          <w:rFonts w:hint="eastAsia" w:ascii="Times New Roman" w:hAnsi="Times New Roman" w:eastAsia="楷体_GB2312" w:cs="楷体_GB2312"/>
          <w:b/>
          <w:color w:val="auto"/>
          <w:sz w:val="32"/>
          <w:szCs w:val="32"/>
          <w:highlight w:val="none"/>
        </w:rPr>
        <w:t>（一）机关运行经费支出情况</w:t>
      </w:r>
      <w:bookmarkEnd w:id="87"/>
      <w:bookmarkEnd w:id="88"/>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乐山市五通桥区粮食和物资储备中心</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25.59</w:t>
      </w:r>
      <w:r>
        <w:rPr>
          <w:rFonts w:hint="eastAsia" w:ascii="仿宋_GB2312" w:hAnsi="仿宋_GB2312" w:eastAsia="仿宋_GB2312" w:cs="仿宋_GB2312"/>
          <w:color w:val="auto"/>
          <w:kern w:val="2"/>
          <w:sz w:val="32"/>
          <w:szCs w:val="32"/>
          <w:highlight w:val="none"/>
          <w:lang w:val="en-US" w:eastAsia="zh-CN" w:bidi="ar-SA"/>
        </w:rPr>
        <w:t>万元，比2023年度29.85万元减少4.26万元，下降14.27%。主要原因是本年日常运行经费减少致机关运行经费减少。</w:t>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89" w:name="_Toc15377223"/>
      <w:bookmarkStart w:id="90" w:name="_Toc28427_WPSOffice_Level3"/>
      <w:r>
        <w:rPr>
          <w:rFonts w:hint="eastAsia" w:ascii="Times New Roman" w:hAnsi="Times New Roman" w:eastAsia="楷体_GB2312" w:cs="楷体_GB2312"/>
          <w:b/>
          <w:color w:val="auto"/>
          <w:sz w:val="32"/>
          <w:szCs w:val="32"/>
          <w:highlight w:val="none"/>
        </w:rPr>
        <w:t>（二）政府采购支出情况</w:t>
      </w:r>
      <w:bookmarkEnd w:id="89"/>
      <w:bookmarkEnd w:id="9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乐山市五通桥区粮食和物资储备中心</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91" w:name="_Toc15377224"/>
      <w:bookmarkStart w:id="92" w:name="_Toc30325_WPSOffice_Level3"/>
      <w:r>
        <w:rPr>
          <w:rFonts w:hint="eastAsia" w:ascii="Times New Roman" w:hAnsi="Times New Roman" w:eastAsia="楷体_GB2312" w:cs="楷体_GB2312"/>
          <w:b/>
          <w:color w:val="auto"/>
          <w:sz w:val="32"/>
          <w:szCs w:val="32"/>
          <w:highlight w:val="none"/>
        </w:rPr>
        <w:t>（三）国有资产占有使用情况</w:t>
      </w:r>
      <w:bookmarkEnd w:id="91"/>
      <w:bookmarkEnd w:id="92"/>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乐山市五通桥区粮食和物资储备中心</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2" w:firstLineChars="200"/>
        <w:outlineLvl w:val="2"/>
        <w:rPr>
          <w:rFonts w:hint="eastAsia" w:ascii="Times New Roman" w:hAnsi="Times New Roman" w:eastAsia="楷体_GB2312" w:cs="楷体_GB2312"/>
          <w:b/>
          <w:color w:val="auto"/>
          <w:sz w:val="32"/>
          <w:szCs w:val="32"/>
          <w:highlight w:val="none"/>
        </w:rPr>
      </w:pPr>
      <w:bookmarkStart w:id="93" w:name="_Toc27254_WPSOffice_Level3"/>
      <w:r>
        <w:rPr>
          <w:rFonts w:hint="eastAsia" w:ascii="Times New Roman" w:hAnsi="Times New Roman" w:eastAsia="楷体_GB2312" w:cs="楷体_GB2312"/>
          <w:b/>
          <w:color w:val="auto"/>
          <w:sz w:val="32"/>
          <w:szCs w:val="32"/>
          <w:highlight w:val="none"/>
        </w:rPr>
        <w:t>（四）预算绩效管理情况</w:t>
      </w:r>
      <w:bookmarkEnd w:id="93"/>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预算绩效管理要求，本单位在2024年度预算编制阶段，组织对4个项目开展了预算事前绩效评估，对4个项目编制了绩效目标，预算执行过程中，选取4个项目开展绩效监控。但因为项目涉及敏感内容，不宜公开。</w:t>
      </w:r>
    </w:p>
    <w:p>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94" w:name="_Toc15377225"/>
      <w:bookmarkStart w:id="95" w:name="_Toc26641_WPSOffice_Level1"/>
      <w:bookmarkStart w:id="96" w:name="_Toc15396613"/>
    </w:p>
    <w:p>
      <w:pPr>
        <w:numPr>
          <w:ilvl w:val="0"/>
          <w:numId w:val="0"/>
        </w:numPr>
        <w:spacing w:line="600" w:lineRule="exact"/>
        <w:jc w:val="center"/>
        <w:outlineLvl w:val="0"/>
        <w:rPr>
          <w:rFonts w:hint="eastAsia" w:ascii="Times New Roman" w:hAnsi="Times New Roman" w:eastAsia="黑体"/>
          <w:color w:val="auto"/>
          <w:sz w:val="44"/>
          <w:szCs w:val="44"/>
          <w:highlight w:val="none"/>
        </w:rPr>
      </w:pPr>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94"/>
      <w:bookmarkEnd w:id="95"/>
      <w:bookmarkEnd w:id="96"/>
    </w:p>
    <w:p>
      <w:pPr>
        <w:spacing w:line="600" w:lineRule="exact"/>
        <w:jc w:val="left"/>
        <w:rPr>
          <w:rFonts w:ascii="Times New Roman" w:hAnsi="Times New Roman"/>
          <w:b/>
          <w:color w:val="auto"/>
          <w:sz w:val="44"/>
          <w:szCs w:val="44"/>
          <w:highlight w:val="none"/>
        </w:rPr>
      </w:pP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bookmarkStart w:id="97" w:name="_Toc15377226"/>
      <w:r>
        <w:rPr>
          <w:rFonts w:hint="eastAsia" w:ascii="仿宋_GB2312" w:hAnsi="仿宋_GB2312" w:eastAsia="仿宋_GB2312" w:cs="仿宋_GB2312"/>
          <w:color w:val="auto"/>
          <w:kern w:val="2"/>
          <w:sz w:val="32"/>
          <w:szCs w:val="32"/>
          <w:highlight w:val="none"/>
          <w:lang w:val="en-US" w:eastAsia="zh-CN" w:bidi="ar-SA"/>
        </w:rPr>
        <w:t>1.财政拨款收入：指单位从同级财政部门取得的财政预算资金。</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2.事业收入：指事业单位开展专业业务活动及辅助活动取得的收入。</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3.经营收入：指事业单位在专业业务活动及其辅助活动之外开展非独立核算经营活动取得的收入。</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4.其他收入：指单位取得的除上述收入以外的各项收入。</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5.使用非财政拨款结余：指事业单位使用以前年度积累的非财政拨款结余弥补当年收支差额的金额。 </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6.年初结转和结余：指以前年度尚未完成、结转到本年按有关规定继续使用的资金。 </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7.结余分配：指事业单位按照会计制度规定缴纳的所得税、提取的专用结余以及转入非财政拨款结余的金额等。</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8.年末结转和结余：指单位按有关规定结转到下年或以后年度继续使用的资金。</w:t>
      </w:r>
    </w:p>
    <w:p>
      <w:pPr>
        <w:spacing w:line="54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9.社会保障和就业（类）行政事业单位养老支出（款）机关事业单位基本养老保险缴费支出（项）：指机关事业单位实施养老保险制度由单位缴纳的基本养老保险费支出。</w:t>
      </w:r>
    </w:p>
    <w:p>
      <w:pPr>
        <w:spacing w:line="54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10.社会保障和就业（类）行政事业单位养老支出（款）机关事业单位职业年金缴费支出（项）：指机关事业单位实施养老保险制度由单位实际缴纳的职业年金支出。</w:t>
      </w:r>
    </w:p>
    <w:p>
      <w:pPr>
        <w:spacing w:line="54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11.社会保障和就业（类）行政事业单位养老支出（款）其他行政事业单位养老支出（项）：指除上述项目以外其他用于行政事业单位养老方面的支出。</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12.卫生健康（类）行政事业单位医疗（款）行政单位医疗（项）:指财政部门安排的行政单位（包括实行公务员管理的事业单位）基本医疗保险缴费经费。</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13.卫生健康（类）行政事业单位医疗（款）公务员医疗补助（项）:指财政部门安排的公务员医疗补助经费。</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14.城乡社区支出（类）国有土地使用权出让收入安排的支出（款）其他国有土地使用权出让收入安排的支出（项）:指土地出让收入用于其他方面的支出。</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14.住房保障（类）住房改革支出（款）住房公积金（项）:指行政事业单位按人力资源和社会保障部、财政部规定的基本工资和津贴补贴以及规定比例为职工缴纳的住房公积金。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15.粮油物资储备（类）粮油物资事务（款）行政运行（项）: 指行政单位（包括实行公务员管理的事业单位）的基本支出。</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16.粮油物资储备（类）粮油物资事务（款）一般行政管理事务（项）:指行政单位（包括实行公务员管理的失业单位）未单独设置项级科目的其他项目支出。</w:t>
      </w:r>
    </w:p>
    <w:p>
      <w:pPr>
        <w:spacing w:line="54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17.粮油物资储备（类）粮油物资事务（款）其他粮油物资事务支出（项）: 指除上述项目以外其他用于粮油和物资事务方面的支出。</w:t>
      </w:r>
    </w:p>
    <w:p>
      <w:pPr>
        <w:spacing w:line="60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19.粮油物资储备（类）粮油储备（款）储备粮（油）库建设（项）: 指用于储备粮油仓储设施建设方面的支出。</w:t>
      </w:r>
    </w:p>
    <w:p>
      <w:pPr>
        <w:pStyle w:val="4"/>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20.灾害防治及应急管理（类）应急管理事务（款）应急救援（项）：指反映安全生产、自然灾害应急救援方面的支出。</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21.基本支出：指为保障机构正常运转、完成日常工作任务而发生的人员支出和公用支出。</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22.项目支出：指在基本支出之外为完成特定行政任务和事业发展目标所发生的支出。 </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23.经营支出：指事业单位在专业业务活动及其辅助活动之外开展非独立核算经营活动发生的支出。</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24.“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6"/>
        <w:spacing w:line="56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rPr>
          <w:rStyle w:val="28"/>
          <w:rFonts w:hint="eastAsia" w:ascii="Times New Roman" w:hAnsi="Times New Roman" w:eastAsia="黑体"/>
          <w:b w:val="0"/>
          <w:color w:val="auto"/>
          <w:highlight w:val="none"/>
          <w:lang w:eastAsia="zh-CN"/>
        </w:rPr>
      </w:pPr>
      <w:r>
        <w:rPr>
          <w:rFonts w:hint="eastAsia" w:ascii="Times New Roman" w:hAnsi="Times New Roman" w:eastAsia="仿宋_GB2312" w:cs="仿宋_GB2312"/>
          <w:color w:val="auto"/>
          <w:kern w:val="2"/>
          <w:sz w:val="32"/>
          <w:szCs w:val="32"/>
          <w:highlight w:val="none"/>
          <w:lang w:val="en-US" w:eastAsia="zh-CN" w:bidi="ar-SA"/>
        </w:rPr>
        <w:br w:type="page"/>
      </w:r>
      <w:bookmarkStart w:id="98" w:name="_Toc23327_WPSOffice_Level1"/>
      <w:bookmarkStart w:id="99" w:name="_Toc15396614"/>
      <w:r>
        <w:rPr>
          <w:rFonts w:hint="eastAsia" w:ascii="Times New Roman" w:hAnsi="Times New Roman" w:eastAsia="黑体"/>
          <w:color w:val="auto"/>
          <w:sz w:val="44"/>
          <w:szCs w:val="44"/>
          <w:highlight w:val="none"/>
        </w:rPr>
        <w:t>第四部分</w:t>
      </w:r>
      <w:r>
        <w:rPr>
          <w:rFonts w:hint="eastAsia" w:ascii="Times New Roman" w:hAnsi="Times New Roman"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 xml:space="preserve"> 附件</w:t>
      </w:r>
      <w:bookmarkEnd w:id="98"/>
      <w:bookmarkEnd w:id="99"/>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none"/>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none"/>
          <w:lang w:val="en-US" w:eastAsia="zh-CN" w:bidi="ar-SA"/>
        </w:rPr>
      </w:pPr>
      <w:bookmarkStart w:id="100" w:name="_Toc15396618"/>
    </w:p>
    <w:p>
      <w:pPr>
        <w:widowControl/>
        <w:jc w:val="center"/>
        <w:rPr>
          <w:rFonts w:hint="eastAsia" w:ascii="Times New Roman" w:hAnsi="Times New Roman" w:eastAsia="仿宋"/>
          <w:b w:val="0"/>
          <w:color w:val="auto"/>
          <w:highlight w:val="none"/>
        </w:rPr>
      </w:pPr>
      <w:bookmarkStart w:id="101" w:name="_Toc10327_WPSOffice_Level1"/>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97"/>
      <w:bookmarkEnd w:id="100"/>
      <w:bookmarkEnd w:id="101"/>
      <w:bookmarkStart w:id="102" w:name="_Toc1539661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03" w:name="_Toc15669_WPSOffice_Level2"/>
      <w:r>
        <w:rPr>
          <w:rFonts w:hint="eastAsia" w:ascii="Times New Roman" w:hAnsi="Times New Roman" w:eastAsia="仿宋_GB2312" w:cs="仿宋_GB2312"/>
          <w:color w:val="auto"/>
          <w:sz w:val="32"/>
          <w:szCs w:val="32"/>
          <w:highlight w:val="none"/>
        </w:rPr>
        <w:t>一、收入支出决算总表</w:t>
      </w:r>
      <w:bookmarkEnd w:id="102"/>
      <w:bookmarkEnd w:id="103"/>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04" w:name="_Toc27229_WPSOffice_Level2"/>
      <w:bookmarkStart w:id="105" w:name="_Toc15396620"/>
      <w:r>
        <w:rPr>
          <w:rFonts w:hint="eastAsia" w:ascii="Times New Roman" w:hAnsi="Times New Roman" w:eastAsia="仿宋_GB2312" w:cs="仿宋_GB2312"/>
          <w:color w:val="auto"/>
          <w:sz w:val="32"/>
          <w:szCs w:val="32"/>
          <w:highlight w:val="none"/>
        </w:rPr>
        <w:t>二、收入决算表</w:t>
      </w:r>
      <w:bookmarkEnd w:id="104"/>
      <w:bookmarkEnd w:id="10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06" w:name="_Toc15396621"/>
      <w:bookmarkStart w:id="107" w:name="_Toc26351_WPSOffice_Level2"/>
      <w:r>
        <w:rPr>
          <w:rFonts w:hint="eastAsia" w:ascii="Times New Roman" w:hAnsi="Times New Roman" w:eastAsia="仿宋_GB2312" w:cs="仿宋_GB2312"/>
          <w:color w:val="auto"/>
          <w:sz w:val="32"/>
          <w:szCs w:val="32"/>
          <w:highlight w:val="none"/>
        </w:rPr>
        <w:t>三、支出决算表</w:t>
      </w:r>
      <w:bookmarkEnd w:id="106"/>
      <w:bookmarkEnd w:id="107"/>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08" w:name="_Toc15396622"/>
      <w:bookmarkStart w:id="109" w:name="_Toc23433_WPSOffice_Level2"/>
      <w:r>
        <w:rPr>
          <w:rFonts w:hint="eastAsia" w:ascii="Times New Roman" w:hAnsi="Times New Roman" w:eastAsia="仿宋_GB2312" w:cs="仿宋_GB2312"/>
          <w:color w:val="auto"/>
          <w:sz w:val="32"/>
          <w:szCs w:val="32"/>
          <w:highlight w:val="none"/>
        </w:rPr>
        <w:t>四、财政拨款收入支出决算总表</w:t>
      </w:r>
      <w:bookmarkEnd w:id="108"/>
      <w:bookmarkEnd w:id="10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0" w:name="_Toc7035_WPSOffice_Level2"/>
      <w:bookmarkStart w:id="111" w:name="_Toc15396623"/>
      <w:r>
        <w:rPr>
          <w:rFonts w:hint="eastAsia" w:ascii="Times New Roman" w:hAnsi="Times New Roman" w:eastAsia="仿宋_GB2312" w:cs="仿宋_GB2312"/>
          <w:color w:val="auto"/>
          <w:sz w:val="32"/>
          <w:szCs w:val="32"/>
          <w:highlight w:val="none"/>
        </w:rPr>
        <w:t>五、财政拨款支出决算明细表</w:t>
      </w:r>
      <w:bookmarkEnd w:id="110"/>
      <w:bookmarkEnd w:id="111"/>
      <w:bookmarkStart w:id="112" w:name="_Toc1539662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3" w:name="_Toc11345_WPSOffice_Level2"/>
      <w:r>
        <w:rPr>
          <w:rFonts w:hint="eastAsia" w:ascii="Times New Roman" w:hAnsi="Times New Roman" w:eastAsia="仿宋_GB2312" w:cs="仿宋_GB2312"/>
          <w:color w:val="auto"/>
          <w:sz w:val="32"/>
          <w:szCs w:val="32"/>
          <w:highlight w:val="none"/>
        </w:rPr>
        <w:t>六、一般公共预算财政拨款支出决算表</w:t>
      </w:r>
      <w:bookmarkEnd w:id="112"/>
      <w:bookmarkEnd w:id="113"/>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4" w:name="_Toc15396625"/>
      <w:bookmarkStart w:id="115" w:name="_Toc18943_WPSOffice_Level2"/>
      <w:r>
        <w:rPr>
          <w:rFonts w:hint="eastAsia" w:ascii="Times New Roman" w:hAnsi="Times New Roman" w:eastAsia="仿宋_GB2312" w:cs="仿宋_GB2312"/>
          <w:color w:val="auto"/>
          <w:sz w:val="32"/>
          <w:szCs w:val="32"/>
          <w:highlight w:val="none"/>
        </w:rPr>
        <w:t>七、一般公共预算财政拨款支出决算明细表</w:t>
      </w:r>
      <w:bookmarkEnd w:id="114"/>
      <w:bookmarkEnd w:id="11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6" w:name="_Toc31189_WPSOffice_Level2"/>
      <w:bookmarkStart w:id="117" w:name="_Toc15396626"/>
      <w:r>
        <w:rPr>
          <w:rFonts w:hint="eastAsia" w:ascii="Times New Roman" w:hAnsi="Times New Roman" w:eastAsia="仿宋_GB2312" w:cs="仿宋_GB2312"/>
          <w:color w:val="auto"/>
          <w:sz w:val="32"/>
          <w:szCs w:val="32"/>
          <w:highlight w:val="none"/>
        </w:rPr>
        <w:t>八、一般公共预算财政拨款基本支出决算表</w:t>
      </w:r>
      <w:bookmarkEnd w:id="116"/>
      <w:bookmarkEnd w:id="117"/>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8" w:name="_Toc9057_WPSOffice_Level2"/>
      <w:bookmarkStart w:id="119" w:name="_Toc15396627"/>
      <w:r>
        <w:rPr>
          <w:rFonts w:hint="eastAsia" w:ascii="Times New Roman" w:hAnsi="Times New Roman" w:eastAsia="仿宋_GB2312" w:cs="仿宋_GB2312"/>
          <w:color w:val="auto"/>
          <w:sz w:val="32"/>
          <w:szCs w:val="32"/>
          <w:highlight w:val="none"/>
        </w:rPr>
        <w:t>九、一般公共预算财政拨款项目支出决算表</w:t>
      </w:r>
      <w:bookmarkEnd w:id="118"/>
      <w:bookmarkEnd w:id="11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0" w:name="_Toc15396628"/>
      <w:bookmarkStart w:id="121" w:name="_Toc16519_WPSOffice_Level2"/>
      <w:r>
        <w:rPr>
          <w:rFonts w:hint="eastAsia" w:ascii="Times New Roman" w:hAnsi="Times New Roman" w:eastAsia="仿宋_GB2312" w:cs="仿宋_GB2312"/>
          <w:color w:val="auto"/>
          <w:sz w:val="32"/>
          <w:szCs w:val="32"/>
          <w:highlight w:val="none"/>
        </w:rPr>
        <w:t>十、</w:t>
      </w:r>
      <w:bookmarkEnd w:id="120"/>
      <w:r>
        <w:rPr>
          <w:rFonts w:hint="eastAsia" w:ascii="Times New Roman" w:hAnsi="Times New Roman" w:eastAsia="仿宋_GB2312" w:cs="仿宋_GB2312"/>
          <w:color w:val="auto"/>
          <w:sz w:val="32"/>
          <w:szCs w:val="32"/>
          <w:highlight w:val="none"/>
        </w:rPr>
        <w:t>政府性基金预算财政拨款收入支出决算表</w:t>
      </w:r>
      <w:bookmarkEnd w:id="121"/>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2" w:name="_Toc15396629"/>
      <w:bookmarkStart w:id="123" w:name="_Toc3300_WPSOffice_Level2"/>
      <w:r>
        <w:rPr>
          <w:rFonts w:hint="eastAsia" w:ascii="Times New Roman" w:hAnsi="Times New Roman" w:eastAsia="仿宋_GB2312" w:cs="仿宋_GB2312"/>
          <w:color w:val="auto"/>
          <w:sz w:val="32"/>
          <w:szCs w:val="32"/>
          <w:highlight w:val="none"/>
        </w:rPr>
        <w:t>十一、</w:t>
      </w:r>
      <w:bookmarkEnd w:id="122"/>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bookmarkEnd w:id="123"/>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4" w:name="_Toc15396630"/>
      <w:bookmarkStart w:id="125" w:name="_Toc10445_WPSOffice_Level2"/>
      <w:r>
        <w:rPr>
          <w:rFonts w:hint="eastAsia" w:ascii="Times New Roman" w:hAnsi="Times New Roman" w:eastAsia="仿宋_GB2312" w:cs="仿宋_GB2312"/>
          <w:color w:val="auto"/>
          <w:sz w:val="32"/>
          <w:szCs w:val="32"/>
          <w:highlight w:val="none"/>
        </w:rPr>
        <w:t>十二、</w:t>
      </w:r>
      <w:bookmarkEnd w:id="124"/>
      <w:r>
        <w:rPr>
          <w:rFonts w:hint="eastAsia" w:ascii="Times New Roman" w:hAnsi="Times New Roman" w:eastAsia="仿宋_GB2312" w:cs="仿宋_GB2312"/>
          <w:color w:val="auto"/>
          <w:sz w:val="32"/>
          <w:szCs w:val="32"/>
          <w:highlight w:val="none"/>
          <w:lang w:eastAsia="zh-CN"/>
        </w:rPr>
        <w:t>国有资本经营预算财政拨款支出决算表</w:t>
      </w:r>
      <w:bookmarkEnd w:id="12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126" w:name="_Toc15396631"/>
      <w:bookmarkStart w:id="127" w:name="_Toc19652_WPSOffice_Level2"/>
      <w:r>
        <w:rPr>
          <w:rFonts w:hint="eastAsia" w:ascii="Times New Roman" w:hAnsi="Times New Roman" w:eastAsia="仿宋_GB2312" w:cs="仿宋_GB2312"/>
          <w:color w:val="auto"/>
          <w:sz w:val="32"/>
          <w:szCs w:val="32"/>
          <w:highlight w:val="none"/>
        </w:rPr>
        <w:t>十三、</w:t>
      </w:r>
      <w:bookmarkEnd w:id="126"/>
      <w:r>
        <w:rPr>
          <w:rFonts w:hint="eastAsia" w:ascii="Times New Roman" w:hAnsi="Times New Roman" w:eastAsia="仿宋_GB2312" w:cs="仿宋_GB2312"/>
          <w:color w:val="auto"/>
          <w:sz w:val="32"/>
          <w:szCs w:val="32"/>
          <w:highlight w:val="none"/>
          <w:lang w:eastAsia="zh-CN"/>
        </w:rPr>
        <w:t>财政拨款“三公”经费支出决算表</w:t>
      </w:r>
      <w:bookmarkEnd w:id="127"/>
    </w:p>
    <w:p>
      <w:pPr>
        <w:rPr>
          <w:rFonts w:hint="eastAsia" w:ascii="Times New Roman" w:hAnsi="Times New Roman"/>
          <w:lang w:eastAsia="zh-CN"/>
        </w:rPr>
      </w:pPr>
    </w:p>
    <w:sectPr>
      <w:footerReference r:id="rId8" w:type="first"/>
      <w:footerReference r:id="rId7"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阿里巴巴普惠体 R"/>
    <w:panose1 w:val="00000000000000000000"/>
    <w:charset w:val="00"/>
    <w:family w:val="roman"/>
    <w:pitch w:val="default"/>
    <w:sig w:usb0="00000000" w:usb1="00000000" w:usb2="00000000" w:usb3="00000000" w:csb0="00000000" w:csb1="00000000"/>
  </w:font>
  <w:font w:name="阿里巴巴普惠体 R">
    <w:panose1 w:val="00020600040101010101"/>
    <w:charset w:val="86"/>
    <w:family w:val="auto"/>
    <w:pitch w:val="default"/>
    <w:sig w:usb0="A00002FF" w:usb1="7ACF7CFB" w:usb2="0000001E" w:usb3="00000000" w:csb0="000400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vGRMQ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&#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bP7xkTECAABjBAAADgAAAAAAAAABACAAAAA1&#10;AQAAZHJzL2Uyb0RvYy54bWxQSwUGAAAAAAYABgBZAQAA2AU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uVmZ+Mg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C5WZn4yAgAAYwQAAA4AAAAAAAAAAQAgAAAA&#10;NQEAAGRycy9lMm9Eb2MueG1sUEsFBgAAAAAGAAYAWQEAANkFA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1D395C"/>
    <w:multiLevelType w:val="singleLevel"/>
    <w:tmpl w:val="1E1D395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44537D"/>
    <w:rsid w:val="04916F1E"/>
    <w:rsid w:val="061E35DE"/>
    <w:rsid w:val="066E0107"/>
    <w:rsid w:val="07996F6E"/>
    <w:rsid w:val="07DFD8BA"/>
    <w:rsid w:val="09867E8F"/>
    <w:rsid w:val="0A2032A3"/>
    <w:rsid w:val="0CA8290A"/>
    <w:rsid w:val="0D35B1ED"/>
    <w:rsid w:val="0E0F5A1B"/>
    <w:rsid w:val="0E254B6B"/>
    <w:rsid w:val="0F98263C"/>
    <w:rsid w:val="101860EC"/>
    <w:rsid w:val="101F47CC"/>
    <w:rsid w:val="10C055FF"/>
    <w:rsid w:val="11694EBD"/>
    <w:rsid w:val="11772AA4"/>
    <w:rsid w:val="118107EC"/>
    <w:rsid w:val="12E24EE2"/>
    <w:rsid w:val="13D50BC4"/>
    <w:rsid w:val="14092339"/>
    <w:rsid w:val="14B17F78"/>
    <w:rsid w:val="165E0673"/>
    <w:rsid w:val="16985B8B"/>
    <w:rsid w:val="16B831D5"/>
    <w:rsid w:val="16BB723D"/>
    <w:rsid w:val="17E50567"/>
    <w:rsid w:val="186504BB"/>
    <w:rsid w:val="19A445FC"/>
    <w:rsid w:val="1BE8440E"/>
    <w:rsid w:val="1D155CEE"/>
    <w:rsid w:val="1D1638FE"/>
    <w:rsid w:val="1E312DEB"/>
    <w:rsid w:val="1E740ACF"/>
    <w:rsid w:val="1FF35744"/>
    <w:rsid w:val="1FF6BC77"/>
    <w:rsid w:val="2186353C"/>
    <w:rsid w:val="23860B96"/>
    <w:rsid w:val="240371BF"/>
    <w:rsid w:val="244F3473"/>
    <w:rsid w:val="24C97D99"/>
    <w:rsid w:val="25525F10"/>
    <w:rsid w:val="25A718F0"/>
    <w:rsid w:val="25BB59F6"/>
    <w:rsid w:val="260F557C"/>
    <w:rsid w:val="26970054"/>
    <w:rsid w:val="281408E2"/>
    <w:rsid w:val="29FD04D3"/>
    <w:rsid w:val="2A5D5FDB"/>
    <w:rsid w:val="2B6569D3"/>
    <w:rsid w:val="2BFF19A7"/>
    <w:rsid w:val="2BFF7BC6"/>
    <w:rsid w:val="2C631F0F"/>
    <w:rsid w:val="2C8A61B5"/>
    <w:rsid w:val="2DF04E50"/>
    <w:rsid w:val="2E586DFA"/>
    <w:rsid w:val="2F040D46"/>
    <w:rsid w:val="2F6B035B"/>
    <w:rsid w:val="2FAE5751"/>
    <w:rsid w:val="2FB1A395"/>
    <w:rsid w:val="2FD9A7D8"/>
    <w:rsid w:val="2FDBF714"/>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BA5B11"/>
    <w:rsid w:val="3FF4CAE0"/>
    <w:rsid w:val="3FF7B227"/>
    <w:rsid w:val="44E268DA"/>
    <w:rsid w:val="450D13D7"/>
    <w:rsid w:val="45506656"/>
    <w:rsid w:val="486A6C7A"/>
    <w:rsid w:val="4A627F82"/>
    <w:rsid w:val="4B0E749A"/>
    <w:rsid w:val="4B2477C4"/>
    <w:rsid w:val="4B4F25DA"/>
    <w:rsid w:val="4BE068DB"/>
    <w:rsid w:val="4D577224"/>
    <w:rsid w:val="4DBF1CEB"/>
    <w:rsid w:val="4DF0007C"/>
    <w:rsid w:val="4EAB630A"/>
    <w:rsid w:val="4ECE2238"/>
    <w:rsid w:val="4F833267"/>
    <w:rsid w:val="4FE9BD67"/>
    <w:rsid w:val="4FFB052F"/>
    <w:rsid w:val="537E6D0A"/>
    <w:rsid w:val="53F74C96"/>
    <w:rsid w:val="55170BA8"/>
    <w:rsid w:val="553218C9"/>
    <w:rsid w:val="567E1AA5"/>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575CE7"/>
    <w:rsid w:val="62BF3928"/>
    <w:rsid w:val="63B3701E"/>
    <w:rsid w:val="647F5392"/>
    <w:rsid w:val="65E66580"/>
    <w:rsid w:val="664B1D71"/>
    <w:rsid w:val="664B4E8E"/>
    <w:rsid w:val="66CB037C"/>
    <w:rsid w:val="67277B67"/>
    <w:rsid w:val="67AA3209"/>
    <w:rsid w:val="698D0931"/>
    <w:rsid w:val="6A7FE5F3"/>
    <w:rsid w:val="6B053271"/>
    <w:rsid w:val="6BDD78B3"/>
    <w:rsid w:val="6C4A05C8"/>
    <w:rsid w:val="6C8742B8"/>
    <w:rsid w:val="6CBF6B6D"/>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76654C"/>
    <w:rsid w:val="74BBD01D"/>
    <w:rsid w:val="74ED5379"/>
    <w:rsid w:val="75DEEEC2"/>
    <w:rsid w:val="75E32345"/>
    <w:rsid w:val="76E3355F"/>
    <w:rsid w:val="76FF5125"/>
    <w:rsid w:val="776F6FFA"/>
    <w:rsid w:val="77863621"/>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DFCB908"/>
    <w:rsid w:val="7E8ADEBF"/>
    <w:rsid w:val="7EDFB877"/>
    <w:rsid w:val="7EEF11D3"/>
    <w:rsid w:val="7EFE4840"/>
    <w:rsid w:val="7F0971A6"/>
    <w:rsid w:val="7F1D62E7"/>
    <w:rsid w:val="7F3F679B"/>
    <w:rsid w:val="7F4FC4EF"/>
    <w:rsid w:val="7F5E4D54"/>
    <w:rsid w:val="7F6E0135"/>
    <w:rsid w:val="7F71705A"/>
    <w:rsid w:val="7F79F205"/>
    <w:rsid w:val="7FA30C79"/>
    <w:rsid w:val="7FA79C44"/>
    <w:rsid w:val="7FAF8ABF"/>
    <w:rsid w:val="7FB7269E"/>
    <w:rsid w:val="7FC96657"/>
    <w:rsid w:val="7FDA9588"/>
    <w:rsid w:val="7FDDD7B5"/>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EB525"/>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2"/>
    <w:qFormat/>
    <w:uiPriority w:val="0"/>
    <w:pPr>
      <w:spacing w:after="120"/>
      <w:ind w:leftChars="200"/>
    </w:pPr>
    <w:rPr>
      <w:rFonts w:ascii="仿宋_GB2312"/>
      <w:szCs w:val="32"/>
    </w:rPr>
  </w:style>
  <w:style w:type="paragraph" w:styleId="4">
    <w:name w:val="Body Text"/>
    <w:basedOn w:val="1"/>
    <w:link w:val="25"/>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2"/>
    <w:semiHidden/>
    <w:qFormat/>
    <w:uiPriority w:val="0"/>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4"/>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5"/>
    <w:qFormat/>
    <w:uiPriority w:val="9"/>
    <w:rPr>
      <w:rFonts w:ascii="Times New Roman" w:hAnsi="Times New Roman"/>
      <w:b/>
      <w:bCs/>
      <w:kern w:val="44"/>
      <w:sz w:val="44"/>
      <w:szCs w:val="44"/>
    </w:rPr>
  </w:style>
  <w:style w:type="character" w:customStyle="1" w:styleId="29">
    <w:name w:val="标题 2 Char"/>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9"/>
    <w:semiHidden/>
    <w:qFormat/>
    <w:uiPriority w:val="99"/>
    <w:rPr>
      <w:rFonts w:ascii="Times New Roman" w:hAnsi="Times New Roman"/>
      <w:kern w:val="2"/>
      <w:sz w:val="18"/>
      <w:szCs w:val="18"/>
    </w:rPr>
  </w:style>
  <w:style w:type="character" w:customStyle="1" w:styleId="32">
    <w:name w:val="标题 3 Char"/>
    <w:basedOn w:val="16"/>
    <w:link w:val="7"/>
    <w:qFormat/>
    <w:uiPriority w:val="9"/>
    <w:rPr>
      <w:rFonts w:ascii="Times New Roman" w:hAnsi="Times New Roman"/>
      <w:b/>
      <w:bCs/>
      <w:kern w:val="2"/>
      <w:sz w:val="32"/>
      <w:szCs w:val="32"/>
    </w:rPr>
  </w:style>
  <w:style w:type="paragraph" w:customStyle="1" w:styleId="33">
    <w:name w:val="TOC Heading"/>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chart" Target="charts/chart7.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a:t>
            </a:r>
            <a:r>
              <a:rPr sz="1050" b="1"/>
              <a:t>单位</a:t>
            </a:r>
            <a:r>
              <a:rPr lang="en-US" altLang="zh-CN" sz="1050" b="1"/>
              <a:t>;</a:t>
            </a:r>
            <a:r>
              <a:rPr altLang="en-US" sz="1050" b="1"/>
              <a:t>万元</a:t>
            </a:r>
            <a:r>
              <a:t>）</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Sheet1!$B$2</c:f>
              <c:numCache>
                <c:formatCode>General</c:formatCode>
                <c:ptCount val="1"/>
                <c:pt idx="0">
                  <c:v>508.72</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Sheet1!$C$2</c:f>
              <c:numCache>
                <c:formatCode>General</c:formatCode>
                <c:ptCount val="1"/>
                <c:pt idx="0">
                  <c:v>424.97</c:v>
                </c:pt>
              </c:numCache>
            </c:numRef>
          </c:val>
        </c:ser>
        <c:dLbls>
          <c:showLegendKey val="0"/>
          <c:showVal val="1"/>
          <c:showCatName val="0"/>
          <c:showSerName val="0"/>
          <c:showPercent val="0"/>
          <c:showBubbleSize val="0"/>
        </c:dLbls>
        <c:gapWidth val="219"/>
        <c:overlap val="-27"/>
        <c:axId val="664404243"/>
        <c:axId val="481654464"/>
      </c:barChart>
      <c:catAx>
        <c:axId val="66440424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81654464"/>
        <c:crosses val="autoZero"/>
        <c:auto val="1"/>
        <c:lblAlgn val="ctr"/>
        <c:lblOffset val="100"/>
        <c:noMultiLvlLbl val="0"/>
      </c:catAx>
      <c:valAx>
        <c:axId val="481654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6440424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政府性基金预算财政拨款收入</c:v>
                </c:pt>
              </c:strCache>
            </c:strRef>
          </c:cat>
          <c:val>
            <c:numRef>
              <c:f>Sheet1!$B$2:$B$3</c:f>
              <c:numCache>
                <c:formatCode>General</c:formatCode>
                <c:ptCount val="2"/>
                <c:pt idx="0">
                  <c:v>268.65</c:v>
                </c:pt>
                <c:pt idx="1">
                  <c:v>102.28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243.24</c:v>
                </c:pt>
                <c:pt idx="1">
                  <c:v>128.69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财政笔款收支决算总计变动情况（单</a:t>
            </a:r>
            <a:r>
              <a:rPr sz="1050" b="1"/>
              <a:t>位：万元</a:t>
            </a:r>
            <a:r>
              <a:t>）</a:t>
            </a:r>
          </a:p>
        </c:rich>
      </c:tx>
      <c:layout>
        <c:manualLayout>
          <c:xMode val="edge"/>
          <c:yMode val="edge"/>
          <c:x val="0.14275"/>
          <c:y val="0.0210716435881999"/>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455.12</c:v>
                </c:pt>
                <c:pt idx="1">
                  <c:v>455.12</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370.93</c:v>
                </c:pt>
                <c:pt idx="1">
                  <c:v>370.93</c:v>
                </c:pt>
              </c:numCache>
            </c:numRef>
          </c:val>
        </c:ser>
        <c:dLbls>
          <c:showLegendKey val="0"/>
          <c:showVal val="1"/>
          <c:showCatName val="0"/>
          <c:showSerName val="0"/>
          <c:showPercent val="0"/>
          <c:showBubbleSize val="0"/>
        </c:dLbls>
        <c:gapWidth val="219"/>
        <c:overlap val="-27"/>
        <c:axId val="901375486"/>
        <c:axId val="178679377"/>
      </c:barChart>
      <c:catAx>
        <c:axId val="90137548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78679377"/>
        <c:crosses val="autoZero"/>
        <c:auto val="1"/>
        <c:lblAlgn val="ctr"/>
        <c:lblOffset val="100"/>
        <c:noMultiLvlLbl val="0"/>
      </c:catAx>
      <c:valAx>
        <c:axId val="17867937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137548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r>
              <a:rPr sz="900" b="1"/>
              <a:t>（单位：万元）</a:t>
            </a:r>
            <a:endParaRPr lang="en-US" altLang="zh-CN" sz="900" b="1"/>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Sheet1!$B$2</c:f>
              <c:numCache>
                <c:formatCode>General</c:formatCode>
                <c:ptCount val="1"/>
                <c:pt idx="0">
                  <c:v>406.41</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Sheet1!$C$2</c:f>
              <c:numCache>
                <c:formatCode>General</c:formatCode>
                <c:ptCount val="1"/>
                <c:pt idx="0">
                  <c:v>268.65</c:v>
                </c:pt>
              </c:numCache>
            </c:numRef>
          </c:val>
        </c:ser>
        <c:dLbls>
          <c:showLegendKey val="0"/>
          <c:showVal val="1"/>
          <c:showCatName val="0"/>
          <c:showSerName val="0"/>
          <c:showPercent val="0"/>
          <c:showBubbleSize val="0"/>
        </c:dLbls>
        <c:gapWidth val="219"/>
        <c:overlap val="-27"/>
        <c:axId val="500593404"/>
        <c:axId val="73366360"/>
      </c:barChart>
      <c:catAx>
        <c:axId val="50059340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366360"/>
        <c:crosses val="autoZero"/>
        <c:auto val="1"/>
        <c:lblAlgn val="ctr"/>
        <c:lblOffset val="100"/>
        <c:noMultiLvlLbl val="0"/>
      </c:catAx>
      <c:valAx>
        <c:axId val="73366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0059340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粮油物资储备支出</c:v>
                </c:pt>
                <c:pt idx="1">
                  <c:v>社会保障和就业支出</c:v>
                </c:pt>
                <c:pt idx="2">
                  <c:v>卫生健康支出</c:v>
                </c:pt>
                <c:pt idx="3">
                  <c:v>住房保障支出</c:v>
                </c:pt>
                <c:pt idx="4">
                  <c:v>灾害防治及应急管理支出</c:v>
                </c:pt>
              </c:strCache>
            </c:strRef>
          </c:cat>
          <c:val>
            <c:numRef>
              <c:f>Sheet1!$B$2:$B$6</c:f>
              <c:numCache>
                <c:formatCode>General</c:formatCode>
                <c:ptCount val="5"/>
                <c:pt idx="0">
                  <c:v>164.71</c:v>
                </c:pt>
                <c:pt idx="1">
                  <c:v>77.16</c:v>
                </c:pt>
                <c:pt idx="2">
                  <c:v>9.76</c:v>
                </c:pt>
                <c:pt idx="3">
                  <c:v>13.07</c:v>
                </c:pt>
                <c:pt idx="4">
                  <c:v>3.95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三公经费财政拨款支出结构（</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因公出境支出</c:v>
                </c:pt>
                <c:pt idx="1">
                  <c:v>公务用车购置及运行维护费支出</c:v>
                </c:pt>
                <c:pt idx="2">
                  <c:v>公务接待费支出</c:v>
                </c:pt>
              </c:strCache>
            </c:strRef>
          </c:cat>
          <c:val>
            <c:numRef>
              <c:f>Sheet1!$B$2:$B$4</c:f>
              <c:numCache>
                <c:formatCode>General</c:formatCode>
                <c:ptCount val="3"/>
                <c:pt idx="0">
                  <c:v>0</c:v>
                </c:pt>
                <c:pt idx="1">
                  <c:v>0</c:v>
                </c:pt>
                <c:pt idx="2">
                  <c:v>0.52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95d35ab-315a-4a2c-b5cc-3190a7276276}"/>
        <w:style w:val=""/>
        <w:category>
          <w:name w:val="常规"/>
          <w:gallery w:val="placeholder"/>
        </w:category>
        <w:types>
          <w:type w:val="bbPlcHdr"/>
        </w:types>
        <w:behaviors>
          <w:behavior w:val="content"/>
        </w:behaviors>
        <w:description w:val=""/>
        <w:guid w:val="{695d35ab-315a-4a2c-b5cc-3190a7276276}"/>
      </w:docPartPr>
      <w:docPartBody>
        <w:p>
          <w:r>
            <w:rPr>
              <w:color w:val="808080"/>
            </w:rPr>
            <w:t>单击此处输入文字。</w:t>
          </w:r>
        </w:p>
      </w:docPartBody>
    </w:docPart>
    <w:docPart>
      <w:docPartPr>
        <w:name w:val="{ea1f1cf7-4227-485a-854d-9fec1545becd}"/>
        <w:style w:val=""/>
        <w:category>
          <w:name w:val="常规"/>
          <w:gallery w:val="placeholder"/>
        </w:category>
        <w:types>
          <w:type w:val="bbPlcHdr"/>
        </w:types>
        <w:behaviors>
          <w:behavior w:val="content"/>
        </w:behaviors>
        <w:description w:val=""/>
        <w:guid w:val="{ea1f1cf7-4227-485a-854d-9fec1545becd}"/>
      </w:docPartPr>
      <w:docPartBody>
        <w:p>
          <w:r>
            <w:rPr>
              <w:color w:val="808080"/>
            </w:rPr>
            <w:t>单击此处输入文字。</w:t>
          </w:r>
        </w:p>
      </w:docPartBody>
    </w:docPart>
    <w:docPart>
      <w:docPartPr>
        <w:name w:val="{15d9e8fd-e3a9-49ab-9c0f-07de6a58e8e7}"/>
        <w:style w:val=""/>
        <w:category>
          <w:name w:val="常规"/>
          <w:gallery w:val="placeholder"/>
        </w:category>
        <w:types>
          <w:type w:val="bbPlcHdr"/>
        </w:types>
        <w:behaviors>
          <w:behavior w:val="content"/>
        </w:behaviors>
        <w:description w:val=""/>
        <w:guid w:val="{15d9e8fd-e3a9-49ab-9c0f-07de6a58e8e7}"/>
      </w:docPartPr>
      <w:docPartBody>
        <w:p>
          <w:r>
            <w:rPr>
              <w:color w:val="808080"/>
            </w:rPr>
            <w:t>单击此处输入文字。</w:t>
          </w:r>
        </w:p>
      </w:docPartBody>
    </w:docPart>
    <w:docPart>
      <w:docPartPr>
        <w:name w:val="{e12a1084-298d-48f6-baf0-b0e95304b393}"/>
        <w:style w:val=""/>
        <w:category>
          <w:name w:val="常规"/>
          <w:gallery w:val="placeholder"/>
        </w:category>
        <w:types>
          <w:type w:val="bbPlcHdr"/>
        </w:types>
        <w:behaviors>
          <w:behavior w:val="content"/>
        </w:behaviors>
        <w:description w:val=""/>
        <w:guid w:val="{e12a1084-298d-48f6-baf0-b0e95304b393}"/>
      </w:docPartPr>
      <w:docPartBody>
        <w:p>
          <w:r>
            <w:rPr>
              <w:color w:val="808080"/>
            </w:rPr>
            <w:t>单击此处输入文字。</w:t>
          </w:r>
        </w:p>
      </w:docPartBody>
    </w:docPart>
    <w:docPart>
      <w:docPartPr>
        <w:name w:val="{75c9bc57-f27e-4272-a97c-35a3ae9a6cbc}"/>
        <w:style w:val=""/>
        <w:category>
          <w:name w:val="常规"/>
          <w:gallery w:val="placeholder"/>
        </w:category>
        <w:types>
          <w:type w:val="bbPlcHdr"/>
        </w:types>
        <w:behaviors>
          <w:behavior w:val="content"/>
        </w:behaviors>
        <w:description w:val=""/>
        <w:guid w:val="{75c9bc57-f27e-4272-a97c-35a3ae9a6cbc}"/>
      </w:docPartPr>
      <w:docPartBody>
        <w:p>
          <w:r>
            <w:rPr>
              <w:color w:val="808080"/>
            </w:rPr>
            <w:t>单击此处输入文字。</w:t>
          </w:r>
        </w:p>
      </w:docPartBody>
    </w:docPart>
    <w:docPart>
      <w:docPartPr>
        <w:name w:val="{679b9537-da21-4737-bc6f-0e338a13e65c}"/>
        <w:style w:val=""/>
        <w:category>
          <w:name w:val="常规"/>
          <w:gallery w:val="placeholder"/>
        </w:category>
        <w:types>
          <w:type w:val="bbPlcHdr"/>
        </w:types>
        <w:behaviors>
          <w:behavior w:val="content"/>
        </w:behaviors>
        <w:description w:val=""/>
        <w:guid w:val="{679b9537-da21-4737-bc6f-0e338a13e65c}"/>
      </w:docPartPr>
      <w:docPartBody>
        <w:p>
          <w:r>
            <w:rPr>
              <w:color w:val="808080"/>
            </w:rPr>
            <w:t>单击此处输入文字。</w:t>
          </w:r>
        </w:p>
      </w:docPartBody>
    </w:docPart>
    <w:docPart>
      <w:docPartPr>
        <w:name w:val="{418572aa-3fe4-4a8e-bdb1-b4458d0c044c}"/>
        <w:style w:val=""/>
        <w:category>
          <w:name w:val="常规"/>
          <w:gallery w:val="placeholder"/>
        </w:category>
        <w:types>
          <w:type w:val="bbPlcHdr"/>
        </w:types>
        <w:behaviors>
          <w:behavior w:val="content"/>
        </w:behaviors>
        <w:description w:val=""/>
        <w:guid w:val="{418572aa-3fe4-4a8e-bdb1-b4458d0c044c}"/>
      </w:docPartPr>
      <w:docPartBody>
        <w:p>
          <w:r>
            <w:rPr>
              <w:color w:val="808080"/>
            </w:rPr>
            <w:t>单击此处输入文字。</w:t>
          </w:r>
        </w:p>
      </w:docPartBody>
    </w:docPart>
    <w:docPart>
      <w:docPartPr>
        <w:name w:val="{4b5dc6a0-cb52-4a2e-b502-ccbb85429431}"/>
        <w:style w:val=""/>
        <w:category>
          <w:name w:val="常规"/>
          <w:gallery w:val="placeholder"/>
        </w:category>
        <w:types>
          <w:type w:val="bbPlcHdr"/>
        </w:types>
        <w:behaviors>
          <w:behavior w:val="content"/>
        </w:behaviors>
        <w:description w:val=""/>
        <w:guid w:val="{4b5dc6a0-cb52-4a2e-b502-ccbb85429431}"/>
      </w:docPartPr>
      <w:docPartBody>
        <w:p>
          <w:r>
            <w:rPr>
              <w:color w:val="808080"/>
            </w:rPr>
            <w:t>单击此处输入文字。</w:t>
          </w:r>
        </w:p>
      </w:docPartBody>
    </w:docPart>
    <w:docPart>
      <w:docPartPr>
        <w:name w:val="{bcb7c3c3-d40b-42d6-b0b6-d3216d81e1b7}"/>
        <w:style w:val=""/>
        <w:category>
          <w:name w:val="常规"/>
          <w:gallery w:val="placeholder"/>
        </w:category>
        <w:types>
          <w:type w:val="bbPlcHdr"/>
        </w:types>
        <w:behaviors>
          <w:behavior w:val="content"/>
        </w:behaviors>
        <w:description w:val=""/>
        <w:guid w:val="{bcb7c3c3-d40b-42d6-b0b6-d3216d81e1b7}"/>
      </w:docPartPr>
      <w:docPartBody>
        <w:p>
          <w:r>
            <w:rPr>
              <w:color w:val="808080"/>
            </w:rPr>
            <w:t>单击此处输入文字。</w:t>
          </w:r>
        </w:p>
      </w:docPartBody>
    </w:docPart>
    <w:docPart>
      <w:docPartPr>
        <w:name w:val="{99e562c6-cb24-4f94-b080-7b094e45cd20}"/>
        <w:style w:val=""/>
        <w:category>
          <w:name w:val="常规"/>
          <w:gallery w:val="placeholder"/>
        </w:category>
        <w:types>
          <w:type w:val="bbPlcHdr"/>
        </w:types>
        <w:behaviors>
          <w:behavior w:val="content"/>
        </w:behaviors>
        <w:description w:val=""/>
        <w:guid w:val="{99e562c6-cb24-4f94-b080-7b094e45cd20}"/>
      </w:docPartPr>
      <w:docPartBody>
        <w:p>
          <w:r>
            <w:rPr>
              <w:color w:val="808080"/>
            </w:rPr>
            <w:t>单击此处输入文字。</w:t>
          </w:r>
        </w:p>
      </w:docPartBody>
    </w:docPart>
    <w:docPart>
      <w:docPartPr>
        <w:name w:val="{078c3de4-d377-40b9-84e7-165c4b80eb07}"/>
        <w:style w:val=""/>
        <w:category>
          <w:name w:val="常规"/>
          <w:gallery w:val="placeholder"/>
        </w:category>
        <w:types>
          <w:type w:val="bbPlcHdr"/>
        </w:types>
        <w:behaviors>
          <w:behavior w:val="content"/>
        </w:behaviors>
        <w:description w:val=""/>
        <w:guid w:val="{078c3de4-d377-40b9-84e7-165c4b80eb07}"/>
      </w:docPartPr>
      <w:docPartBody>
        <w:p>
          <w:r>
            <w:rPr>
              <w:color w:val="808080"/>
            </w:rPr>
            <w:t>单击此处输入文字。</w:t>
          </w:r>
        </w:p>
      </w:docPartBody>
    </w:docPart>
    <w:docPart>
      <w:docPartPr>
        <w:name w:val="{f93f8a8b-5101-4c36-95b5-31b2f8cfc539}"/>
        <w:style w:val=""/>
        <w:category>
          <w:name w:val="常规"/>
          <w:gallery w:val="placeholder"/>
        </w:category>
        <w:types>
          <w:type w:val="bbPlcHdr"/>
        </w:types>
        <w:behaviors>
          <w:behavior w:val="content"/>
        </w:behaviors>
        <w:description w:val=""/>
        <w:guid w:val="{f93f8a8b-5101-4c36-95b5-31b2f8cfc539}"/>
      </w:docPartPr>
      <w:docPartBody>
        <w:p>
          <w:r>
            <w:rPr>
              <w:color w:val="808080"/>
            </w:rPr>
            <w:t>单击此处输入文字。</w:t>
          </w:r>
        </w:p>
      </w:docPartBody>
    </w:docPart>
    <w:docPart>
      <w:docPartPr>
        <w:name w:val="{1d7fb6ae-da14-4d6b-a544-fecde725bfc9}"/>
        <w:style w:val=""/>
        <w:category>
          <w:name w:val="常规"/>
          <w:gallery w:val="placeholder"/>
        </w:category>
        <w:types>
          <w:type w:val="bbPlcHdr"/>
        </w:types>
        <w:behaviors>
          <w:behavior w:val="content"/>
        </w:behaviors>
        <w:description w:val=""/>
        <w:guid w:val="{1d7fb6ae-da14-4d6b-a544-fecde725bfc9}"/>
      </w:docPartPr>
      <w:docPartBody>
        <w:p>
          <w:r>
            <w:rPr>
              <w:color w:val="808080"/>
            </w:rPr>
            <w:t>单击此处输入文字。</w:t>
          </w:r>
        </w:p>
      </w:docPartBody>
    </w:docPart>
    <w:docPart>
      <w:docPartPr>
        <w:name w:val="{ea10a285-c572-4b77-8ded-884788b17396}"/>
        <w:style w:val=""/>
        <w:category>
          <w:name w:val="常规"/>
          <w:gallery w:val="placeholder"/>
        </w:category>
        <w:types>
          <w:type w:val="bbPlcHdr"/>
        </w:types>
        <w:behaviors>
          <w:behavior w:val="content"/>
        </w:behaviors>
        <w:description w:val=""/>
        <w:guid w:val="{ea10a285-c572-4b77-8ded-884788b17396}"/>
      </w:docPartPr>
      <w:docPartBody>
        <w:p>
          <w:r>
            <w:rPr>
              <w:color w:val="808080"/>
            </w:rPr>
            <w:t>单击此处输入文字。</w:t>
          </w:r>
        </w:p>
      </w:docPartBody>
    </w:docPart>
    <w:docPart>
      <w:docPartPr>
        <w:name w:val="{42b5d08c-fbf5-44b4-b195-90f188366001}"/>
        <w:style w:val=""/>
        <w:category>
          <w:name w:val="常规"/>
          <w:gallery w:val="placeholder"/>
        </w:category>
        <w:types>
          <w:type w:val="bbPlcHdr"/>
        </w:types>
        <w:behaviors>
          <w:behavior w:val="content"/>
        </w:behaviors>
        <w:description w:val=""/>
        <w:guid w:val="{42b5d08c-fbf5-44b4-b195-90f188366001}"/>
      </w:docPartPr>
      <w:docPartBody>
        <w:p>
          <w:r>
            <w:rPr>
              <w:color w:val="808080"/>
            </w:rPr>
            <w:t>单击此处输入文字。</w:t>
          </w:r>
        </w:p>
      </w:docPartBody>
    </w:docPart>
    <w:docPart>
      <w:docPartPr>
        <w:name w:val="{660d5be9-0266-4163-b3ac-5079935e82a7}"/>
        <w:style w:val=""/>
        <w:category>
          <w:name w:val="常规"/>
          <w:gallery w:val="placeholder"/>
        </w:category>
        <w:types>
          <w:type w:val="bbPlcHdr"/>
        </w:types>
        <w:behaviors>
          <w:behavior w:val="content"/>
        </w:behaviors>
        <w:description w:val=""/>
        <w:guid w:val="{660d5be9-0266-4163-b3ac-5079935e82a7}"/>
      </w:docPartPr>
      <w:docPartBody>
        <w:p>
          <w:r>
            <w:rPr>
              <w:color w:val="808080"/>
            </w:rPr>
            <w:t>单击此处输入文字。</w:t>
          </w:r>
        </w:p>
      </w:docPartBody>
    </w:docPart>
    <w:docPart>
      <w:docPartPr>
        <w:name w:val="{99577f79-7170-43dd-8d4a-36788aa9f22f}"/>
        <w:style w:val=""/>
        <w:category>
          <w:name w:val="常规"/>
          <w:gallery w:val="placeholder"/>
        </w:category>
        <w:types>
          <w:type w:val="bbPlcHdr"/>
        </w:types>
        <w:behaviors>
          <w:behavior w:val="content"/>
        </w:behaviors>
        <w:description w:val=""/>
        <w:guid w:val="{99577f79-7170-43dd-8d4a-36788aa9f22f}"/>
      </w:docPartPr>
      <w:docPartBody>
        <w:p>
          <w:r>
            <w:rPr>
              <w:color w:val="808080"/>
            </w:rPr>
            <w:t>单击此处输入文字。</w:t>
          </w:r>
        </w:p>
      </w:docPartBody>
    </w:docPart>
    <w:docPart>
      <w:docPartPr>
        <w:name w:val="{638ec0c7-d4d0-4953-bf7a-a5fb919b99d7}"/>
        <w:style w:val=""/>
        <w:category>
          <w:name w:val="常规"/>
          <w:gallery w:val="placeholder"/>
        </w:category>
        <w:types>
          <w:type w:val="bbPlcHdr"/>
        </w:types>
        <w:behaviors>
          <w:behavior w:val="content"/>
        </w:behaviors>
        <w:description w:val=""/>
        <w:guid w:val="{638ec0c7-d4d0-4953-bf7a-a5fb919b99d7}"/>
      </w:docPartPr>
      <w:docPartBody>
        <w:p>
          <w:r>
            <w:rPr>
              <w:color w:val="808080"/>
            </w:rPr>
            <w:t>单击此处输入文字。</w:t>
          </w:r>
        </w:p>
      </w:docPartBody>
    </w:docPart>
    <w:docPart>
      <w:docPartPr>
        <w:name w:val="{5bf7092d-7072-4019-b1bc-4efbe38016f1}"/>
        <w:style w:val=""/>
        <w:category>
          <w:name w:val="常规"/>
          <w:gallery w:val="placeholder"/>
        </w:category>
        <w:types>
          <w:type w:val="bbPlcHdr"/>
        </w:types>
        <w:behaviors>
          <w:behavior w:val="content"/>
        </w:behaviors>
        <w:description w:val=""/>
        <w:guid w:val="{5bf7092d-7072-4019-b1bc-4efbe38016f1}"/>
      </w:docPartPr>
      <w:docPartBody>
        <w:p>
          <w:r>
            <w:rPr>
              <w:color w:val="808080"/>
            </w:rPr>
            <w:t>单击此处输入文字。</w:t>
          </w:r>
        </w:p>
      </w:docPartBody>
    </w:docPart>
    <w:docPart>
      <w:docPartPr>
        <w:name w:val="{d674ad92-701c-4f6e-965f-b2b19f0e63a6}"/>
        <w:style w:val=""/>
        <w:category>
          <w:name w:val="常规"/>
          <w:gallery w:val="placeholder"/>
        </w:category>
        <w:types>
          <w:type w:val="bbPlcHdr"/>
        </w:types>
        <w:behaviors>
          <w:behavior w:val="content"/>
        </w:behaviors>
        <w:description w:val=""/>
        <w:guid w:val="{d674ad92-701c-4f6e-965f-b2b19f0e63a6}"/>
      </w:docPartPr>
      <w:docPartBody>
        <w:p>
          <w:r>
            <w:rPr>
              <w:color w:val="808080"/>
            </w:rPr>
            <w:t>单击此处输入文字。</w:t>
          </w:r>
        </w:p>
      </w:docPartBody>
    </w:docPart>
    <w:docPart>
      <w:docPartPr>
        <w:name w:val="{6599d226-e558-4b69-a916-b59e8136b499}"/>
        <w:style w:val=""/>
        <w:category>
          <w:name w:val="常规"/>
          <w:gallery w:val="placeholder"/>
        </w:category>
        <w:types>
          <w:type w:val="bbPlcHdr"/>
        </w:types>
        <w:behaviors>
          <w:behavior w:val="content"/>
        </w:behaviors>
        <w:description w:val=""/>
        <w:guid w:val="{6599d226-e558-4b69-a916-b59e8136b499}"/>
      </w:docPartPr>
      <w:docPartBody>
        <w:p>
          <w:r>
            <w:rPr>
              <w:color w:val="808080"/>
            </w:rPr>
            <w:t>单击此处输入文字。</w:t>
          </w:r>
        </w:p>
      </w:docPartBody>
    </w:docPart>
    <w:docPart>
      <w:docPartPr>
        <w:name w:val="{3c34d13f-f3f4-4a3e-b212-30279f03eaf1}"/>
        <w:style w:val=""/>
        <w:category>
          <w:name w:val="常规"/>
          <w:gallery w:val="placeholder"/>
        </w:category>
        <w:types>
          <w:type w:val="bbPlcHdr"/>
        </w:types>
        <w:behaviors>
          <w:behavior w:val="content"/>
        </w:behaviors>
        <w:description w:val=""/>
        <w:guid w:val="{3c34d13f-f3f4-4a3e-b212-30279f03eaf1}"/>
      </w:docPartPr>
      <w:docPartBody>
        <w:p>
          <w:r>
            <w:rPr>
              <w:color w:val="808080"/>
            </w:rPr>
            <w:t>单击此处输入文字。</w:t>
          </w:r>
        </w:p>
      </w:docPartBody>
    </w:docPart>
    <w:docPart>
      <w:docPartPr>
        <w:name w:val="{242e237b-cb6b-49f1-89fb-d87ce2e96982}"/>
        <w:style w:val=""/>
        <w:category>
          <w:name w:val="常规"/>
          <w:gallery w:val="placeholder"/>
        </w:category>
        <w:types>
          <w:type w:val="bbPlcHdr"/>
        </w:types>
        <w:behaviors>
          <w:behavior w:val="content"/>
        </w:behaviors>
        <w:description w:val=""/>
        <w:guid w:val="{242e237b-cb6b-49f1-89fb-d87ce2e96982}"/>
      </w:docPartPr>
      <w:docPartBody>
        <w:p>
          <w:r>
            <w:rPr>
              <w:color w:val="808080"/>
            </w:rPr>
            <w:t>单击此处输入文字。</w:t>
          </w:r>
        </w:p>
      </w:docPartBody>
    </w:docPart>
    <w:docPart>
      <w:docPartPr>
        <w:name w:val="{2b2dbb10-ebcc-4d08-a28a-1c6d111bf8fa}"/>
        <w:style w:val=""/>
        <w:category>
          <w:name w:val="常规"/>
          <w:gallery w:val="placeholder"/>
        </w:category>
        <w:types>
          <w:type w:val="bbPlcHdr"/>
        </w:types>
        <w:behaviors>
          <w:behavior w:val="content"/>
        </w:behaviors>
        <w:description w:val=""/>
        <w:guid w:val="{2b2dbb10-ebcc-4d08-a28a-1c6d111bf8fa}"/>
      </w:docPartPr>
      <w:docPartBody>
        <w:p>
          <w:r>
            <w:rPr>
              <w:color w:val="808080"/>
            </w:rPr>
            <w:t>单击此处输入文字。</w:t>
          </w:r>
        </w:p>
      </w:docPartBody>
    </w:docPart>
    <w:docPart>
      <w:docPartPr>
        <w:name w:val="{9a2a427d-2cc4-49a5-9190-dd8c4b76f1dd}"/>
        <w:style w:val=""/>
        <w:category>
          <w:name w:val="常规"/>
          <w:gallery w:val="placeholder"/>
        </w:category>
        <w:types>
          <w:type w:val="bbPlcHdr"/>
        </w:types>
        <w:behaviors>
          <w:behavior w:val="content"/>
        </w:behaviors>
        <w:description w:val=""/>
        <w:guid w:val="{9a2a427d-2cc4-49a5-9190-dd8c4b76f1dd}"/>
      </w:docPartPr>
      <w:docPartBody>
        <w:p>
          <w:r>
            <w:rPr>
              <w:color w:val="808080"/>
            </w:rPr>
            <w:t>单击此处输入文字。</w:t>
          </w:r>
        </w:p>
      </w:docPartBody>
    </w:docPart>
    <w:docPart>
      <w:docPartPr>
        <w:name w:val="{5cae3d08-a544-4d17-996c-27f06366c5a8}"/>
        <w:style w:val=""/>
        <w:category>
          <w:name w:val="常规"/>
          <w:gallery w:val="placeholder"/>
        </w:category>
        <w:types>
          <w:type w:val="bbPlcHdr"/>
        </w:types>
        <w:behaviors>
          <w:behavior w:val="content"/>
        </w:behaviors>
        <w:description w:val=""/>
        <w:guid w:val="{5cae3d08-a544-4d17-996c-27f06366c5a8}"/>
      </w:docPartPr>
      <w:docPartBody>
        <w:p>
          <w:r>
            <w:rPr>
              <w:color w:val="808080"/>
            </w:rPr>
            <w:t>单击此处输入文字。</w:t>
          </w:r>
        </w:p>
      </w:docPartBody>
    </w:docPart>
    <w:docPart>
      <w:docPartPr>
        <w:name w:val="{4e53b317-323a-4136-b0b9-8f7c6d0bfaa3}"/>
        <w:style w:val=""/>
        <w:category>
          <w:name w:val="常规"/>
          <w:gallery w:val="placeholder"/>
        </w:category>
        <w:types>
          <w:type w:val="bbPlcHdr"/>
        </w:types>
        <w:behaviors>
          <w:behavior w:val="content"/>
        </w:behaviors>
        <w:description w:val=""/>
        <w:guid w:val="{4e53b317-323a-4136-b0b9-8f7c6d0bfaa3}"/>
      </w:docPartPr>
      <w:docPartBody>
        <w:p>
          <w:r>
            <w:rPr>
              <w:color w:val="808080"/>
            </w:rPr>
            <w:t>单击此处输入文字。</w:t>
          </w:r>
        </w:p>
      </w:docPartBody>
    </w:docPart>
    <w:docPart>
      <w:docPartPr>
        <w:name w:val="{af8f5aa9-4671-4e18-9882-c56616315fb9}"/>
        <w:style w:val=""/>
        <w:category>
          <w:name w:val="常规"/>
          <w:gallery w:val="placeholder"/>
        </w:category>
        <w:types>
          <w:type w:val="bbPlcHdr"/>
        </w:types>
        <w:behaviors>
          <w:behavior w:val="content"/>
        </w:behaviors>
        <w:description w:val=""/>
        <w:guid w:val="{af8f5aa9-4671-4e18-9882-c56616315fb9}"/>
      </w:docPartPr>
      <w:docPartBody>
        <w:p>
          <w:r>
            <w:rPr>
              <w:color w:val="808080"/>
            </w:rPr>
            <w:t>单击此处输入文字。</w:t>
          </w:r>
        </w:p>
      </w:docPartBody>
    </w:docPart>
    <w:docPart>
      <w:docPartPr>
        <w:name w:val="{51854f0a-b07a-4c3b-9168-5e47329b92f7}"/>
        <w:style w:val=""/>
        <w:category>
          <w:name w:val="常规"/>
          <w:gallery w:val="placeholder"/>
        </w:category>
        <w:types>
          <w:type w:val="bbPlcHdr"/>
        </w:types>
        <w:behaviors>
          <w:behavior w:val="content"/>
        </w:behaviors>
        <w:description w:val=""/>
        <w:guid w:val="{51854f0a-b07a-4c3b-9168-5e47329b92f7}"/>
      </w:docPartPr>
      <w:docPartBody>
        <w:p>
          <w:r>
            <w:rPr>
              <w:color w:val="808080"/>
            </w:rPr>
            <w:t>单击此处输入文字。</w:t>
          </w:r>
        </w:p>
      </w:docPartBody>
    </w:docPart>
    <w:docPart>
      <w:docPartPr>
        <w:name w:val="{93db5e8d-d3ec-4b02-8966-05ab6892daa0}"/>
        <w:style w:val=""/>
        <w:category>
          <w:name w:val="常规"/>
          <w:gallery w:val="placeholder"/>
        </w:category>
        <w:types>
          <w:type w:val="bbPlcHdr"/>
        </w:types>
        <w:behaviors>
          <w:behavior w:val="content"/>
        </w:behaviors>
        <w:description w:val=""/>
        <w:guid w:val="{93db5e8d-d3ec-4b02-8966-05ab6892daa0}"/>
      </w:docPartPr>
      <w:docPartBody>
        <w:p>
          <w:r>
            <w:rPr>
              <w:color w:val="808080"/>
            </w:rPr>
            <w:t>单击此处输入文字。</w:t>
          </w:r>
        </w:p>
      </w:docPartBody>
    </w:docPart>
    <w:docPart>
      <w:docPartPr>
        <w:name w:val="{b3571115-de97-4a59-b2d9-2a68b2578d45}"/>
        <w:style w:val=""/>
        <w:category>
          <w:name w:val="常规"/>
          <w:gallery w:val="placeholder"/>
        </w:category>
        <w:types>
          <w:type w:val="bbPlcHdr"/>
        </w:types>
        <w:behaviors>
          <w:behavior w:val="content"/>
        </w:behaviors>
        <w:description w:val=""/>
        <w:guid w:val="{b3571115-de97-4a59-b2d9-2a68b2578d45}"/>
      </w:docPartPr>
      <w:docPartBody>
        <w:p>
          <w:r>
            <w:rPr>
              <w:color w:val="808080"/>
            </w:rPr>
            <w:t>单击此处输入文字。</w:t>
          </w:r>
        </w:p>
      </w:docPartBody>
    </w:docPart>
    <w:docPart>
      <w:docPartPr>
        <w:name w:val="{5105b8a3-78a6-48a7-9549-d01a1e3f41ff}"/>
        <w:style w:val=""/>
        <w:category>
          <w:name w:val="常规"/>
          <w:gallery w:val="placeholder"/>
        </w:category>
        <w:types>
          <w:type w:val="bbPlcHdr"/>
        </w:types>
        <w:behaviors>
          <w:behavior w:val="content"/>
        </w:behaviors>
        <w:description w:val=""/>
        <w:guid w:val="{5105b8a3-78a6-48a7-9549-d01a1e3f41ff}"/>
      </w:docPartPr>
      <w:docPartBody>
        <w:p>
          <w:r>
            <w:rPr>
              <w:color w:val="808080"/>
            </w:rPr>
            <w:t>单击此处输入文字。</w:t>
          </w:r>
        </w:p>
      </w:docPartBody>
    </w:docPart>
    <w:docPart>
      <w:docPartPr>
        <w:name w:val="{675c257f-2342-4800-9aa1-98b9516158d1}"/>
        <w:style w:val=""/>
        <w:category>
          <w:name w:val="常规"/>
          <w:gallery w:val="placeholder"/>
        </w:category>
        <w:types>
          <w:type w:val="bbPlcHdr"/>
        </w:types>
        <w:behaviors>
          <w:behavior w:val="content"/>
        </w:behaviors>
        <w:description w:val=""/>
        <w:guid w:val="{675c257f-2342-4800-9aa1-98b9516158d1}"/>
      </w:docPartPr>
      <w:docPartBody>
        <w:p>
          <w:r>
            <w:rPr>
              <w:color w:val="808080"/>
            </w:rPr>
            <w:t>单击此处输入文字。</w:t>
          </w:r>
        </w:p>
      </w:docPartBody>
    </w:docPart>
    <w:docPart>
      <w:docPartPr>
        <w:name w:val="{28c575e2-a44c-482f-9b18-e6d82b90cb2a}"/>
        <w:style w:val=""/>
        <w:category>
          <w:name w:val="常规"/>
          <w:gallery w:val="placeholder"/>
        </w:category>
        <w:types>
          <w:type w:val="bbPlcHdr"/>
        </w:types>
        <w:behaviors>
          <w:behavior w:val="content"/>
        </w:behaviors>
        <w:description w:val=""/>
        <w:guid w:val="{28c575e2-a44c-482f-9b18-e6d82b90cb2a}"/>
      </w:docPartPr>
      <w:docPartBody>
        <w:p>
          <w:r>
            <w:rPr>
              <w:color w:val="808080"/>
            </w:rPr>
            <w:t>单击此处输入文字。</w:t>
          </w:r>
        </w:p>
      </w:docPartBody>
    </w:docPart>
    <w:docPart>
      <w:docPartPr>
        <w:name w:val="{5be33aee-f6e6-4e78-ac0d-d902ef0e107d}"/>
        <w:style w:val=""/>
        <w:category>
          <w:name w:val="常规"/>
          <w:gallery w:val="placeholder"/>
        </w:category>
        <w:types>
          <w:type w:val="bbPlcHdr"/>
        </w:types>
        <w:behaviors>
          <w:behavior w:val="content"/>
        </w:behaviors>
        <w:description w:val=""/>
        <w:guid w:val="{5be33aee-f6e6-4e78-ac0d-d902ef0e107d}"/>
      </w:docPartPr>
      <w:docPartBody>
        <w:p>
          <w:r>
            <w:rPr>
              <w:color w:val="808080"/>
            </w:rPr>
            <w:t>单击此处输入文字。</w:t>
          </w:r>
        </w:p>
      </w:docPartBody>
    </w:docPart>
    <w:docPart>
      <w:docPartPr>
        <w:name w:val="{f268c593-40dc-43b0-8c6e-3968c940e37f}"/>
        <w:style w:val=""/>
        <w:category>
          <w:name w:val="常规"/>
          <w:gallery w:val="placeholder"/>
        </w:category>
        <w:types>
          <w:type w:val="bbPlcHdr"/>
        </w:types>
        <w:behaviors>
          <w:behavior w:val="content"/>
        </w:behaviors>
        <w:description w:val=""/>
        <w:guid w:val="{f268c593-40dc-43b0-8c6e-3968c940e37f}"/>
      </w:docPartPr>
      <w:docPartBody>
        <w:p>
          <w:r>
            <w:rPr>
              <w:color w:val="808080"/>
            </w:rPr>
            <w:t>单击此处输入文字。</w:t>
          </w:r>
        </w:p>
      </w:docPartBody>
    </w:docPart>
    <w:docPart>
      <w:docPartPr>
        <w:name w:val="{db3d5d40-ed08-40d0-93f5-d38c4053d877}"/>
        <w:style w:val=""/>
        <w:category>
          <w:name w:val="常规"/>
          <w:gallery w:val="placeholder"/>
        </w:category>
        <w:types>
          <w:type w:val="bbPlcHdr"/>
        </w:types>
        <w:behaviors>
          <w:behavior w:val="content"/>
        </w:behaviors>
        <w:description w:val=""/>
        <w:guid w:val="{db3d5d40-ed08-40d0-93f5-d38c4053d877}"/>
      </w:docPartPr>
      <w:docPartBody>
        <w:p>
          <w:r>
            <w:rPr>
              <w:color w:val="808080"/>
            </w:rPr>
            <w:t>单击此处输入文字。</w:t>
          </w:r>
        </w:p>
      </w:docPartBody>
    </w:docPart>
    <w:docPart>
      <w:docPartPr>
        <w:name w:val="{accf25a2-7c83-40ba-9fa7-fc3823829513}"/>
        <w:style w:val=""/>
        <w:category>
          <w:name w:val="常规"/>
          <w:gallery w:val="placeholder"/>
        </w:category>
        <w:types>
          <w:type w:val="bbPlcHdr"/>
        </w:types>
        <w:behaviors>
          <w:behavior w:val="content"/>
        </w:behaviors>
        <w:description w:val=""/>
        <w:guid w:val="{accf25a2-7c83-40ba-9fa7-fc3823829513}"/>
      </w:docPartPr>
      <w:docPartBody>
        <w:p>
          <w:r>
            <w:rPr>
              <w:color w:val="808080"/>
            </w:rPr>
            <w:t>单击此处输入文字。</w:t>
          </w:r>
        </w:p>
      </w:docPartBody>
    </w:docPart>
    <w:docPart>
      <w:docPartPr>
        <w:name w:val="{e1c779bc-fa7e-40ef-96f6-a3ca05b21f75}"/>
        <w:style w:val=""/>
        <w:category>
          <w:name w:val="常规"/>
          <w:gallery w:val="placeholder"/>
        </w:category>
        <w:types>
          <w:type w:val="bbPlcHdr"/>
        </w:types>
        <w:behaviors>
          <w:behavior w:val="content"/>
        </w:behaviors>
        <w:description w:val=""/>
        <w:guid w:val="{e1c779bc-fa7e-40ef-96f6-a3ca05b21f75}"/>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19</Pages>
  <Words>3650</Words>
  <Characters>4093</Characters>
  <Lines>61</Lines>
  <Paragraphs>17</Paragraphs>
  <TotalTime>4</TotalTime>
  <ScaleCrop>false</ScaleCrop>
  <LinksUpToDate>false</LinksUpToDate>
  <CharactersWithSpaces>4161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2020-08-10T01:49:00Z</dcterms:created>
  <dc:creator>曹颖</dc:creator>
  <cp:lastModifiedBy>fgj4</cp:lastModifiedBy>
  <cp:lastPrinted>2025-10-29T10:03:37Z</cp:lastPrinted>
  <dcterms:modified xsi:type="dcterms:W3CDTF">2025-10-29T10:11:49Z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04787F2533EB45DC91BCDE4AB213247F</vt:lpwstr>
  </property>
  <property fmtid="{D5CDD505-2E9C-101B-9397-08002B2CF9AE}" pid="4" name="KSOTemplateDocerSaveRecord">
    <vt:lpwstr>eyJoZGlkIjoiMGFlOTFhZTI5Y2U3NWE4MzFjNzExOWQ3NmEyMjg0NDciLCJ1c2VySWQiOiI0NjAxMTI1MDUifQ==</vt:lpwstr>
  </property>
</Properties>
</file>