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4"/>
        <w:spacing w:before="93"/>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 w:name="_Toc15378441"/>
      <w:bookmarkStart w:id="2" w:name="_Toc15377425"/>
      <w:bookmarkStart w:id="3" w:name="_Toc5880"/>
      <w:bookmarkStart w:id="4" w:name="_Toc15377193"/>
      <w:bookmarkStart w:id="5" w:name="_Toc15396475"/>
      <w:bookmarkStart w:id="6" w:name="_Toc15396597"/>
      <w:r>
        <w:rPr>
          <w:rFonts w:hint="eastAsia" w:ascii="方正小标宋简体" w:hAnsi="方正小标宋简体" w:eastAsia="方正小标宋简体" w:cs="方正小标宋简体"/>
          <w:color w:val="auto"/>
          <w:sz w:val="72"/>
          <w:szCs w:val="72"/>
          <w:highlight w:val="none"/>
        </w:rPr>
        <w:t>202</w:t>
      </w:r>
      <w:r>
        <w:rPr>
          <w:rFonts w:hint="eastAsia" w:ascii="方正小标宋简体" w:hAnsi="方正小标宋简体" w:eastAsia="方正小标宋简体" w:cs="方正小标宋简体"/>
          <w:color w:val="auto"/>
          <w:sz w:val="72"/>
          <w:szCs w:val="72"/>
          <w:highlight w:val="none"/>
          <w:lang w:val="en-US" w:eastAsia="zh-CN"/>
        </w:rPr>
        <w:t>4</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bookmarkEnd w:id="6"/>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zh-CN"/>
        </w:rPr>
      </w:pPr>
      <w:bookmarkStart w:id="7" w:name="_Toc15386"/>
      <w:bookmarkStart w:id="8" w:name="_Toc15396476"/>
      <w:bookmarkStart w:id="9" w:name="_Toc15377426"/>
      <w:bookmarkStart w:id="10" w:name="_Toc15396598"/>
      <w:bookmarkStart w:id="11" w:name="_Toc15377194"/>
      <w:bookmarkStart w:id="12" w:name="_Toc15378442"/>
      <w:r>
        <w:rPr>
          <w:rFonts w:hint="eastAsia" w:ascii="方正小标宋简体" w:hAnsi="方正小标宋简体" w:eastAsia="方正小标宋简体" w:cs="方正小标宋简体"/>
          <w:color w:val="auto"/>
          <w:sz w:val="72"/>
          <w:szCs w:val="72"/>
          <w:highlight w:val="none"/>
        </w:rPr>
        <w:t>四川省</w:t>
      </w:r>
      <w:bookmarkEnd w:id="0"/>
      <w:bookmarkStart w:id="13" w:name="_Toc15306268"/>
      <w:r>
        <w:rPr>
          <w:rFonts w:hint="eastAsia" w:ascii="方正小标宋简体" w:hAnsi="方正小标宋简体" w:eastAsia="方正小标宋简体" w:cs="方正小标宋简体"/>
          <w:color w:val="auto"/>
          <w:sz w:val="72"/>
          <w:szCs w:val="72"/>
          <w:highlight w:val="none"/>
          <w:lang w:val="zh-CN"/>
        </w:rPr>
        <w:t>乐山市五通桥区</w:t>
      </w:r>
      <w:bookmarkEnd w:id="7"/>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4" w:name="_Toc10422"/>
      <w:r>
        <w:rPr>
          <w:rFonts w:hint="eastAsia" w:ascii="方正小标宋简体" w:hAnsi="方正小标宋简体" w:eastAsia="方正小标宋简体" w:cs="方正小标宋简体"/>
          <w:color w:val="auto"/>
          <w:sz w:val="72"/>
          <w:szCs w:val="72"/>
          <w:highlight w:val="none"/>
          <w:lang w:val="zh-CN"/>
        </w:rPr>
        <w:t>发展和改革局</w:t>
      </w:r>
      <w:r>
        <w:rPr>
          <w:rFonts w:hint="eastAsia" w:ascii="方正小标宋简体" w:hAnsi="方正小标宋简体" w:eastAsia="方正小标宋简体" w:cs="方正小标宋简体"/>
          <w:color w:val="auto"/>
          <w:sz w:val="72"/>
          <w:szCs w:val="72"/>
          <w:highlight w:val="none"/>
        </w:rPr>
        <w:t>单位决算</w:t>
      </w:r>
      <w:bookmarkEnd w:id="8"/>
      <w:bookmarkEnd w:id="9"/>
      <w:bookmarkEnd w:id="10"/>
      <w:bookmarkEnd w:id="11"/>
      <w:bookmarkEnd w:id="12"/>
      <w:bookmarkEnd w:id="13"/>
      <w:bookmarkEnd w:id="14"/>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2"/>
        <w:rPr>
          <w:highlight w:val="none"/>
        </w:rPr>
      </w:pPr>
      <w:r>
        <w:rPr>
          <w:rFonts w:hint="eastAsia"/>
          <w:highlight w:val="none"/>
        </w:rPr>
        <w:t>公开时间：202</w:t>
      </w:r>
      <w:r>
        <w:rPr>
          <w:rFonts w:hint="eastAsia"/>
          <w:highlight w:val="none"/>
          <w:lang w:val="en-US" w:eastAsia="zh-CN"/>
        </w:rPr>
        <w:t>5</w:t>
      </w:r>
      <w:r>
        <w:rPr>
          <w:rFonts w:hint="eastAsia"/>
          <w:highlight w:val="none"/>
        </w:rPr>
        <w:t>年</w:t>
      </w:r>
      <w:r>
        <w:rPr>
          <w:rFonts w:hint="eastAsia"/>
          <w:highlight w:val="none"/>
          <w:lang w:val="en-US" w:eastAsia="zh-CN"/>
        </w:rPr>
        <w:t>10</w:t>
      </w:r>
      <w:r>
        <w:rPr>
          <w:rFonts w:hint="eastAsia"/>
          <w:highlight w:val="none"/>
        </w:rPr>
        <w:t>月</w:t>
      </w:r>
      <w:r>
        <w:rPr>
          <w:rFonts w:hint="eastAsia"/>
          <w:highlight w:val="none"/>
          <w:lang w:val="en-US" w:eastAsia="zh-CN"/>
        </w:rPr>
        <w:t xml:space="preserve">29 </w:t>
      </w:r>
      <w:r>
        <w:rPr>
          <w:rFonts w:hint="eastAsia"/>
          <w:highlight w:val="none"/>
        </w:rPr>
        <w:t>日</w:t>
      </w:r>
    </w:p>
    <w:p/>
    <w:sdt>
      <w:sdtPr>
        <w:rPr>
          <w:rFonts w:ascii="宋体" w:hAnsi="宋体" w:eastAsia="宋体" w:cs="Times New Roman"/>
          <w:kern w:val="2"/>
          <w:sz w:val="21"/>
          <w:szCs w:val="24"/>
          <w:lang w:val="en-US" w:eastAsia="zh-CN" w:bidi="ar-SA"/>
        </w:rPr>
        <w:id w:val="147483417"/>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b/>
            </w:rPr>
          </w:pPr>
          <w:bookmarkStart w:id="15" w:name="_Toc15396599"/>
          <w:bookmarkStart w:id="16" w:name="_Toc15377196"/>
          <w:r>
            <w:fldChar w:fldCharType="begin"/>
          </w:r>
          <w:r>
            <w:instrText xml:space="preserve">TOC \o "1-2" \h \u </w:instrText>
          </w:r>
          <w:r>
            <w:fldChar w:fldCharType="separate"/>
          </w:r>
        </w:p>
        <w:p>
          <w:pPr>
            <w:pStyle w:val="34"/>
            <w:tabs>
              <w:tab w:val="right" w:leader="dot" w:pos="8306"/>
            </w:tabs>
            <w:rPr>
              <w:b/>
            </w:rPr>
          </w:pPr>
          <w:r>
            <w:rPr>
              <w:b/>
            </w:rPr>
            <w:fldChar w:fldCharType="begin"/>
          </w:r>
          <w:r>
            <w:rPr>
              <w:b/>
            </w:rPr>
            <w:instrText xml:space="preserve"> HYPERLINK \l _Toc13576 </w:instrText>
          </w:r>
          <w:r>
            <w:rPr>
              <w:b/>
            </w:rPr>
            <w:fldChar w:fldCharType="separate"/>
          </w:r>
          <w:r>
            <w:rPr>
              <w:rFonts w:hint="eastAsia" w:ascii="黑体" w:hAnsi="黑体" w:eastAsia="黑体"/>
              <w:b/>
            </w:rPr>
            <w:t>第一部分 单位</w:t>
          </w:r>
          <w:r>
            <w:rPr>
              <w:rFonts w:hint="eastAsia" w:ascii="黑体" w:hAnsi="黑体" w:eastAsia="黑体"/>
              <w:b/>
              <w:bCs w:val="0"/>
            </w:rPr>
            <w:t>概况</w:t>
          </w:r>
          <w:r>
            <w:rPr>
              <w:b/>
            </w:rPr>
            <w:tab/>
          </w:r>
          <w:r>
            <w:rPr>
              <w:b/>
            </w:rPr>
            <w:fldChar w:fldCharType="begin"/>
          </w:r>
          <w:r>
            <w:rPr>
              <w:b/>
            </w:rPr>
            <w:instrText xml:space="preserve"> PAGEREF _Toc13576 \h </w:instrText>
          </w:r>
          <w:r>
            <w:rPr>
              <w:b/>
            </w:rPr>
            <w:fldChar w:fldCharType="separate"/>
          </w:r>
          <w:r>
            <w:rPr>
              <w:b/>
            </w:rPr>
            <w:t>1</w:t>
          </w:r>
          <w:r>
            <w:rPr>
              <w:b/>
            </w:rPr>
            <w:fldChar w:fldCharType="end"/>
          </w:r>
          <w:r>
            <w:rPr>
              <w:b/>
            </w:rPr>
            <w:fldChar w:fldCharType="end"/>
          </w:r>
        </w:p>
        <w:p>
          <w:pPr>
            <w:pStyle w:val="35"/>
            <w:tabs>
              <w:tab w:val="right" w:leader="dot" w:pos="8306"/>
            </w:tabs>
          </w:pPr>
          <w:r>
            <w:fldChar w:fldCharType="begin"/>
          </w:r>
          <w:r>
            <w:instrText xml:space="preserve"> HYPERLINK \l _Toc10005 </w:instrText>
          </w:r>
          <w:r>
            <w:fldChar w:fldCharType="separate"/>
          </w:r>
          <w:r>
            <w:rPr>
              <w:rFonts w:hint="eastAsia" w:ascii="黑体" w:hAnsi="黑体" w:eastAsia="黑体"/>
              <w:bCs w:val="0"/>
            </w:rPr>
            <w:t>一、 主要职责</w:t>
          </w:r>
          <w:r>
            <w:tab/>
          </w:r>
          <w:r>
            <w:fldChar w:fldCharType="begin"/>
          </w:r>
          <w:r>
            <w:instrText xml:space="preserve"> PAGEREF _Toc10005 \h </w:instrText>
          </w:r>
          <w:r>
            <w:fldChar w:fldCharType="separate"/>
          </w:r>
          <w:r>
            <w:t>1</w:t>
          </w:r>
          <w:r>
            <w:fldChar w:fldCharType="end"/>
          </w:r>
          <w:r>
            <w:fldChar w:fldCharType="end"/>
          </w:r>
        </w:p>
        <w:p>
          <w:pPr>
            <w:pStyle w:val="35"/>
            <w:tabs>
              <w:tab w:val="right" w:leader="dot" w:pos="8306"/>
            </w:tabs>
          </w:pPr>
          <w:r>
            <w:fldChar w:fldCharType="begin"/>
          </w:r>
          <w:r>
            <w:instrText xml:space="preserve"> HYPERLINK \l _Toc9110 </w:instrText>
          </w:r>
          <w:r>
            <w:fldChar w:fldCharType="separate"/>
          </w:r>
          <w:r>
            <w:rPr>
              <w:rFonts w:hint="eastAsia" w:ascii="黑体" w:hAnsi="黑体" w:eastAsia="黑体"/>
            </w:rPr>
            <w:t>二、机构设置</w:t>
          </w:r>
          <w:r>
            <w:tab/>
          </w:r>
          <w:r>
            <w:fldChar w:fldCharType="begin"/>
          </w:r>
          <w:r>
            <w:instrText xml:space="preserve"> PAGEREF _Toc9110 \h </w:instrText>
          </w:r>
          <w:r>
            <w:fldChar w:fldCharType="separate"/>
          </w:r>
          <w:r>
            <w:t>1</w:t>
          </w:r>
          <w:r>
            <w:fldChar w:fldCharType="end"/>
          </w:r>
          <w:r>
            <w:fldChar w:fldCharType="end"/>
          </w:r>
        </w:p>
        <w:p>
          <w:pPr>
            <w:pStyle w:val="34"/>
            <w:tabs>
              <w:tab w:val="right" w:leader="dot" w:pos="8306"/>
            </w:tabs>
            <w:rPr>
              <w:b/>
            </w:rPr>
          </w:pPr>
          <w:r>
            <w:rPr>
              <w:b/>
            </w:rPr>
            <w:fldChar w:fldCharType="begin"/>
          </w:r>
          <w:r>
            <w:rPr>
              <w:b/>
            </w:rPr>
            <w:instrText xml:space="preserve"> HYPERLINK \l _Toc12037 </w:instrText>
          </w:r>
          <w:r>
            <w:rPr>
              <w:b/>
            </w:rPr>
            <w:fldChar w:fldCharType="separate"/>
          </w:r>
          <w:r>
            <w:rPr>
              <w:rFonts w:hint="eastAsia" w:ascii="黑体" w:hAnsi="黑体" w:eastAsia="黑体"/>
              <w:b/>
            </w:rPr>
            <w:t xml:space="preserve">第二部分 </w:t>
          </w:r>
          <w:r>
            <w:rPr>
              <w:rFonts w:hint="eastAsia" w:ascii="黑体" w:hAnsi="黑体" w:eastAsia="黑体"/>
              <w:b/>
              <w:lang w:eastAsia="zh-CN"/>
            </w:rPr>
            <w:t>2024</w:t>
          </w:r>
          <w:r>
            <w:rPr>
              <w:rFonts w:hint="eastAsia" w:ascii="黑体" w:hAnsi="黑体" w:eastAsia="黑体"/>
              <w:b/>
            </w:rPr>
            <w:t>年度</w:t>
          </w:r>
          <w:r>
            <w:rPr>
              <w:rFonts w:hint="eastAsia" w:ascii="黑体" w:hAnsi="黑体" w:eastAsia="黑体"/>
              <w:b/>
              <w:bCs/>
            </w:rPr>
            <w:t>单位决算情况说明</w:t>
          </w:r>
          <w:r>
            <w:rPr>
              <w:b/>
            </w:rPr>
            <w:tab/>
          </w:r>
          <w:r>
            <w:rPr>
              <w:b/>
            </w:rPr>
            <w:fldChar w:fldCharType="begin"/>
          </w:r>
          <w:r>
            <w:rPr>
              <w:b/>
            </w:rPr>
            <w:instrText xml:space="preserve"> PAGEREF _Toc12037 \h </w:instrText>
          </w:r>
          <w:r>
            <w:rPr>
              <w:b/>
            </w:rPr>
            <w:fldChar w:fldCharType="separate"/>
          </w:r>
          <w:r>
            <w:rPr>
              <w:b/>
            </w:rPr>
            <w:t>2</w:t>
          </w:r>
          <w:r>
            <w:rPr>
              <w:b/>
            </w:rPr>
            <w:fldChar w:fldCharType="end"/>
          </w:r>
          <w:r>
            <w:rPr>
              <w:b/>
            </w:rPr>
            <w:fldChar w:fldCharType="end"/>
          </w:r>
        </w:p>
        <w:p>
          <w:pPr>
            <w:pStyle w:val="35"/>
            <w:tabs>
              <w:tab w:val="right" w:leader="dot" w:pos="8306"/>
            </w:tabs>
          </w:pPr>
          <w:r>
            <w:fldChar w:fldCharType="begin"/>
          </w:r>
          <w:r>
            <w:instrText xml:space="preserve"> HYPERLINK \l _Toc24335 </w:instrText>
          </w:r>
          <w: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_Toc24335 \h </w:instrText>
          </w:r>
          <w:r>
            <w:fldChar w:fldCharType="separate"/>
          </w:r>
          <w:r>
            <w:t>2</w:t>
          </w:r>
          <w:r>
            <w:fldChar w:fldCharType="end"/>
          </w:r>
          <w:r>
            <w:fldChar w:fldCharType="end"/>
          </w:r>
        </w:p>
        <w:p>
          <w:pPr>
            <w:pStyle w:val="35"/>
            <w:tabs>
              <w:tab w:val="right" w:leader="dot" w:pos="8306"/>
            </w:tabs>
          </w:pPr>
          <w:r>
            <w:fldChar w:fldCharType="begin"/>
          </w:r>
          <w:r>
            <w:instrText xml:space="preserve"> HYPERLINK \l _Toc6241 </w:instrText>
          </w:r>
          <w: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_Toc6241 \h </w:instrText>
          </w:r>
          <w:r>
            <w:fldChar w:fldCharType="separate"/>
          </w:r>
          <w:r>
            <w:t>3</w:t>
          </w:r>
          <w:r>
            <w:fldChar w:fldCharType="end"/>
          </w:r>
          <w:r>
            <w:fldChar w:fldCharType="end"/>
          </w:r>
        </w:p>
        <w:p>
          <w:pPr>
            <w:pStyle w:val="35"/>
            <w:tabs>
              <w:tab w:val="right" w:leader="dot" w:pos="8306"/>
            </w:tabs>
          </w:pPr>
          <w:r>
            <w:fldChar w:fldCharType="begin"/>
          </w:r>
          <w:r>
            <w:instrText xml:space="preserve"> HYPERLINK \l _Toc31079 </w:instrText>
          </w:r>
          <w: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_Toc31079 \h </w:instrText>
          </w:r>
          <w:r>
            <w:fldChar w:fldCharType="separate"/>
          </w:r>
          <w:r>
            <w:t>4</w:t>
          </w:r>
          <w:r>
            <w:fldChar w:fldCharType="end"/>
          </w:r>
          <w:r>
            <w:fldChar w:fldCharType="end"/>
          </w:r>
        </w:p>
        <w:p>
          <w:pPr>
            <w:pStyle w:val="35"/>
            <w:tabs>
              <w:tab w:val="right" w:leader="dot" w:pos="8306"/>
            </w:tabs>
          </w:pPr>
          <w:r>
            <w:fldChar w:fldCharType="begin"/>
          </w:r>
          <w:r>
            <w:instrText xml:space="preserve"> HYPERLINK \l _Toc9657 </w:instrText>
          </w:r>
          <w: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_Toc9657 \h </w:instrText>
          </w:r>
          <w:r>
            <w:fldChar w:fldCharType="separate"/>
          </w:r>
          <w:r>
            <w:t>5</w:t>
          </w:r>
          <w:r>
            <w:fldChar w:fldCharType="end"/>
          </w:r>
          <w:r>
            <w:fldChar w:fldCharType="end"/>
          </w:r>
        </w:p>
        <w:p>
          <w:pPr>
            <w:pStyle w:val="35"/>
            <w:tabs>
              <w:tab w:val="right" w:leader="dot" w:pos="8306"/>
            </w:tabs>
          </w:pPr>
          <w:r>
            <w:fldChar w:fldCharType="begin"/>
          </w:r>
          <w:r>
            <w:instrText xml:space="preserve"> HYPERLINK \l _Toc13108 </w:instrText>
          </w:r>
          <w:r>
            <w:fldChar w:fldCharType="separate"/>
          </w:r>
          <w:r>
            <w:rPr>
              <w:rFonts w:hint="eastAsia" w:ascii="黑体" w:hAnsi="黑体" w:eastAsia="黑体"/>
              <w:szCs w:val="32"/>
            </w:rPr>
            <w:t>五、一</w:t>
          </w:r>
          <w:r>
            <w:rPr>
              <w:rFonts w:hint="eastAsia" w:ascii="黑体" w:hAnsi="黑体" w:eastAsia="黑体"/>
            </w:rPr>
            <w:t>般公共预算财政拨款支出决算情况说明</w:t>
          </w:r>
          <w:r>
            <w:tab/>
          </w:r>
          <w:r>
            <w:fldChar w:fldCharType="begin"/>
          </w:r>
          <w:r>
            <w:instrText xml:space="preserve"> PAGEREF _Toc13108 \h </w:instrText>
          </w:r>
          <w:r>
            <w:fldChar w:fldCharType="separate"/>
          </w:r>
          <w:r>
            <w:t>5</w:t>
          </w:r>
          <w:r>
            <w:fldChar w:fldCharType="end"/>
          </w:r>
          <w:r>
            <w:fldChar w:fldCharType="end"/>
          </w:r>
        </w:p>
        <w:p>
          <w:pPr>
            <w:pStyle w:val="35"/>
            <w:tabs>
              <w:tab w:val="right" w:leader="dot" w:pos="8306"/>
            </w:tabs>
          </w:pPr>
          <w:r>
            <w:fldChar w:fldCharType="begin"/>
          </w:r>
          <w:r>
            <w:instrText xml:space="preserve"> HYPERLINK \l _Toc23475 </w:instrText>
          </w:r>
          <w: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_Toc23475 \h </w:instrText>
          </w:r>
          <w:r>
            <w:fldChar w:fldCharType="separate"/>
          </w:r>
          <w:r>
            <w:t>9</w:t>
          </w:r>
          <w:r>
            <w:fldChar w:fldCharType="end"/>
          </w:r>
          <w:r>
            <w:fldChar w:fldCharType="end"/>
          </w:r>
        </w:p>
        <w:p>
          <w:pPr>
            <w:pStyle w:val="35"/>
            <w:tabs>
              <w:tab w:val="right" w:leader="dot" w:pos="8306"/>
            </w:tabs>
          </w:pPr>
          <w:r>
            <w:fldChar w:fldCharType="begin"/>
          </w:r>
          <w:r>
            <w:instrText xml:space="preserve"> HYPERLINK \l _Toc19479 </w:instrText>
          </w:r>
          <w: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_Toc19479 \h </w:instrText>
          </w:r>
          <w:r>
            <w:fldChar w:fldCharType="separate"/>
          </w:r>
          <w:r>
            <w:t>10</w:t>
          </w:r>
          <w:r>
            <w:fldChar w:fldCharType="end"/>
          </w:r>
          <w:r>
            <w:fldChar w:fldCharType="end"/>
          </w:r>
        </w:p>
        <w:p>
          <w:pPr>
            <w:pStyle w:val="35"/>
            <w:tabs>
              <w:tab w:val="right" w:leader="dot" w:pos="8306"/>
            </w:tabs>
          </w:pPr>
          <w:r>
            <w:fldChar w:fldCharType="begin"/>
          </w:r>
          <w:r>
            <w:instrText xml:space="preserve"> HYPERLINK \l _Toc26421 </w:instrText>
          </w:r>
          <w: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_Toc26421 \h </w:instrText>
          </w:r>
          <w:r>
            <w:fldChar w:fldCharType="separate"/>
          </w:r>
          <w:r>
            <w:t>12</w:t>
          </w:r>
          <w:r>
            <w:fldChar w:fldCharType="end"/>
          </w:r>
          <w:r>
            <w:fldChar w:fldCharType="end"/>
          </w:r>
        </w:p>
        <w:p>
          <w:pPr>
            <w:pStyle w:val="35"/>
            <w:tabs>
              <w:tab w:val="right" w:leader="dot" w:pos="8306"/>
            </w:tabs>
          </w:pPr>
          <w:r>
            <w:fldChar w:fldCharType="begin"/>
          </w:r>
          <w:r>
            <w:instrText xml:space="preserve"> HYPERLINK \l _Toc4906 </w:instrText>
          </w:r>
          <w:r>
            <w:fldChar w:fldCharType="separate"/>
          </w:r>
          <w:r>
            <w:rPr>
              <w:rFonts w:hint="eastAsia" w:ascii="黑体" w:hAnsi="黑体" w:eastAsia="黑体"/>
            </w:rPr>
            <w:t>九、 国有资本经营预算支出决算情况说明</w:t>
          </w:r>
          <w:r>
            <w:tab/>
          </w:r>
          <w:r>
            <w:fldChar w:fldCharType="begin"/>
          </w:r>
          <w:r>
            <w:instrText xml:space="preserve"> PAGEREF _Toc4906 \h </w:instrText>
          </w:r>
          <w:r>
            <w:fldChar w:fldCharType="separate"/>
          </w:r>
          <w:r>
            <w:t>12</w:t>
          </w:r>
          <w:r>
            <w:fldChar w:fldCharType="end"/>
          </w:r>
          <w:r>
            <w:fldChar w:fldCharType="end"/>
          </w:r>
        </w:p>
        <w:p>
          <w:pPr>
            <w:pStyle w:val="35"/>
            <w:tabs>
              <w:tab w:val="right" w:leader="dot" w:pos="8306"/>
            </w:tabs>
          </w:pPr>
          <w:r>
            <w:fldChar w:fldCharType="begin"/>
          </w:r>
          <w:r>
            <w:instrText xml:space="preserve"> HYPERLINK \l _Toc4302 </w:instrText>
          </w:r>
          <w:r>
            <w:fldChar w:fldCharType="separate"/>
          </w:r>
          <w:r>
            <w:rPr>
              <w:rFonts w:hint="eastAsia" w:ascii="黑体" w:hAnsi="黑体" w:eastAsia="黑体"/>
            </w:rPr>
            <w:t>十、 其他重要事项的情况说明</w:t>
          </w:r>
          <w:r>
            <w:tab/>
          </w:r>
          <w:r>
            <w:fldChar w:fldCharType="begin"/>
          </w:r>
          <w:r>
            <w:instrText xml:space="preserve"> PAGEREF _Toc4302 \h </w:instrText>
          </w:r>
          <w:r>
            <w:fldChar w:fldCharType="separate"/>
          </w:r>
          <w:r>
            <w:t>12</w:t>
          </w:r>
          <w:r>
            <w:fldChar w:fldCharType="end"/>
          </w:r>
          <w:r>
            <w:fldChar w:fldCharType="end"/>
          </w:r>
        </w:p>
        <w:p>
          <w:pPr>
            <w:pStyle w:val="34"/>
            <w:tabs>
              <w:tab w:val="right" w:leader="dot" w:pos="8306"/>
            </w:tabs>
            <w:rPr>
              <w:b/>
            </w:rPr>
          </w:pPr>
          <w:r>
            <w:rPr>
              <w:b/>
            </w:rPr>
            <w:fldChar w:fldCharType="begin"/>
          </w:r>
          <w:r>
            <w:rPr>
              <w:b/>
            </w:rPr>
            <w:instrText xml:space="preserve"> HYPERLINK \l _Toc26381 </w:instrText>
          </w:r>
          <w:r>
            <w:rPr>
              <w:b/>
            </w:rPr>
            <w:fldChar w:fldCharType="separate"/>
          </w:r>
          <w:r>
            <w:rPr>
              <w:rFonts w:hint="eastAsia" w:ascii="黑体" w:hAnsi="黑体" w:eastAsia="黑体" w:cs="黑体"/>
              <w:b/>
              <w:szCs w:val="44"/>
            </w:rPr>
            <w:t xml:space="preserve">第三部分 </w:t>
          </w:r>
          <w:r>
            <w:rPr>
              <w:rFonts w:hint="eastAsia" w:ascii="黑体" w:hAnsi="黑体" w:eastAsia="黑体"/>
              <w:b/>
              <w:szCs w:val="44"/>
            </w:rPr>
            <w:t>名</w:t>
          </w:r>
          <w:r>
            <w:rPr>
              <w:rFonts w:hint="eastAsia" w:ascii="黑体" w:hAnsi="黑体" w:eastAsia="黑体"/>
              <w:b/>
            </w:rPr>
            <w:t>词解释</w:t>
          </w:r>
          <w:r>
            <w:rPr>
              <w:b/>
            </w:rPr>
            <w:tab/>
          </w:r>
          <w:r>
            <w:rPr>
              <w:b/>
            </w:rPr>
            <w:fldChar w:fldCharType="begin"/>
          </w:r>
          <w:r>
            <w:rPr>
              <w:b/>
            </w:rPr>
            <w:instrText xml:space="preserve"> PAGEREF _Toc26381 \h </w:instrText>
          </w:r>
          <w:r>
            <w:rPr>
              <w:b/>
            </w:rPr>
            <w:fldChar w:fldCharType="separate"/>
          </w:r>
          <w:r>
            <w:rPr>
              <w:b/>
            </w:rPr>
            <w:t>15</w:t>
          </w:r>
          <w:r>
            <w:rPr>
              <w:b/>
            </w:rPr>
            <w:fldChar w:fldCharType="end"/>
          </w:r>
          <w:r>
            <w:rPr>
              <w:b/>
            </w:rPr>
            <w:fldChar w:fldCharType="end"/>
          </w:r>
        </w:p>
        <w:p>
          <w:pPr>
            <w:pStyle w:val="34"/>
            <w:tabs>
              <w:tab w:val="right" w:leader="dot" w:pos="8306"/>
            </w:tabs>
            <w:rPr>
              <w:b/>
            </w:rPr>
          </w:pPr>
          <w:r>
            <w:rPr>
              <w:b/>
            </w:rPr>
            <w:fldChar w:fldCharType="begin"/>
          </w:r>
          <w:r>
            <w:rPr>
              <w:b/>
            </w:rPr>
            <w:instrText xml:space="preserve"> HYPERLINK \l _Toc15291 </w:instrText>
          </w:r>
          <w:r>
            <w:rPr>
              <w:b/>
            </w:rPr>
            <w:fldChar w:fldCharType="separate"/>
          </w:r>
          <w:r>
            <w:rPr>
              <w:rFonts w:hint="eastAsia" w:ascii="黑体" w:hAnsi="黑体" w:eastAsia="黑体"/>
              <w:b/>
              <w:szCs w:val="44"/>
            </w:rPr>
            <w:t>第</w:t>
          </w:r>
          <w:r>
            <w:rPr>
              <w:rFonts w:hint="eastAsia" w:ascii="黑体" w:hAnsi="黑体" w:eastAsia="黑体"/>
              <w:b/>
            </w:rPr>
            <w:t>四部分 附件</w:t>
          </w:r>
          <w:r>
            <w:rPr>
              <w:b/>
            </w:rPr>
            <w:tab/>
          </w:r>
          <w:r>
            <w:rPr>
              <w:b/>
            </w:rPr>
            <w:fldChar w:fldCharType="begin"/>
          </w:r>
          <w:r>
            <w:rPr>
              <w:b/>
            </w:rPr>
            <w:instrText xml:space="preserve"> PAGEREF _Toc15291 \h </w:instrText>
          </w:r>
          <w:r>
            <w:rPr>
              <w:b/>
            </w:rPr>
            <w:fldChar w:fldCharType="separate"/>
          </w:r>
          <w:r>
            <w:rPr>
              <w:b/>
            </w:rPr>
            <w:t>19</w:t>
          </w:r>
          <w:r>
            <w:rPr>
              <w:b/>
            </w:rPr>
            <w:fldChar w:fldCharType="end"/>
          </w:r>
          <w:r>
            <w:rPr>
              <w:b/>
            </w:rPr>
            <w:fldChar w:fldCharType="end"/>
          </w:r>
        </w:p>
        <w:p>
          <w:pPr>
            <w:pStyle w:val="34"/>
            <w:tabs>
              <w:tab w:val="right" w:leader="dot" w:pos="8306"/>
            </w:tabs>
            <w:rPr>
              <w:b/>
            </w:rPr>
          </w:pPr>
          <w:r>
            <w:rPr>
              <w:b/>
            </w:rPr>
            <w:fldChar w:fldCharType="begin"/>
          </w:r>
          <w:r>
            <w:rPr>
              <w:b/>
            </w:rPr>
            <w:instrText xml:space="preserve"> HYPERLINK \l _Toc3469 </w:instrText>
          </w:r>
          <w:r>
            <w:rPr>
              <w:b/>
            </w:rPr>
            <w:fldChar w:fldCharType="separate"/>
          </w:r>
          <w:r>
            <w:rPr>
              <w:rFonts w:hint="eastAsia" w:ascii="黑体" w:hAnsi="黑体" w:eastAsia="黑体"/>
              <w:b/>
              <w:szCs w:val="44"/>
            </w:rPr>
            <w:t>第</w:t>
          </w:r>
          <w:r>
            <w:rPr>
              <w:rFonts w:hint="eastAsia" w:ascii="黑体" w:hAnsi="黑体" w:eastAsia="黑体"/>
              <w:b/>
            </w:rPr>
            <w:t>五部分 附表</w:t>
          </w:r>
          <w:r>
            <w:rPr>
              <w:b/>
            </w:rPr>
            <w:tab/>
          </w:r>
          <w:r>
            <w:rPr>
              <w:b/>
            </w:rPr>
            <w:fldChar w:fldCharType="begin"/>
          </w:r>
          <w:r>
            <w:rPr>
              <w:b/>
            </w:rPr>
            <w:instrText xml:space="preserve"> PAGEREF _Toc3469 \h </w:instrText>
          </w:r>
          <w:r>
            <w:rPr>
              <w:b/>
            </w:rPr>
            <w:fldChar w:fldCharType="separate"/>
          </w:r>
          <w:r>
            <w:rPr>
              <w:b/>
            </w:rPr>
            <w:t>20</w:t>
          </w:r>
          <w:r>
            <w:rPr>
              <w:b/>
            </w:rPr>
            <w:fldChar w:fldCharType="end"/>
          </w:r>
          <w:r>
            <w:rPr>
              <w:b/>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_Toc22175 </w:instrText>
          </w:r>
          <w:r>
            <w:rPr>
              <w:rFonts w:hint="eastAsia" w:ascii="黑体" w:hAnsi="黑体" w:eastAsia="黑体" w:cs="黑体"/>
            </w:rPr>
            <w:fldChar w:fldCharType="separate"/>
          </w:r>
          <w:r>
            <w:rPr>
              <w:rFonts w:hint="eastAsia" w:ascii="黑体" w:hAnsi="黑体" w:eastAsia="黑体" w:cs="黑体"/>
            </w:rPr>
            <w:t>一、收</w:t>
          </w:r>
          <w:r>
            <w:rPr>
              <w:rFonts w:hint="eastAsia" w:ascii="黑体" w:hAnsi="黑体" w:eastAsia="黑体" w:cs="黑体"/>
              <w:bCs w:val="0"/>
            </w:rPr>
            <w:t>入支出决算总表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_Toc22175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_Toc25566 </w:instrText>
          </w:r>
          <w:r>
            <w:rPr>
              <w:rFonts w:hint="eastAsia" w:ascii="黑体" w:hAnsi="黑体" w:eastAsia="黑体" w:cs="黑体"/>
            </w:rPr>
            <w:fldChar w:fldCharType="separate"/>
          </w:r>
          <w:r>
            <w:rPr>
              <w:rFonts w:hint="eastAsia" w:ascii="黑体" w:hAnsi="黑体" w:eastAsia="黑体" w:cs="黑体"/>
            </w:rPr>
            <w:t>二、收</w:t>
          </w:r>
          <w:r>
            <w:rPr>
              <w:rFonts w:hint="eastAsia" w:ascii="黑体" w:hAnsi="黑体" w:eastAsia="黑体" w:cs="黑体"/>
              <w:bCs w:val="0"/>
            </w:rPr>
            <w:t>入决算表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_Toc25566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_Toc21228 </w:instrText>
          </w:r>
          <w:r>
            <w:rPr>
              <w:rFonts w:hint="eastAsia" w:ascii="黑体" w:hAnsi="黑体" w:eastAsia="黑体" w:cs="黑体"/>
            </w:rPr>
            <w:fldChar w:fldCharType="separate"/>
          </w:r>
          <w:r>
            <w:rPr>
              <w:rFonts w:hint="eastAsia" w:ascii="黑体" w:hAnsi="黑体" w:eastAsia="黑体" w:cs="黑体"/>
              <w:bCs w:val="0"/>
            </w:rPr>
            <w:t>三、</w:t>
          </w:r>
          <w:r>
            <w:rPr>
              <w:rFonts w:hint="eastAsia" w:ascii="黑体" w:hAnsi="黑体" w:eastAsia="黑体" w:cs="黑体"/>
            </w:rPr>
            <w:t>支</w:t>
          </w:r>
          <w:r>
            <w:rPr>
              <w:rFonts w:hint="eastAsia" w:ascii="黑体" w:hAnsi="黑体" w:eastAsia="黑体" w:cs="黑体"/>
              <w:bCs w:val="0"/>
            </w:rPr>
            <w:t>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_Toc21228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_Toc4299 </w:instrText>
          </w:r>
          <w:r>
            <w:rPr>
              <w:rFonts w:hint="eastAsia" w:ascii="黑体" w:hAnsi="黑体" w:eastAsia="黑体" w:cs="黑体"/>
            </w:rPr>
            <w:fldChar w:fldCharType="separate"/>
          </w:r>
          <w:r>
            <w:rPr>
              <w:rFonts w:hint="eastAsia" w:ascii="黑体" w:hAnsi="黑体" w:eastAsia="黑体" w:cs="黑体"/>
              <w:bCs w:val="0"/>
            </w:rPr>
            <w:t>四、</w:t>
          </w:r>
          <w:r>
            <w:rPr>
              <w:rFonts w:hint="eastAsia" w:ascii="黑体" w:hAnsi="黑体" w:eastAsia="黑体" w:cs="黑体"/>
            </w:rPr>
            <w:t>财</w:t>
          </w:r>
          <w:r>
            <w:rPr>
              <w:rFonts w:hint="eastAsia" w:ascii="黑体" w:hAnsi="黑体" w:eastAsia="黑体" w:cs="黑体"/>
              <w:bCs w:val="0"/>
            </w:rPr>
            <w:t>政拨款收入支出决算总表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_Toc4299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_Toc1989 </w:instrText>
          </w:r>
          <w:r>
            <w:rPr>
              <w:rFonts w:hint="eastAsia" w:ascii="黑体" w:hAnsi="黑体" w:eastAsia="黑体" w:cs="黑体"/>
            </w:rPr>
            <w:fldChar w:fldCharType="separate"/>
          </w:r>
          <w:r>
            <w:rPr>
              <w:rFonts w:hint="eastAsia" w:ascii="黑体" w:hAnsi="黑体" w:eastAsia="黑体" w:cs="黑体"/>
              <w:bCs w:val="0"/>
            </w:rPr>
            <w:t>五、</w:t>
          </w:r>
          <w:r>
            <w:rPr>
              <w:rFonts w:hint="eastAsia" w:ascii="黑体" w:hAnsi="黑体" w:eastAsia="黑体" w:cs="黑体"/>
            </w:rPr>
            <w:t>财</w:t>
          </w:r>
          <w:r>
            <w:rPr>
              <w:rFonts w:hint="eastAsia" w:ascii="黑体" w:hAnsi="黑体" w:eastAsia="黑体" w:cs="黑体"/>
              <w:bCs w:val="0"/>
            </w:rPr>
            <w:t>政拨款支出决算明细表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_Toc1989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_Toc23558 </w:instrText>
          </w:r>
          <w:r>
            <w:rPr>
              <w:rFonts w:hint="eastAsia" w:ascii="黑体" w:hAnsi="黑体" w:eastAsia="黑体" w:cs="黑体"/>
            </w:rPr>
            <w:fldChar w:fldCharType="separate"/>
          </w:r>
          <w:r>
            <w:rPr>
              <w:rFonts w:hint="eastAsia" w:ascii="黑体" w:hAnsi="黑体" w:eastAsia="黑体" w:cs="黑体"/>
              <w:bCs w:val="0"/>
            </w:rPr>
            <w:t>六、</w:t>
          </w:r>
          <w:r>
            <w:rPr>
              <w:rFonts w:hint="eastAsia" w:ascii="黑体" w:hAnsi="黑体" w:eastAsia="黑体" w:cs="黑体"/>
            </w:rPr>
            <w:t>一</w:t>
          </w:r>
          <w:r>
            <w:rPr>
              <w:rFonts w:hint="eastAsia" w:ascii="黑体" w:hAnsi="黑体" w:eastAsia="黑体" w:cs="黑体"/>
              <w:bCs w:val="0"/>
            </w:rPr>
            <w:t>般公共预算财政拨款支出决算表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_Toc23558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_Toc4839 </w:instrText>
          </w:r>
          <w:r>
            <w:rPr>
              <w:rFonts w:hint="eastAsia" w:ascii="黑体" w:hAnsi="黑体" w:eastAsia="黑体" w:cs="黑体"/>
            </w:rPr>
            <w:fldChar w:fldCharType="separate"/>
          </w:r>
          <w:r>
            <w:rPr>
              <w:rFonts w:hint="eastAsia" w:ascii="黑体" w:hAnsi="黑体" w:eastAsia="黑体" w:cs="黑体"/>
              <w:bCs w:val="0"/>
            </w:rPr>
            <w:t>七、</w:t>
          </w:r>
          <w:r>
            <w:rPr>
              <w:rFonts w:hint="eastAsia" w:ascii="黑体" w:hAnsi="黑体" w:eastAsia="黑体" w:cs="黑体"/>
            </w:rPr>
            <w:t>一</w:t>
          </w:r>
          <w:r>
            <w:rPr>
              <w:rFonts w:hint="eastAsia" w:ascii="黑体" w:hAnsi="黑体" w:eastAsia="黑体" w:cs="黑体"/>
              <w:bCs w:val="0"/>
            </w:rPr>
            <w:t>般公共预算财政拨款支出决算明细表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_Toc4839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_Toc30147 </w:instrText>
          </w:r>
          <w:r>
            <w:rPr>
              <w:rFonts w:hint="eastAsia" w:ascii="黑体" w:hAnsi="黑体" w:eastAsia="黑体" w:cs="黑体"/>
            </w:rPr>
            <w:fldChar w:fldCharType="separate"/>
          </w:r>
          <w:r>
            <w:rPr>
              <w:rFonts w:hint="eastAsia" w:ascii="黑体" w:hAnsi="黑体" w:eastAsia="黑体" w:cs="黑体"/>
              <w:bCs w:val="0"/>
            </w:rPr>
            <w:t>八、</w:t>
          </w:r>
          <w:r>
            <w:rPr>
              <w:rFonts w:hint="eastAsia" w:ascii="黑体" w:hAnsi="黑体" w:eastAsia="黑体" w:cs="黑体"/>
            </w:rPr>
            <w:t>一</w:t>
          </w:r>
          <w:r>
            <w:rPr>
              <w:rFonts w:hint="eastAsia" w:ascii="黑体" w:hAnsi="黑体" w:eastAsia="黑体" w:cs="黑体"/>
              <w:bCs w:val="0"/>
            </w:rPr>
            <w:t>般公共预算财政拨款基本支出决算表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_Toc30147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_Toc3942 </w:instrText>
          </w:r>
          <w:r>
            <w:rPr>
              <w:rFonts w:hint="eastAsia" w:ascii="黑体" w:hAnsi="黑体" w:eastAsia="黑体" w:cs="黑体"/>
            </w:rPr>
            <w:fldChar w:fldCharType="separate"/>
          </w:r>
          <w:r>
            <w:rPr>
              <w:rFonts w:hint="eastAsia" w:ascii="黑体" w:hAnsi="黑体" w:eastAsia="黑体" w:cs="黑体"/>
              <w:bCs w:val="0"/>
            </w:rPr>
            <w:t>九、</w:t>
          </w:r>
          <w:r>
            <w:rPr>
              <w:rFonts w:hint="eastAsia" w:ascii="黑体" w:hAnsi="黑体" w:eastAsia="黑体" w:cs="黑体"/>
            </w:rPr>
            <w:t>一</w:t>
          </w:r>
          <w:r>
            <w:rPr>
              <w:rFonts w:hint="eastAsia" w:ascii="黑体" w:hAnsi="黑体" w:eastAsia="黑体" w:cs="黑体"/>
              <w:bCs w:val="0"/>
            </w:rPr>
            <w:t>般公共预算财政拨款项目支出决算表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_Toc3942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_Toc12750 </w:instrText>
          </w:r>
          <w:r>
            <w:rPr>
              <w:rFonts w:hint="eastAsia" w:ascii="黑体" w:hAnsi="黑体" w:eastAsia="黑体" w:cs="黑体"/>
            </w:rPr>
            <w:fldChar w:fldCharType="separate"/>
          </w:r>
          <w:r>
            <w:rPr>
              <w:rFonts w:hint="eastAsia" w:ascii="黑体" w:hAnsi="黑体" w:eastAsia="黑体" w:cs="黑体"/>
              <w:bCs w:val="0"/>
            </w:rPr>
            <w:t>十、</w:t>
          </w:r>
          <w:r>
            <w:rPr>
              <w:rFonts w:hint="eastAsia" w:ascii="黑体" w:hAnsi="黑体" w:eastAsia="黑体" w:cs="黑体"/>
            </w:rPr>
            <w:t>政</w:t>
          </w:r>
          <w:r>
            <w:rPr>
              <w:rFonts w:hint="eastAsia" w:ascii="黑体" w:hAnsi="黑体" w:eastAsia="黑体" w:cs="黑体"/>
              <w:bCs w:val="0"/>
            </w:rPr>
            <w:t>府性基金预算财政拨款收入支出决算表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_Toc12750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_Toc6864 </w:instrText>
          </w:r>
          <w:r>
            <w:rPr>
              <w:rFonts w:hint="eastAsia" w:ascii="黑体" w:hAnsi="黑体" w:eastAsia="黑体" w:cs="黑体"/>
            </w:rPr>
            <w:fldChar w:fldCharType="separate"/>
          </w:r>
          <w:r>
            <w:rPr>
              <w:rFonts w:hint="eastAsia" w:ascii="黑体" w:hAnsi="黑体" w:eastAsia="黑体" w:cs="黑体"/>
              <w:bCs w:val="0"/>
            </w:rPr>
            <w:t>十一、</w:t>
          </w:r>
          <w:r>
            <w:rPr>
              <w:rFonts w:hint="eastAsia" w:ascii="黑体" w:hAnsi="黑体" w:eastAsia="黑体" w:cs="黑体"/>
            </w:rPr>
            <w:t>国</w:t>
          </w:r>
          <w:r>
            <w:rPr>
              <w:rFonts w:hint="eastAsia" w:ascii="黑体" w:hAnsi="黑体" w:eastAsia="黑体" w:cs="黑体"/>
              <w:bCs w:val="0"/>
            </w:rPr>
            <w:t>有资本经营预算财政拨款收入支出决算表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_Toc6864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_Toc21642 </w:instrText>
          </w:r>
          <w:r>
            <w:rPr>
              <w:rFonts w:hint="eastAsia" w:ascii="黑体" w:hAnsi="黑体" w:eastAsia="黑体" w:cs="黑体"/>
            </w:rPr>
            <w:fldChar w:fldCharType="separate"/>
          </w:r>
          <w:r>
            <w:rPr>
              <w:rFonts w:hint="eastAsia" w:ascii="黑体" w:hAnsi="黑体" w:eastAsia="黑体" w:cs="黑体"/>
              <w:bCs w:val="0"/>
            </w:rPr>
            <w:t>十二、国有资本经营预算财政拨款支出决算表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_Toc21642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pPr>
          <w:r>
            <w:rPr>
              <w:rFonts w:hint="eastAsia" w:ascii="黑体" w:hAnsi="黑体" w:eastAsia="黑体" w:cs="黑体"/>
            </w:rPr>
            <w:fldChar w:fldCharType="begin"/>
          </w:r>
          <w:r>
            <w:rPr>
              <w:rFonts w:hint="eastAsia" w:ascii="黑体" w:hAnsi="黑体" w:eastAsia="黑体" w:cs="黑体"/>
            </w:rPr>
            <w:instrText xml:space="preserve"> HYPERLINK \l _Toc22731 </w:instrText>
          </w:r>
          <w:r>
            <w:rPr>
              <w:rFonts w:hint="eastAsia" w:ascii="黑体" w:hAnsi="黑体" w:eastAsia="黑体" w:cs="黑体"/>
            </w:rPr>
            <w:fldChar w:fldCharType="separate"/>
          </w:r>
          <w:r>
            <w:rPr>
              <w:rFonts w:hint="eastAsia" w:ascii="黑体" w:hAnsi="黑体" w:eastAsia="黑体" w:cs="黑体"/>
              <w:bCs w:val="0"/>
            </w:rPr>
            <w:t>十三、财政拨款“三公”经费支出决算表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_Toc22731 \h </w:instrText>
          </w:r>
          <w:r>
            <w:rPr>
              <w:rFonts w:hint="eastAsia" w:ascii="黑体" w:hAnsi="黑体" w:eastAsia="黑体" w:cs="黑体"/>
            </w:rPr>
            <w:fldChar w:fldCharType="separate"/>
          </w:r>
          <w:r>
            <w:rPr>
              <w:rFonts w:hint="eastAsia" w:ascii="黑体" w:hAnsi="黑体" w:eastAsia="黑体" w:cs="黑体"/>
            </w:rPr>
            <w:t>20</w:t>
          </w:r>
          <w:r>
            <w:rPr>
              <w:rFonts w:hint="eastAsia" w:ascii="黑体" w:hAnsi="黑体" w:eastAsia="黑体" w:cs="黑体"/>
            </w:rPr>
            <w:fldChar w:fldCharType="end"/>
          </w:r>
          <w:r>
            <w:rPr>
              <w:rFonts w:hint="eastAsia" w:ascii="黑体" w:hAnsi="黑体" w:eastAsia="黑体" w:cs="黑体"/>
            </w:rPr>
            <w:fldChar w:fldCharType="end"/>
          </w:r>
        </w:p>
        <w:p>
          <w:pPr>
            <w:rPr>
              <w:b/>
            </w:rPr>
            <w:sectPr>
              <w:headerReference r:id="rId3" w:type="default"/>
              <w:footerReference r:id="rId4" w:type="default"/>
              <w:pgSz w:w="11906" w:h="16838"/>
              <w:pgMar w:top="1440" w:right="1800" w:bottom="1440" w:left="1800" w:header="851" w:footer="992" w:gutter="0"/>
              <w:pgNumType w:fmt="decimal" w:start="1"/>
              <w:cols w:space="425" w:num="1"/>
              <w:titlePg/>
              <w:docGrid w:type="lines" w:linePitch="312" w:charSpace="0"/>
            </w:sectPr>
          </w:pPr>
          <w:r>
            <w:rPr>
              <w:b/>
            </w:rPr>
            <w:fldChar w:fldCharType="end"/>
          </w:r>
        </w:p>
      </w:sdtContent>
    </w:sdt>
    <w:p>
      <w:pPr>
        <w:rPr>
          <w:b/>
        </w:rPr>
      </w:pPr>
    </w:p>
    <w:p>
      <w:pPr>
        <w:pStyle w:val="5"/>
        <w:jc w:val="center"/>
        <w:rPr>
          <w:rStyle w:val="37"/>
          <w:rFonts w:hint="eastAsia" w:ascii="Times New Roman" w:hAnsi="Times New Roman" w:eastAsia="方正小标宋简体" w:cs="方正小标宋简体"/>
          <w:b w:val="0"/>
          <w:bCs w:val="0"/>
          <w:color w:val="auto"/>
          <w:highlight w:val="none"/>
        </w:rPr>
      </w:pPr>
      <w:bookmarkStart w:id="17" w:name="_Toc13576"/>
      <w:r>
        <w:rPr>
          <w:rStyle w:val="37"/>
          <w:rFonts w:hint="eastAsia" w:ascii="Times New Roman" w:hAnsi="Times New Roman" w:eastAsia="方正小标宋简体" w:cs="方正小标宋简体"/>
          <w:b w:val="0"/>
          <w:bCs w:val="0"/>
          <w:color w:val="auto"/>
          <w:highlight w:val="none"/>
        </w:rPr>
        <w:t>第一部分 单位概况</w:t>
      </w:r>
      <w:bookmarkEnd w:id="15"/>
      <w:bookmarkEnd w:id="16"/>
      <w:bookmarkEnd w:id="17"/>
    </w:p>
    <w:p>
      <w:pPr>
        <w:pStyle w:val="6"/>
        <w:numPr>
          <w:ilvl w:val="0"/>
          <w:numId w:val="1"/>
        </w:numPr>
        <w:rPr>
          <w:rStyle w:val="29"/>
          <w:rFonts w:ascii="黑体" w:hAnsi="黑体" w:eastAsia="黑体"/>
          <w:b w:val="0"/>
          <w:bCs w:val="0"/>
        </w:rPr>
      </w:pPr>
      <w:bookmarkStart w:id="18" w:name="_Toc10005"/>
      <w:bookmarkStart w:id="19" w:name="_Toc15396600"/>
      <w:bookmarkStart w:id="20" w:name="_Toc15377197"/>
      <w:r>
        <w:rPr>
          <w:rStyle w:val="29"/>
          <w:rFonts w:hint="eastAsia" w:ascii="黑体" w:hAnsi="黑体" w:eastAsia="黑体"/>
          <w:b w:val="0"/>
          <w:bCs w:val="0"/>
        </w:rPr>
        <w:t>主要职责</w:t>
      </w:r>
      <w:bookmarkEnd w:id="18"/>
    </w:p>
    <w:p>
      <w:pPr>
        <w:pStyle w:val="14"/>
        <w:keepNext w:val="0"/>
        <w:keepLines w:val="0"/>
        <w:widowControl/>
        <w:suppressLineNumbers w:val="0"/>
        <w:shd w:val="clear" w:color="auto" w:fill="FFFFFF"/>
        <w:spacing w:before="315" w:beforeAutospacing="0" w:after="315" w:afterAutospacing="0" w:line="23" w:lineRule="atLeast"/>
        <w:ind w:left="0" w:firstLine="420"/>
        <w:jc w:val="both"/>
      </w:pPr>
      <w:bookmarkStart w:id="21" w:name="_Toc9110"/>
      <w:r>
        <w:rPr>
          <w:rFonts w:hint="eastAsia" w:ascii="仿宋" w:hAnsi="仿宋" w:eastAsia="仿宋" w:cs="Times New Roman"/>
          <w:color w:val="auto"/>
          <w:kern w:val="0"/>
          <w:sz w:val="32"/>
          <w:szCs w:val="32"/>
          <w:highlight w:val="none"/>
          <w:lang w:val="en-US" w:eastAsia="zh-CN" w:bidi="ar-SA"/>
        </w:rPr>
        <w:t>贯彻实施国家、省、市有关国民经济和社会发展、经济体制改革的方针、政策和法律法规；拟订并组织实施全区国民经济和社会发展、中长期规划和年度计划；监测宏观经济和社会发展态势，做好预测预警和信息引导，研究协调有关重大问题并提出建议。贯彻执行国家有关科技发展的方针政策、法律法规，牵头拟订和实施全区科学技术发展规划，推进科技创新体系建设，组织指导全区基础研究和重大科技攻关工作。实施国家、省和市价格法律、法规和方针、政策，负责全区价格成本调查监审、价格监测、价格认证等工作。负责全区固定资产投资宏观管理和协调推进重大项目建设，对国家和省、市重大建设项目建设过程中的工程招标投标活动实施监督检查。牵头全区节能低碳发展、节能降耗等工作。贯彻执行国家、省、市粮食流通和物资管理的方针政策及法律法规，负责全区粮食行政管理和指导；组织实施重要物资和应急储备物资收储、轮换和日常管理。牵头全区以工</w:t>
      </w:r>
      <w:bookmarkStart w:id="107" w:name="_GoBack"/>
      <w:bookmarkEnd w:id="107"/>
      <w:r>
        <w:rPr>
          <w:rFonts w:hint="eastAsia" w:ascii="仿宋" w:hAnsi="仿宋" w:eastAsia="仿宋" w:cs="Times New Roman"/>
          <w:color w:val="auto"/>
          <w:kern w:val="0"/>
          <w:sz w:val="32"/>
          <w:szCs w:val="32"/>
          <w:highlight w:val="none"/>
          <w:lang w:val="en-US" w:eastAsia="zh-CN" w:bidi="ar-SA"/>
        </w:rPr>
        <w:t>代赈工作。负责协调推进全区数据基础制度建设，统筹数据资源整合共享和开发利用，统筹推进数字五通桥、数字经济、数字社会规划和建设等工作。牵头全区营商环境建设工作。</w:t>
      </w:r>
    </w:p>
    <w:p>
      <w:pPr>
        <w:pStyle w:val="6"/>
        <w:rPr>
          <w:rFonts w:ascii="黑体" w:hAnsi="黑体" w:eastAsia="黑体"/>
          <w:b w:val="0"/>
        </w:rPr>
      </w:pPr>
      <w:r>
        <w:rPr>
          <w:rFonts w:hint="eastAsia" w:ascii="黑体" w:hAnsi="黑体" w:eastAsia="黑体"/>
          <w:b w:val="0"/>
        </w:rPr>
        <w:t>二、机构设置</w:t>
      </w:r>
      <w:bookmarkEnd w:id="21"/>
    </w:p>
    <w:bookmarkEnd w:id="19"/>
    <w:bookmarkEnd w:id="20"/>
    <w:p>
      <w:pPr>
        <w:ind w:firstLine="800" w:firstLineChars="250"/>
        <w:rPr>
          <w:rFonts w:hint="eastAsia" w:ascii="仿宋_GB2312" w:hAnsi="仿宋_GB2312" w:eastAsia="仿宋_GB2312" w:cs="仿宋_GB2312"/>
          <w:sz w:val="32"/>
          <w:szCs w:val="32"/>
        </w:rPr>
      </w:pPr>
      <w:bookmarkStart w:id="22" w:name="_Toc15396602"/>
      <w:bookmarkStart w:id="23" w:name="_Toc15377204"/>
      <w:bookmarkStart w:id="24" w:name="_Toc12037"/>
      <w:r>
        <w:rPr>
          <w:rFonts w:hint="eastAsia" w:ascii="仿宋_GB2312" w:hAnsi="仿宋_GB2312" w:eastAsia="仿宋_GB2312" w:cs="仿宋_GB2312"/>
          <w:sz w:val="32"/>
          <w:szCs w:val="32"/>
        </w:rPr>
        <w:t>乐山市五通桥区发展和改革局下属二级预算单位4个，其中行政单位</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个，参照公务员法管理的事业单位</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个，其他事业单位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p>
    <w:p>
      <w:pPr>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纳入乐山市五通桥区发展和改革局202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年度部门决算编制范围的二级预算单位包括：</w:t>
      </w:r>
    </w:p>
    <w:p>
      <w:pPr>
        <w:pStyle w:val="4"/>
        <w:numPr>
          <w:ilvl w:val="0"/>
          <w:numId w:val="0"/>
        </w:numPr>
        <w:adjustRightInd w:val="0"/>
        <w:snapToGrid w:val="0"/>
        <w:spacing w:before="93" w:line="600" w:lineRule="exact"/>
        <w:ind w:left="672" w:leftChars="0"/>
        <w:outlineLvl w:val="2"/>
        <w:rPr>
          <w:rFonts w:hint="eastAsia" w:ascii="仿宋_GB2312" w:hAnsi="仿宋_GB2312" w:eastAsia="仿宋_GB2312" w:cs="仿宋_GB2312"/>
          <w:color w:val="auto"/>
          <w:sz w:val="32"/>
          <w:szCs w:val="32"/>
          <w:highlight w:val="none"/>
          <w:lang w:val="en-US" w:eastAsia="zh-CN"/>
        </w:rPr>
      </w:pPr>
      <w:bookmarkStart w:id="25" w:name="_Toc15377432"/>
      <w:bookmarkStart w:id="26" w:name="_Toc15306275"/>
      <w:bookmarkStart w:id="27" w:name="_Toc15377201"/>
      <w:bookmarkStart w:id="28" w:name="_Toc15378448"/>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sz w:val="32"/>
          <w:szCs w:val="32"/>
          <w:highlight w:val="none"/>
        </w:rPr>
        <w:t>乐山市五通桥区发展和改革局</w:t>
      </w:r>
      <w:r>
        <w:rPr>
          <w:rFonts w:hint="eastAsia" w:ascii="仿宋_GB2312" w:hAnsi="仿宋_GB2312" w:eastAsia="仿宋_GB2312" w:cs="仿宋_GB2312"/>
          <w:sz w:val="32"/>
          <w:szCs w:val="32"/>
          <w:highlight w:val="none"/>
          <w:lang w:eastAsia="zh-CN"/>
        </w:rPr>
        <w:t>（本级）</w:t>
      </w:r>
    </w:p>
    <w:p>
      <w:pPr>
        <w:pStyle w:val="4"/>
        <w:numPr>
          <w:ilvl w:val="0"/>
          <w:numId w:val="0"/>
        </w:numPr>
        <w:adjustRightInd w:val="0"/>
        <w:snapToGrid w:val="0"/>
        <w:spacing w:before="93" w:line="600" w:lineRule="exact"/>
        <w:ind w:left="672" w:leftChars="0"/>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五通桥区价格认证中心</w:t>
      </w:r>
    </w:p>
    <w:p>
      <w:pPr>
        <w:pStyle w:val="4"/>
        <w:numPr>
          <w:ilvl w:val="0"/>
          <w:numId w:val="0"/>
        </w:numPr>
        <w:adjustRightInd w:val="0"/>
        <w:snapToGrid w:val="0"/>
        <w:spacing w:before="93" w:line="600" w:lineRule="exact"/>
        <w:ind w:left="672" w:leftChars="0"/>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3.</w:t>
      </w:r>
      <w:r>
        <w:rPr>
          <w:rFonts w:hint="eastAsia" w:ascii="仿宋_GB2312" w:hAnsi="仿宋_GB2312" w:eastAsia="仿宋_GB2312" w:cs="仿宋_GB2312"/>
          <w:b w:val="0"/>
          <w:color w:val="auto"/>
          <w:sz w:val="32"/>
          <w:szCs w:val="32"/>
          <w:highlight w:val="none"/>
          <w:lang w:eastAsia="zh-CN"/>
        </w:rPr>
        <w:t>五通桥区科技开发服务中心</w:t>
      </w:r>
    </w:p>
    <w:p>
      <w:pPr>
        <w:pStyle w:val="4"/>
        <w:numPr>
          <w:ilvl w:val="0"/>
          <w:numId w:val="0"/>
        </w:numPr>
        <w:adjustRightInd w:val="0"/>
        <w:snapToGrid w:val="0"/>
        <w:spacing w:before="93" w:line="600" w:lineRule="exact"/>
        <w:ind w:left="672" w:leftChars="0"/>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4.乐山市五通桥区粮食和物资储备中心</w:t>
      </w:r>
      <w:bookmarkEnd w:id="25"/>
      <w:bookmarkEnd w:id="26"/>
      <w:bookmarkEnd w:id="27"/>
      <w:bookmarkEnd w:id="28"/>
    </w:p>
    <w:p>
      <w:pPr>
        <w:widowControl/>
        <w:jc w:val="left"/>
        <w:rPr>
          <w:rStyle w:val="28"/>
          <w:rFonts w:hint="eastAsia" w:ascii="黑体" w:hAnsi="黑体" w:eastAsia="黑体" w:cstheme="minorBidi"/>
          <w:b w:val="0"/>
          <w:bCs/>
        </w:rPr>
      </w:pPr>
    </w:p>
    <w:p>
      <w:pPr>
        <w:pStyle w:val="5"/>
        <w:jc w:val="center"/>
        <w:rPr>
          <w:rStyle w:val="37"/>
          <w:rFonts w:hint="eastAsia" w:ascii="Times New Roman" w:hAnsi="Times New Roman" w:eastAsia="方正小标宋简体" w:cs="方正小标宋简体"/>
          <w:b w:val="0"/>
          <w:bCs w:val="0"/>
          <w:color w:val="auto"/>
          <w:highlight w:val="none"/>
        </w:rPr>
      </w:pPr>
      <w:r>
        <w:rPr>
          <w:rStyle w:val="37"/>
          <w:rFonts w:hint="eastAsia" w:ascii="Times New Roman" w:hAnsi="Times New Roman" w:eastAsia="方正小标宋简体" w:cs="方正小标宋简体"/>
          <w:b w:val="0"/>
          <w:bCs w:val="0"/>
          <w:color w:val="auto"/>
          <w:highlight w:val="none"/>
        </w:rPr>
        <w:t xml:space="preserve">第二部分 </w:t>
      </w:r>
      <w:r>
        <w:rPr>
          <w:rStyle w:val="37"/>
          <w:rFonts w:hint="eastAsia" w:ascii="Times New Roman" w:hAnsi="Times New Roman" w:eastAsia="方正小标宋简体" w:cs="方正小标宋简体"/>
          <w:b w:val="0"/>
          <w:bCs w:val="0"/>
          <w:color w:val="auto"/>
          <w:highlight w:val="none"/>
          <w:lang w:eastAsia="zh-CN"/>
        </w:rPr>
        <w:t>2024</w:t>
      </w:r>
      <w:r>
        <w:rPr>
          <w:rStyle w:val="37"/>
          <w:rFonts w:hint="eastAsia" w:ascii="Times New Roman" w:hAnsi="Times New Roman" w:eastAsia="方正小标宋简体" w:cs="方正小标宋简体"/>
          <w:b w:val="0"/>
          <w:bCs w:val="0"/>
          <w:color w:val="auto"/>
          <w:highlight w:val="none"/>
        </w:rPr>
        <w:t>年度单位决算情况说明</w:t>
      </w:r>
      <w:bookmarkEnd w:id="22"/>
      <w:bookmarkEnd w:id="23"/>
      <w:bookmarkEnd w:id="24"/>
    </w:p>
    <w:p/>
    <w:p>
      <w:pPr>
        <w:pStyle w:val="27"/>
        <w:numPr>
          <w:ilvl w:val="0"/>
          <w:numId w:val="2"/>
        </w:numPr>
        <w:spacing w:line="600" w:lineRule="exact"/>
        <w:ind w:firstLineChars="0"/>
        <w:outlineLvl w:val="1"/>
        <w:rPr>
          <w:rFonts w:hint="eastAsia" w:ascii="仿宋" w:hAnsi="仿宋" w:eastAsia="仿宋"/>
          <w:sz w:val="32"/>
          <w:szCs w:val="32"/>
          <w:lang w:val="en-US" w:eastAsia="zh-CN"/>
        </w:rPr>
      </w:pPr>
      <w:bookmarkStart w:id="29" w:name="_Toc24335"/>
      <w:bookmarkStart w:id="30" w:name="_Toc15377205"/>
      <w:bookmarkStart w:id="31" w:name="_Toc15396603"/>
      <w:r>
        <w:rPr>
          <w:rFonts w:hint="eastAsia" w:ascii="黑体" w:hAnsi="黑体" w:eastAsia="黑体"/>
          <w:sz w:val="32"/>
          <w:szCs w:val="32"/>
        </w:rPr>
        <w:t>收</w:t>
      </w:r>
      <w:r>
        <w:rPr>
          <w:rStyle w:val="29"/>
          <w:rFonts w:hint="eastAsia" w:ascii="黑体" w:hAnsi="黑体" w:eastAsia="黑体"/>
          <w:b w:val="0"/>
        </w:rPr>
        <w:t>入支出决算总体情况说明</w:t>
      </w:r>
      <w:bookmarkEnd w:id="29"/>
      <w:bookmarkEnd w:id="30"/>
      <w:bookmarkEnd w:id="31"/>
    </w:p>
    <w:p>
      <w:pPr>
        <w:pStyle w:val="27"/>
        <w:numPr>
          <w:ilvl w:val="0"/>
          <w:numId w:val="0"/>
        </w:numPr>
        <w:spacing w:line="600" w:lineRule="exact"/>
        <w:ind w:left="640" w:leftChars="0" w:firstLine="640" w:firstLineChars="200"/>
        <w:outlineLvl w:val="1"/>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年度收、支总计均为4963.67万元。与</w:t>
      </w:r>
      <w:r>
        <w:rPr>
          <w:rFonts w:hint="eastAsia" w:ascii="仿宋_GB2312" w:hAnsi="仿宋_GB2312" w:eastAsia="仿宋_GB2312" w:cs="仿宋_GB2312"/>
          <w:b w:val="0"/>
          <w:bCs w:val="0"/>
          <w:sz w:val="32"/>
          <w:szCs w:val="32"/>
          <w:lang w:eastAsia="zh-CN"/>
        </w:rPr>
        <w:t>2023</w:t>
      </w:r>
      <w:r>
        <w:rPr>
          <w:rFonts w:hint="eastAsia" w:ascii="仿宋_GB2312" w:hAnsi="仿宋_GB2312" w:eastAsia="仿宋_GB2312" w:cs="仿宋_GB2312"/>
          <w:b w:val="0"/>
          <w:bCs w:val="0"/>
          <w:sz w:val="32"/>
          <w:szCs w:val="32"/>
        </w:rPr>
        <w:t>年度2405.67</w:t>
      </w:r>
      <w:r>
        <w:rPr>
          <w:rFonts w:hint="eastAsia" w:ascii="仿宋_GB2312" w:hAnsi="仿宋_GB2312" w:eastAsia="仿宋_GB2312" w:cs="仿宋_GB2312"/>
          <w:b w:val="0"/>
          <w:bCs w:val="0"/>
          <w:sz w:val="32"/>
          <w:szCs w:val="32"/>
          <w:lang w:val="en-US" w:eastAsia="zh-CN"/>
        </w:rPr>
        <w:t>万元</w:t>
      </w:r>
      <w:r>
        <w:rPr>
          <w:rFonts w:hint="eastAsia" w:ascii="仿宋_GB2312" w:hAnsi="仿宋_GB2312" w:eastAsia="仿宋_GB2312" w:cs="仿宋_GB2312"/>
          <w:b w:val="0"/>
          <w:bCs w:val="0"/>
          <w:sz w:val="32"/>
          <w:szCs w:val="32"/>
        </w:rPr>
        <w:t>相比，收、支总计各</w:t>
      </w:r>
      <w:r>
        <w:rPr>
          <w:rFonts w:hint="eastAsia" w:ascii="仿宋_GB2312" w:hAnsi="仿宋_GB2312" w:eastAsia="仿宋_GB2312" w:cs="仿宋_GB2312"/>
          <w:b w:val="0"/>
          <w:bCs w:val="0"/>
          <w:sz w:val="32"/>
          <w:szCs w:val="32"/>
          <w:lang w:val="en-US" w:eastAsia="zh-CN"/>
        </w:rPr>
        <w:t>增加2558</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增加</w:t>
      </w:r>
      <w:r>
        <w:rPr>
          <w:rFonts w:hint="eastAsia" w:ascii="仿宋_GB2312" w:hAnsi="仿宋_GB2312" w:eastAsia="仿宋_GB2312" w:cs="仿宋_GB2312"/>
          <w:b w:val="0"/>
          <w:bCs w:val="0"/>
          <w:sz w:val="32"/>
          <w:szCs w:val="32"/>
          <w:lang w:val="en-US" w:eastAsia="zh-CN"/>
        </w:rPr>
        <w:t>106.3</w:t>
      </w:r>
      <w:r>
        <w:rPr>
          <w:rFonts w:hint="eastAsia" w:ascii="仿宋_GB2312" w:hAnsi="仿宋_GB2312" w:eastAsia="仿宋_GB2312" w:cs="仿宋_GB2312"/>
          <w:b w:val="0"/>
          <w:bCs w:val="0"/>
          <w:sz w:val="32"/>
          <w:szCs w:val="32"/>
        </w:rPr>
        <w:t>%。主要变动原因是一般公共预算财政拨款收入</w:t>
      </w:r>
      <w:r>
        <w:rPr>
          <w:rFonts w:hint="eastAsia" w:ascii="仿宋_GB2312" w:hAnsi="仿宋_GB2312" w:eastAsia="仿宋_GB2312" w:cs="仿宋_GB2312"/>
          <w:b w:val="0"/>
          <w:bCs w:val="0"/>
          <w:sz w:val="32"/>
          <w:szCs w:val="32"/>
          <w:lang w:eastAsia="zh-CN"/>
        </w:rPr>
        <w:t>减少</w:t>
      </w:r>
      <w:r>
        <w:rPr>
          <w:rFonts w:hint="eastAsia" w:ascii="仿宋_GB2312" w:hAnsi="仿宋_GB2312" w:eastAsia="仿宋_GB2312" w:cs="仿宋_GB2312"/>
          <w:b w:val="0"/>
          <w:bCs w:val="0"/>
          <w:sz w:val="32"/>
          <w:szCs w:val="32"/>
          <w:lang w:val="en-US" w:eastAsia="zh-CN"/>
        </w:rPr>
        <w:t>1225.23万元、政府性基金预算财政拨款收入增加3804.21万元、其他收入减少4.35万元、年初结转和结余减少16.63万元；</w:t>
      </w:r>
      <w:r>
        <w:rPr>
          <w:rFonts w:hint="eastAsia" w:ascii="仿宋_GB2312" w:hAnsi="仿宋_GB2312" w:eastAsia="仿宋_GB2312" w:cs="仿宋_GB2312"/>
          <w:b w:val="0"/>
          <w:bCs w:val="0"/>
          <w:color w:val="000000"/>
          <w:kern w:val="2"/>
          <w:sz w:val="32"/>
          <w:lang w:val="zh-CN"/>
        </w:rPr>
        <w:t>一般公共服务支出增加</w:t>
      </w:r>
      <w:r>
        <w:rPr>
          <w:rFonts w:hint="eastAsia" w:ascii="仿宋_GB2312" w:hAnsi="仿宋_GB2312" w:eastAsia="仿宋_GB2312" w:cs="仿宋_GB2312"/>
          <w:b w:val="0"/>
          <w:bCs w:val="0"/>
          <w:color w:val="000000"/>
          <w:kern w:val="2"/>
          <w:sz w:val="32"/>
          <w:lang w:val="en-US" w:eastAsia="zh-CN"/>
        </w:rPr>
        <w:t>242.1</w:t>
      </w:r>
      <w:r>
        <w:rPr>
          <w:rFonts w:hint="eastAsia" w:ascii="仿宋_GB2312" w:hAnsi="仿宋_GB2312" w:eastAsia="仿宋_GB2312" w:cs="仿宋_GB2312"/>
          <w:b w:val="0"/>
          <w:bCs w:val="0"/>
          <w:color w:val="000000"/>
          <w:kern w:val="2"/>
          <w:sz w:val="32"/>
          <w:lang w:val="zh-CN"/>
        </w:rPr>
        <w:t>万元、科学技术支出</w:t>
      </w:r>
      <w:r>
        <w:rPr>
          <w:rFonts w:hint="eastAsia" w:ascii="仿宋_GB2312" w:hAnsi="仿宋_GB2312" w:eastAsia="仿宋_GB2312" w:cs="仿宋_GB2312"/>
          <w:b w:val="0"/>
          <w:bCs w:val="0"/>
          <w:color w:val="000000"/>
          <w:kern w:val="2"/>
          <w:sz w:val="32"/>
          <w:lang w:val="en-US" w:eastAsia="zh-CN"/>
        </w:rPr>
        <w:t>减少963.01万元、</w:t>
      </w:r>
      <w:r>
        <w:rPr>
          <w:rFonts w:hint="eastAsia" w:ascii="仿宋_GB2312" w:hAnsi="仿宋_GB2312" w:eastAsia="仿宋_GB2312" w:cs="仿宋_GB2312"/>
          <w:b w:val="0"/>
          <w:bCs w:val="0"/>
          <w:color w:val="000000"/>
          <w:kern w:val="2"/>
          <w:sz w:val="32"/>
          <w:lang w:val="zh-CN"/>
        </w:rPr>
        <w:t>社会保障和就业支出增加33.86万元、卫生健康支出增加1.81万元、</w:t>
      </w:r>
      <w:r>
        <w:rPr>
          <w:rFonts w:hint="eastAsia" w:ascii="仿宋_GB2312" w:hAnsi="仿宋_GB2312" w:eastAsia="仿宋_GB2312" w:cs="仿宋_GB2312"/>
          <w:b w:val="0"/>
          <w:bCs w:val="0"/>
          <w:color w:val="000000"/>
          <w:kern w:val="2"/>
          <w:sz w:val="32"/>
          <w:lang w:val="en-US" w:eastAsia="zh-CN"/>
        </w:rPr>
        <w:t>城乡社区支出增加33.21万元、农林水支出减少560.68万元、资源勘探工业信息等支出增加3771万元、</w:t>
      </w:r>
      <w:r>
        <w:rPr>
          <w:rFonts w:hint="eastAsia" w:ascii="仿宋_GB2312" w:hAnsi="仿宋_GB2312" w:eastAsia="仿宋_GB2312" w:cs="仿宋_GB2312"/>
          <w:b w:val="0"/>
          <w:bCs w:val="0"/>
          <w:color w:val="000000"/>
          <w:kern w:val="2"/>
          <w:sz w:val="32"/>
          <w:lang w:val="zh-CN"/>
        </w:rPr>
        <w:t>住房保障支出减少</w:t>
      </w:r>
      <w:r>
        <w:rPr>
          <w:rFonts w:hint="eastAsia" w:ascii="仿宋_GB2312" w:hAnsi="仿宋_GB2312" w:eastAsia="仿宋_GB2312" w:cs="仿宋_GB2312"/>
          <w:b w:val="0"/>
          <w:bCs w:val="0"/>
          <w:color w:val="000000"/>
          <w:kern w:val="2"/>
          <w:sz w:val="32"/>
          <w:lang w:val="en-US" w:eastAsia="zh-CN"/>
        </w:rPr>
        <w:t>0.89</w:t>
      </w:r>
      <w:r>
        <w:rPr>
          <w:rFonts w:hint="eastAsia" w:ascii="仿宋_GB2312" w:hAnsi="仿宋_GB2312" w:eastAsia="仿宋_GB2312" w:cs="仿宋_GB2312"/>
          <w:b w:val="0"/>
          <w:bCs w:val="0"/>
          <w:color w:val="000000"/>
          <w:kern w:val="2"/>
          <w:sz w:val="32"/>
          <w:lang w:val="zh-CN"/>
        </w:rPr>
        <w:t>万元、年末结转和结余增加</w:t>
      </w:r>
      <w:r>
        <w:rPr>
          <w:rFonts w:hint="eastAsia" w:ascii="仿宋_GB2312" w:hAnsi="仿宋_GB2312" w:eastAsia="仿宋_GB2312" w:cs="仿宋_GB2312"/>
          <w:b w:val="0"/>
          <w:bCs w:val="0"/>
          <w:color w:val="000000"/>
          <w:kern w:val="2"/>
          <w:sz w:val="32"/>
          <w:lang w:val="en-US" w:eastAsia="zh-CN"/>
        </w:rPr>
        <w:t>0.59万元</w:t>
      </w:r>
      <w:r>
        <w:rPr>
          <w:rFonts w:hint="eastAsia" w:ascii="仿宋_GB2312" w:hAnsi="仿宋_GB2312" w:eastAsia="仿宋_GB2312" w:cs="仿宋_GB2312"/>
          <w:b w:val="0"/>
          <w:bCs w:val="0"/>
          <w:color w:val="000000"/>
          <w:kern w:val="2"/>
          <w:sz w:val="32"/>
          <w:lang w:val="zh-CN"/>
        </w:rPr>
        <w:t>所致。</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spacing w:line="240" w:lineRule="auto"/>
        <w:ind w:firstLine="420" w:firstLineChars="200"/>
        <w:jc w:val="left"/>
        <w:rPr>
          <w:rFonts w:hint="eastAsia" w:eastAsia="宋体"/>
          <w:lang w:eastAsia="zh-CN"/>
        </w:rPr>
      </w:pPr>
      <w:r>
        <w:rPr>
          <w:rFonts w:hint="eastAsia" w:eastAsia="宋体"/>
          <w:lang w:eastAsia="zh-CN"/>
        </w:rPr>
        <w:drawing>
          <wp:inline distT="0" distB="0" distL="114300" distR="114300">
            <wp:extent cx="4584065" cy="2889250"/>
            <wp:effectExtent l="0" t="0" r="6985" b="6350"/>
            <wp:docPr id="8" name="图片 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
                    <pic:cNvPicPr>
                      <a:picLocks noChangeAspect="1"/>
                    </pic:cNvPicPr>
                  </pic:nvPicPr>
                  <pic:blipFill>
                    <a:blip r:embed="rId8"/>
                    <a:stretch>
                      <a:fillRect/>
                    </a:stretch>
                  </pic:blipFill>
                  <pic:spPr>
                    <a:xfrm>
                      <a:off x="0" y="0"/>
                      <a:ext cx="4584065" cy="2889250"/>
                    </a:xfrm>
                    <a:prstGeom prst="rect">
                      <a:avLst/>
                    </a:prstGeom>
                  </pic:spPr>
                </pic:pic>
              </a:graphicData>
            </a:graphic>
          </wp:inline>
        </w:drawing>
      </w:r>
    </w:p>
    <w:p>
      <w:pPr>
        <w:pStyle w:val="27"/>
        <w:numPr>
          <w:ilvl w:val="0"/>
          <w:numId w:val="2"/>
        </w:numPr>
        <w:spacing w:line="600" w:lineRule="exact"/>
        <w:ind w:firstLineChars="0"/>
        <w:outlineLvl w:val="1"/>
        <w:rPr>
          <w:rStyle w:val="29"/>
          <w:rFonts w:ascii="黑体" w:hAnsi="黑体" w:eastAsia="黑体"/>
          <w:b w:val="0"/>
        </w:rPr>
      </w:pPr>
      <w:bookmarkStart w:id="32" w:name="_Toc6241"/>
      <w:bookmarkStart w:id="33" w:name="_Toc15396604"/>
      <w:bookmarkStart w:id="34" w:name="_Toc15377206"/>
      <w:r>
        <w:rPr>
          <w:rFonts w:hint="eastAsia" w:ascii="黑体" w:hAnsi="黑体" w:eastAsia="黑体"/>
          <w:sz w:val="32"/>
          <w:szCs w:val="32"/>
        </w:rPr>
        <w:t>收</w:t>
      </w:r>
      <w:r>
        <w:rPr>
          <w:rStyle w:val="29"/>
          <w:rFonts w:hint="eastAsia" w:ascii="黑体" w:hAnsi="黑体" w:eastAsia="黑体"/>
          <w:b w:val="0"/>
        </w:rPr>
        <w:t>入决算情况说明</w:t>
      </w:r>
      <w:bookmarkEnd w:id="32"/>
      <w:bookmarkEnd w:id="33"/>
      <w:bookmarkEnd w:id="34"/>
    </w:p>
    <w:p>
      <w:pPr>
        <w:spacing w:line="600" w:lineRule="exact"/>
        <w:ind w:firstLine="640" w:firstLineChars="200"/>
        <w:outlineLvl w:val="1"/>
        <w:rPr>
          <w:rFonts w:hint="eastAsia" w:ascii="仿宋_GB2312" w:hAnsi="仿宋_GB2312" w:eastAsia="仿宋_GB2312" w:cs="仿宋_GB2312"/>
          <w:b w:val="0"/>
          <w:bCs w:val="0"/>
          <w:sz w:val="32"/>
          <w:szCs w:val="32"/>
          <w:lang w:val="en-US" w:eastAsia="zh-CN"/>
        </w:rPr>
      </w:pPr>
      <w:bookmarkStart w:id="35" w:name="_Toc3787"/>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年度本年收入合计4961.64万元，其中：一般公共预算财政拨款收入997.98万元，占</w:t>
      </w:r>
      <w:r>
        <w:rPr>
          <w:rFonts w:hint="eastAsia" w:ascii="仿宋_GB2312" w:hAnsi="仿宋_GB2312" w:eastAsia="仿宋_GB2312" w:cs="仿宋_GB2312"/>
          <w:b w:val="0"/>
          <w:bCs w:val="0"/>
          <w:sz w:val="32"/>
          <w:szCs w:val="32"/>
          <w:lang w:val="en-US" w:eastAsia="zh-CN"/>
        </w:rPr>
        <w:t>20.1</w:t>
      </w:r>
      <w:r>
        <w:rPr>
          <w:rFonts w:hint="eastAsia" w:ascii="仿宋_GB2312" w:hAnsi="仿宋_GB2312" w:eastAsia="仿宋_GB2312" w:cs="仿宋_GB2312"/>
          <w:b w:val="0"/>
          <w:bCs w:val="0"/>
          <w:sz w:val="32"/>
          <w:szCs w:val="32"/>
        </w:rPr>
        <w:t>%；政府性基金预算财政拨款收入3962.81万元，占</w:t>
      </w:r>
      <w:r>
        <w:rPr>
          <w:rFonts w:hint="eastAsia" w:ascii="仿宋_GB2312" w:hAnsi="仿宋_GB2312" w:eastAsia="仿宋_GB2312" w:cs="仿宋_GB2312"/>
          <w:b w:val="0"/>
          <w:bCs w:val="0"/>
          <w:sz w:val="32"/>
          <w:szCs w:val="32"/>
          <w:lang w:val="en-US" w:eastAsia="zh-CN"/>
        </w:rPr>
        <w:t>79.9</w:t>
      </w:r>
      <w:r>
        <w:rPr>
          <w:rFonts w:hint="eastAsia" w:ascii="仿宋_GB2312" w:hAnsi="仿宋_GB2312" w:eastAsia="仿宋_GB2312" w:cs="仿宋_GB2312"/>
          <w:b w:val="0"/>
          <w:bCs w:val="0"/>
          <w:sz w:val="32"/>
          <w:szCs w:val="32"/>
        </w:rPr>
        <w:t>%；其他收入0.85万元，占</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w:t>
      </w:r>
      <w:bookmarkEnd w:id="35"/>
      <w:r>
        <w:rPr>
          <w:rFonts w:hint="eastAsia" w:ascii="仿宋_GB2312" w:hAnsi="仿宋_GB2312" w:eastAsia="仿宋_GB2312" w:cs="仿宋_GB2312"/>
          <w:b w:val="0"/>
          <w:bCs w:val="0"/>
          <w:sz w:val="32"/>
          <w:szCs w:val="32"/>
          <w:lang w:val="en-US"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图2：收入决算结构图</w:t>
      </w:r>
    </w:p>
    <w:p>
      <w:pPr>
        <w:pStyle w:val="2"/>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864735" cy="3029585"/>
            <wp:effectExtent l="0" t="0" r="12065" b="18415"/>
            <wp:docPr id="9" name="图片 9"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2"/>
                    <pic:cNvPicPr>
                      <a:picLocks noChangeAspect="1"/>
                    </pic:cNvPicPr>
                  </pic:nvPicPr>
                  <pic:blipFill>
                    <a:blip r:embed="rId9"/>
                    <a:stretch>
                      <a:fillRect/>
                    </a:stretch>
                  </pic:blipFill>
                  <pic:spPr>
                    <a:xfrm>
                      <a:off x="0" y="0"/>
                      <a:ext cx="4864735" cy="3029585"/>
                    </a:xfrm>
                    <a:prstGeom prst="rect">
                      <a:avLst/>
                    </a:prstGeom>
                  </pic:spPr>
                </pic:pic>
              </a:graphicData>
            </a:graphic>
          </wp:inline>
        </w:drawing>
      </w:r>
    </w:p>
    <w:p>
      <w:pPr>
        <w:pStyle w:val="27"/>
        <w:numPr>
          <w:ilvl w:val="0"/>
          <w:numId w:val="2"/>
        </w:numPr>
        <w:spacing w:line="600" w:lineRule="exact"/>
        <w:ind w:firstLineChars="0"/>
        <w:outlineLvl w:val="1"/>
        <w:rPr>
          <w:rStyle w:val="29"/>
          <w:rFonts w:ascii="黑体" w:hAnsi="黑体" w:eastAsia="黑体"/>
          <w:b w:val="0"/>
        </w:rPr>
      </w:pPr>
      <w:bookmarkStart w:id="36" w:name="_Toc31079"/>
      <w:bookmarkStart w:id="37" w:name="_Toc15396605"/>
      <w:bookmarkStart w:id="38" w:name="_Toc15377207"/>
      <w:r>
        <w:rPr>
          <w:rFonts w:hint="eastAsia" w:ascii="黑体" w:hAnsi="黑体" w:eastAsia="黑体"/>
          <w:sz w:val="32"/>
          <w:szCs w:val="32"/>
        </w:rPr>
        <w:t>支</w:t>
      </w:r>
      <w:r>
        <w:rPr>
          <w:rStyle w:val="29"/>
          <w:rFonts w:hint="eastAsia" w:ascii="黑体" w:hAnsi="黑体" w:eastAsia="黑体"/>
          <w:b w:val="0"/>
        </w:rPr>
        <w:t>出决算情况说明</w:t>
      </w:r>
      <w:bookmarkEnd w:id="36"/>
      <w:bookmarkEnd w:id="37"/>
      <w:bookmarkEnd w:id="38"/>
    </w:p>
    <w:p>
      <w:pPr>
        <w:spacing w:line="600" w:lineRule="exact"/>
        <w:ind w:firstLine="640" w:firstLineChars="200"/>
        <w:outlineLvl w:val="1"/>
        <w:rPr>
          <w:rFonts w:hint="eastAsia" w:ascii="仿宋_GB2312" w:hAnsi="仿宋_GB2312" w:eastAsia="仿宋_GB2312" w:cs="仿宋_GB2312"/>
          <w:b w:val="0"/>
          <w:bCs w:val="0"/>
          <w:sz w:val="32"/>
          <w:szCs w:val="32"/>
          <w:shd w:val="pct10" w:color="auto" w:fill="FFFFFF"/>
          <w:lang w:val="en-US" w:eastAsia="zh-CN"/>
        </w:rPr>
      </w:pPr>
      <w:bookmarkStart w:id="39" w:name="_Toc28789"/>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年度本年支出合计4,961.05万元，其中：基本支出366.38万元，占</w:t>
      </w:r>
      <w:r>
        <w:rPr>
          <w:rFonts w:hint="eastAsia" w:ascii="仿宋_GB2312" w:hAnsi="仿宋_GB2312" w:eastAsia="仿宋_GB2312" w:cs="仿宋_GB2312"/>
          <w:b w:val="0"/>
          <w:bCs w:val="0"/>
          <w:sz w:val="32"/>
          <w:szCs w:val="32"/>
          <w:lang w:val="en-US" w:eastAsia="zh-CN"/>
        </w:rPr>
        <w:t>7.4</w:t>
      </w:r>
      <w:r>
        <w:rPr>
          <w:rFonts w:hint="eastAsia" w:ascii="仿宋_GB2312" w:hAnsi="仿宋_GB2312" w:eastAsia="仿宋_GB2312" w:cs="仿宋_GB2312"/>
          <w:b w:val="0"/>
          <w:bCs w:val="0"/>
          <w:sz w:val="32"/>
          <w:szCs w:val="32"/>
        </w:rPr>
        <w:t>%；项目支出4,594.67万元，占</w:t>
      </w:r>
      <w:r>
        <w:rPr>
          <w:rFonts w:hint="eastAsia" w:ascii="仿宋_GB2312" w:hAnsi="仿宋_GB2312" w:eastAsia="仿宋_GB2312" w:cs="仿宋_GB2312"/>
          <w:b w:val="0"/>
          <w:bCs w:val="0"/>
          <w:sz w:val="32"/>
          <w:szCs w:val="32"/>
          <w:lang w:val="en-US" w:eastAsia="zh-CN"/>
        </w:rPr>
        <w:t>92.6</w:t>
      </w:r>
      <w:r>
        <w:rPr>
          <w:rFonts w:hint="eastAsia" w:ascii="仿宋_GB2312" w:hAnsi="仿宋_GB2312" w:eastAsia="仿宋_GB2312" w:cs="仿宋_GB2312"/>
          <w:b w:val="0"/>
          <w:bCs w:val="0"/>
          <w:sz w:val="32"/>
          <w:szCs w:val="32"/>
        </w:rPr>
        <w:t>%</w:t>
      </w:r>
      <w:bookmarkEnd w:id="39"/>
      <w:r>
        <w:rPr>
          <w:rFonts w:hint="eastAsia" w:ascii="仿宋_GB2312" w:hAnsi="仿宋_GB2312" w:eastAsia="仿宋_GB2312" w:cs="仿宋_GB2312"/>
          <w:b w:val="0"/>
          <w:bCs w:val="0"/>
          <w:sz w:val="32"/>
          <w:szCs w:val="32"/>
          <w:lang w:val="en-US"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图3：支出决算结构图</w:t>
      </w:r>
    </w:p>
    <w:p>
      <w:pPr>
        <w:pStyle w:val="2"/>
        <w:rPr>
          <w:rFonts w:hint="eastAsia"/>
        </w:rPr>
      </w:pPr>
    </w:p>
    <w:p>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84065" cy="2889250"/>
            <wp:effectExtent l="0" t="0" r="6985" b="6350"/>
            <wp:docPr id="1" name="图片 1"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3"/>
                    <pic:cNvPicPr>
                      <a:picLocks noChangeAspect="1"/>
                    </pic:cNvPicPr>
                  </pic:nvPicPr>
                  <pic:blipFill>
                    <a:blip r:embed="rId10"/>
                    <a:stretch>
                      <a:fillRect/>
                    </a:stretch>
                  </pic:blipFill>
                  <pic:spPr>
                    <a:xfrm>
                      <a:off x="0" y="0"/>
                      <a:ext cx="4584065" cy="2889250"/>
                    </a:xfrm>
                    <a:prstGeom prst="rect">
                      <a:avLst/>
                    </a:prstGeom>
                  </pic:spPr>
                </pic:pic>
              </a:graphicData>
            </a:graphic>
          </wp:inline>
        </w:drawing>
      </w:r>
    </w:p>
    <w:p>
      <w:pPr>
        <w:pStyle w:val="4"/>
      </w:pPr>
    </w:p>
    <w:p>
      <w:pPr>
        <w:numPr>
          <w:ilvl w:val="0"/>
          <w:numId w:val="2"/>
        </w:numPr>
        <w:spacing w:line="600" w:lineRule="exact"/>
        <w:ind w:left="1360" w:leftChars="0" w:hanging="720" w:firstLineChars="0"/>
        <w:outlineLvl w:val="1"/>
        <w:rPr>
          <w:rStyle w:val="29"/>
          <w:rFonts w:hint="eastAsia" w:ascii="黑体" w:hAnsi="黑体" w:eastAsia="黑体"/>
          <w:b w:val="0"/>
        </w:rPr>
      </w:pPr>
      <w:bookmarkStart w:id="40" w:name="_Toc9657"/>
      <w:bookmarkStart w:id="41" w:name="_Toc15396606"/>
      <w:bookmarkStart w:id="42" w:name="_Toc15377208"/>
      <w:r>
        <w:rPr>
          <w:rFonts w:hint="eastAsia" w:ascii="黑体" w:hAnsi="黑体" w:eastAsia="黑体"/>
          <w:sz w:val="32"/>
          <w:szCs w:val="32"/>
        </w:rPr>
        <w:t>财</w:t>
      </w:r>
      <w:r>
        <w:rPr>
          <w:rStyle w:val="29"/>
          <w:rFonts w:hint="eastAsia" w:ascii="黑体" w:hAnsi="黑体" w:eastAsia="黑体"/>
          <w:b w:val="0"/>
        </w:rPr>
        <w:t>政拨款收入支出决算总体情况说明</w:t>
      </w:r>
      <w:bookmarkEnd w:id="40"/>
      <w:bookmarkEnd w:id="41"/>
      <w:bookmarkEnd w:id="42"/>
    </w:p>
    <w:p>
      <w:pPr>
        <w:numPr>
          <w:ilvl w:val="0"/>
          <w:numId w:val="0"/>
        </w:numPr>
        <w:spacing w:line="60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年度财政拨款收、支总计均为</w:t>
      </w:r>
      <w:r>
        <w:rPr>
          <w:rFonts w:hint="eastAsia" w:ascii="仿宋_GB2312" w:hAnsi="仿宋_GB2312" w:eastAsia="仿宋_GB2312" w:cs="仿宋_GB2312"/>
          <w:b/>
          <w:sz w:val="32"/>
          <w:szCs w:val="32"/>
        </w:rPr>
        <w:t>4960.79</w:t>
      </w:r>
      <w:r>
        <w:rPr>
          <w:rFonts w:hint="eastAsia" w:ascii="仿宋_GB2312" w:hAnsi="仿宋_GB2312" w:eastAsia="仿宋_GB2312" w:cs="仿宋_GB2312"/>
          <w:sz w:val="32"/>
          <w:szCs w:val="32"/>
        </w:rPr>
        <w:t>万元。与</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w:t>
      </w:r>
      <w:r>
        <w:rPr>
          <w:rFonts w:hint="eastAsia" w:ascii="仿宋_GB2312" w:hAnsi="仿宋_GB2312" w:eastAsia="仿宋_GB2312" w:cs="仿宋_GB2312"/>
          <w:b/>
          <w:sz w:val="32"/>
          <w:szCs w:val="32"/>
        </w:rPr>
        <w:t>2381.81</w:t>
      </w:r>
      <w:r>
        <w:rPr>
          <w:rFonts w:hint="eastAsia" w:ascii="仿宋_GB2312" w:hAnsi="仿宋_GB2312" w:eastAsia="仿宋_GB2312" w:cs="仿宋_GB2312"/>
          <w:sz w:val="32"/>
          <w:szCs w:val="32"/>
        </w:rPr>
        <w:t>相比，财政拨款收、支总计各</w:t>
      </w:r>
      <w:r>
        <w:rPr>
          <w:rFonts w:hint="eastAsia" w:ascii="仿宋_GB2312" w:hAnsi="仿宋_GB2312" w:eastAsia="仿宋_GB2312" w:cs="仿宋_GB2312"/>
          <w:sz w:val="32"/>
          <w:szCs w:val="32"/>
          <w:lang w:eastAsia="zh-CN"/>
        </w:rPr>
        <w:t>增加2578.98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108.3</w:t>
      </w:r>
      <w:r>
        <w:rPr>
          <w:rFonts w:hint="eastAsia" w:ascii="仿宋_GB2312" w:hAnsi="仿宋_GB2312" w:eastAsia="仿宋_GB2312" w:cs="仿宋_GB2312"/>
          <w:sz w:val="32"/>
          <w:szCs w:val="32"/>
        </w:rPr>
        <w:t>%。主要变动原因是一般公共预算财政拨款收入</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1225.23万元、政府性基金预算财政拨款收入增加3804.21万元；</w:t>
      </w:r>
      <w:r>
        <w:rPr>
          <w:rFonts w:hint="eastAsia" w:ascii="仿宋_GB2312" w:hAnsi="仿宋_GB2312" w:eastAsia="仿宋_GB2312" w:cs="仿宋_GB2312"/>
          <w:color w:val="000000"/>
          <w:kern w:val="2"/>
          <w:sz w:val="32"/>
          <w:lang w:val="zh-CN"/>
        </w:rPr>
        <w:t>一般公共服务支出增加</w:t>
      </w:r>
      <w:r>
        <w:rPr>
          <w:rFonts w:hint="eastAsia" w:ascii="仿宋_GB2312" w:hAnsi="仿宋_GB2312" w:eastAsia="仿宋_GB2312" w:cs="仿宋_GB2312"/>
          <w:color w:val="000000"/>
          <w:kern w:val="2"/>
          <w:sz w:val="32"/>
          <w:lang w:val="en-US" w:eastAsia="zh-CN"/>
        </w:rPr>
        <w:t>263.67</w:t>
      </w:r>
      <w:r>
        <w:rPr>
          <w:rFonts w:hint="eastAsia" w:ascii="仿宋_GB2312" w:hAnsi="仿宋_GB2312" w:eastAsia="仿宋_GB2312" w:cs="仿宋_GB2312"/>
          <w:color w:val="000000"/>
          <w:kern w:val="2"/>
          <w:sz w:val="32"/>
          <w:lang w:val="zh-CN"/>
        </w:rPr>
        <w:t>万元、科学技术支出</w:t>
      </w:r>
      <w:r>
        <w:rPr>
          <w:rFonts w:hint="eastAsia" w:ascii="仿宋_GB2312" w:hAnsi="仿宋_GB2312" w:eastAsia="仿宋_GB2312" w:cs="仿宋_GB2312"/>
          <w:color w:val="000000"/>
          <w:kern w:val="2"/>
          <w:sz w:val="32"/>
          <w:lang w:val="en-US" w:eastAsia="zh-CN"/>
        </w:rPr>
        <w:t>减少963万元、</w:t>
      </w:r>
      <w:r>
        <w:rPr>
          <w:rFonts w:hint="eastAsia" w:ascii="仿宋_GB2312" w:hAnsi="仿宋_GB2312" w:eastAsia="仿宋_GB2312" w:cs="仿宋_GB2312"/>
          <w:color w:val="000000"/>
          <w:kern w:val="2"/>
          <w:sz w:val="32"/>
          <w:lang w:val="zh-CN"/>
        </w:rPr>
        <w:t>社会保障和就业支出增加33.86万元、卫生健康支出增加1.81万元、</w:t>
      </w:r>
      <w:r>
        <w:rPr>
          <w:rFonts w:hint="eastAsia" w:ascii="仿宋_GB2312" w:hAnsi="仿宋_GB2312" w:eastAsia="仿宋_GB2312" w:cs="仿宋_GB2312"/>
          <w:color w:val="000000"/>
          <w:kern w:val="2"/>
          <w:sz w:val="32"/>
          <w:lang w:val="en-US" w:eastAsia="zh-CN"/>
        </w:rPr>
        <w:t>城乡社区支出增加33.21万元、农林水支出减少560.68万元、资源勘探工业信息等支出增加3771万元、</w:t>
      </w:r>
      <w:r>
        <w:rPr>
          <w:rFonts w:hint="eastAsia" w:ascii="仿宋_GB2312" w:hAnsi="仿宋_GB2312" w:eastAsia="仿宋_GB2312" w:cs="仿宋_GB2312"/>
          <w:color w:val="000000"/>
          <w:kern w:val="2"/>
          <w:sz w:val="32"/>
          <w:lang w:val="zh-CN"/>
        </w:rPr>
        <w:t>住房保障支出减少</w:t>
      </w:r>
      <w:r>
        <w:rPr>
          <w:rFonts w:hint="eastAsia" w:ascii="仿宋_GB2312" w:hAnsi="仿宋_GB2312" w:eastAsia="仿宋_GB2312" w:cs="仿宋_GB2312"/>
          <w:color w:val="000000"/>
          <w:kern w:val="2"/>
          <w:sz w:val="32"/>
          <w:lang w:val="en-US" w:eastAsia="zh-CN"/>
        </w:rPr>
        <w:t>0.89</w:t>
      </w:r>
      <w:r>
        <w:rPr>
          <w:rFonts w:hint="eastAsia" w:ascii="仿宋_GB2312" w:hAnsi="仿宋_GB2312" w:eastAsia="仿宋_GB2312" w:cs="仿宋_GB2312"/>
          <w:color w:val="000000"/>
          <w:kern w:val="2"/>
          <w:sz w:val="32"/>
          <w:lang w:val="zh-CN"/>
        </w:rPr>
        <w:t>万元所致。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图4：财政拨款收、支决算总计变动情况</w:t>
      </w:r>
    </w:p>
    <w:p>
      <w:pPr>
        <w:pStyle w:val="2"/>
        <w:rPr>
          <w:rFonts w:hint="eastAsia"/>
        </w:rPr>
      </w:pPr>
    </w:p>
    <w:p>
      <w:pPr>
        <w:pStyle w:val="2"/>
        <w:rPr>
          <w:rFonts w:ascii="仿宋" w:hAnsi="仿宋" w:eastAsia="仿宋"/>
          <w:b/>
          <w:sz w:val="32"/>
          <w:szCs w:val="32"/>
        </w:rPr>
      </w:pPr>
      <w:r>
        <w:rPr>
          <w:rFonts w:hint="eastAsia" w:ascii="仿宋" w:hAnsi="仿宋" w:eastAsia="仿宋"/>
          <w:sz w:val="32"/>
          <w:szCs w:val="32"/>
          <w:lang w:eastAsia="zh-CN"/>
        </w:rPr>
        <w:drawing>
          <wp:inline distT="0" distB="0" distL="114300" distR="114300">
            <wp:extent cx="4584065" cy="2755265"/>
            <wp:effectExtent l="0" t="0" r="6985" b="6985"/>
            <wp:docPr id="11" name="图片 11"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片4"/>
                    <pic:cNvPicPr>
                      <a:picLocks noChangeAspect="1"/>
                    </pic:cNvPicPr>
                  </pic:nvPicPr>
                  <pic:blipFill>
                    <a:blip r:embed="rId11"/>
                    <a:stretch>
                      <a:fillRect/>
                    </a:stretch>
                  </pic:blipFill>
                  <pic:spPr>
                    <a:xfrm>
                      <a:off x="0" y="0"/>
                      <a:ext cx="4584065" cy="2755265"/>
                    </a:xfrm>
                    <a:prstGeom prst="rect">
                      <a:avLst/>
                    </a:prstGeom>
                  </pic:spPr>
                </pic:pic>
              </a:graphicData>
            </a:graphic>
          </wp:inline>
        </w:drawing>
      </w:r>
    </w:p>
    <w:p>
      <w:pPr>
        <w:spacing w:line="600" w:lineRule="exact"/>
        <w:ind w:firstLine="640" w:firstLineChars="200"/>
        <w:outlineLvl w:val="1"/>
        <w:rPr>
          <w:rStyle w:val="29"/>
          <w:rFonts w:ascii="黑体" w:hAnsi="黑体" w:eastAsia="黑体"/>
          <w:b w:val="0"/>
        </w:rPr>
      </w:pPr>
      <w:bookmarkStart w:id="43" w:name="_Toc15396607"/>
      <w:bookmarkStart w:id="44" w:name="_Toc13108"/>
      <w:bookmarkStart w:id="45" w:name="_Toc15377209"/>
      <w:r>
        <w:rPr>
          <w:rFonts w:hint="eastAsia" w:ascii="黑体" w:hAnsi="黑体" w:eastAsia="黑体"/>
          <w:sz w:val="32"/>
          <w:szCs w:val="32"/>
        </w:rPr>
        <w:t>五、</w:t>
      </w:r>
      <w:r>
        <w:rPr>
          <w:rFonts w:hint="eastAsia" w:ascii="黑体" w:hAnsi="黑体" w:eastAsia="黑体"/>
          <w:b/>
          <w:sz w:val="32"/>
          <w:szCs w:val="32"/>
        </w:rPr>
        <w:t>一</w:t>
      </w:r>
      <w:r>
        <w:rPr>
          <w:rStyle w:val="29"/>
          <w:rFonts w:hint="eastAsia" w:ascii="黑体" w:hAnsi="黑体" w:eastAsia="黑体"/>
          <w:b w:val="0"/>
        </w:rPr>
        <w:t>般公共预算财政拨款支出决算情况说明</w:t>
      </w:r>
      <w:bookmarkEnd w:id="43"/>
      <w:bookmarkEnd w:id="44"/>
      <w:bookmarkEnd w:id="45"/>
    </w:p>
    <w:p>
      <w:pPr>
        <w:spacing w:line="600" w:lineRule="exact"/>
        <w:ind w:firstLine="642" w:firstLineChars="200"/>
        <w:outlineLvl w:val="2"/>
        <w:rPr>
          <w:rFonts w:ascii="仿宋" w:hAnsi="仿宋" w:eastAsia="仿宋"/>
          <w:b/>
          <w:sz w:val="32"/>
          <w:szCs w:val="32"/>
        </w:rPr>
      </w:pPr>
      <w:bookmarkStart w:id="46" w:name="_Toc15377210"/>
      <w:r>
        <w:rPr>
          <w:rFonts w:hint="eastAsia" w:ascii="仿宋" w:hAnsi="仿宋" w:eastAsia="仿宋"/>
          <w:b/>
          <w:sz w:val="32"/>
          <w:szCs w:val="32"/>
        </w:rPr>
        <w:t>（一）一般公共预算财政拨款支出决算总体情况</w:t>
      </w:r>
      <w:bookmarkEnd w:id="46"/>
    </w:p>
    <w:p>
      <w:pPr>
        <w:numPr>
          <w:ilvl w:val="0"/>
          <w:numId w:val="0"/>
        </w:numPr>
        <w:spacing w:line="600" w:lineRule="exact"/>
        <w:ind w:firstLine="640" w:firstLineChars="200"/>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年度一般公共预算财政拨款支出997.98万元，占本年支出合计的92.</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%。与</w:t>
      </w:r>
      <w:r>
        <w:rPr>
          <w:rFonts w:hint="eastAsia" w:ascii="仿宋_GB2312" w:hAnsi="仿宋_GB2312" w:eastAsia="仿宋_GB2312" w:cs="仿宋_GB2312"/>
          <w:b w:val="0"/>
          <w:bCs w:val="0"/>
          <w:sz w:val="32"/>
          <w:szCs w:val="32"/>
          <w:lang w:eastAsia="zh-CN"/>
        </w:rPr>
        <w:t>2023</w:t>
      </w:r>
      <w:r>
        <w:rPr>
          <w:rFonts w:hint="eastAsia" w:ascii="仿宋_GB2312" w:hAnsi="仿宋_GB2312" w:eastAsia="仿宋_GB2312" w:cs="仿宋_GB2312"/>
          <w:b w:val="0"/>
          <w:bCs w:val="0"/>
          <w:sz w:val="32"/>
          <w:szCs w:val="32"/>
        </w:rPr>
        <w:t>年度</w:t>
      </w:r>
      <w:r>
        <w:rPr>
          <w:rFonts w:hint="eastAsia" w:ascii="仿宋_GB2312" w:hAnsi="仿宋_GB2312" w:eastAsia="仿宋_GB2312" w:cs="仿宋_GB2312"/>
          <w:b w:val="0"/>
          <w:bCs w:val="0"/>
          <w:sz w:val="32"/>
          <w:szCs w:val="32"/>
          <w:lang w:val="en-US" w:eastAsia="zh-CN"/>
        </w:rPr>
        <w:t>2,223.21万元</w:t>
      </w:r>
      <w:r>
        <w:rPr>
          <w:rFonts w:hint="eastAsia" w:ascii="仿宋_GB2312" w:hAnsi="仿宋_GB2312" w:eastAsia="仿宋_GB2312" w:cs="仿宋_GB2312"/>
          <w:b w:val="0"/>
          <w:bCs w:val="0"/>
          <w:sz w:val="32"/>
          <w:szCs w:val="32"/>
        </w:rPr>
        <w:t>相比，一般公共预算财政拨款支出减少</w:t>
      </w:r>
      <w:r>
        <w:rPr>
          <w:rFonts w:hint="eastAsia" w:ascii="仿宋_GB2312" w:hAnsi="仿宋_GB2312" w:eastAsia="仿宋_GB2312" w:cs="仿宋_GB2312"/>
          <w:b w:val="0"/>
          <w:bCs w:val="0"/>
          <w:sz w:val="32"/>
          <w:szCs w:val="32"/>
          <w:lang w:val="en-US" w:eastAsia="zh-CN"/>
        </w:rPr>
        <w:t>1225.23</w:t>
      </w:r>
      <w:r>
        <w:rPr>
          <w:rFonts w:hint="eastAsia" w:ascii="仿宋_GB2312" w:hAnsi="仿宋_GB2312" w:eastAsia="仿宋_GB2312" w:cs="仿宋_GB2312"/>
          <w:b w:val="0"/>
          <w:bCs w:val="0"/>
          <w:sz w:val="32"/>
          <w:szCs w:val="32"/>
        </w:rPr>
        <w:t>万元，下降</w:t>
      </w:r>
      <w:r>
        <w:rPr>
          <w:rFonts w:hint="eastAsia" w:ascii="仿宋_GB2312" w:hAnsi="仿宋_GB2312" w:eastAsia="仿宋_GB2312" w:cs="仿宋_GB2312"/>
          <w:b w:val="0"/>
          <w:bCs w:val="0"/>
          <w:sz w:val="32"/>
          <w:szCs w:val="32"/>
          <w:lang w:val="en-US" w:eastAsia="zh-CN"/>
        </w:rPr>
        <w:t>55.1</w:t>
      </w:r>
      <w:r>
        <w:rPr>
          <w:rFonts w:hint="eastAsia" w:ascii="仿宋_GB2312" w:hAnsi="仿宋_GB2312" w:eastAsia="仿宋_GB2312" w:cs="仿宋_GB2312"/>
          <w:b w:val="0"/>
          <w:bCs w:val="0"/>
          <w:sz w:val="32"/>
          <w:szCs w:val="32"/>
        </w:rPr>
        <w:t>%。主要变动原因是</w:t>
      </w:r>
      <w:r>
        <w:rPr>
          <w:rFonts w:hint="eastAsia" w:ascii="仿宋_GB2312" w:hAnsi="仿宋_GB2312" w:eastAsia="仿宋_GB2312" w:cs="仿宋_GB2312"/>
          <w:b w:val="0"/>
          <w:bCs w:val="0"/>
          <w:color w:val="000000"/>
          <w:kern w:val="2"/>
          <w:sz w:val="32"/>
          <w:lang w:val="zh-CN"/>
        </w:rPr>
        <w:t>一般公共服务支出增加</w:t>
      </w:r>
      <w:r>
        <w:rPr>
          <w:rFonts w:hint="eastAsia" w:ascii="仿宋_GB2312" w:hAnsi="仿宋_GB2312" w:eastAsia="仿宋_GB2312" w:cs="仿宋_GB2312"/>
          <w:b w:val="0"/>
          <w:bCs w:val="0"/>
          <w:color w:val="000000"/>
          <w:kern w:val="2"/>
          <w:sz w:val="32"/>
          <w:lang w:val="en-US" w:eastAsia="zh-CN"/>
        </w:rPr>
        <w:t>263.67</w:t>
      </w:r>
      <w:r>
        <w:rPr>
          <w:rFonts w:hint="eastAsia" w:ascii="仿宋_GB2312" w:hAnsi="仿宋_GB2312" w:eastAsia="仿宋_GB2312" w:cs="仿宋_GB2312"/>
          <w:b w:val="0"/>
          <w:bCs w:val="0"/>
          <w:color w:val="000000"/>
          <w:kern w:val="2"/>
          <w:sz w:val="32"/>
          <w:lang w:val="zh-CN"/>
        </w:rPr>
        <w:t>万元、科学技术支出</w:t>
      </w:r>
      <w:r>
        <w:rPr>
          <w:rFonts w:hint="eastAsia" w:ascii="仿宋_GB2312" w:hAnsi="仿宋_GB2312" w:eastAsia="仿宋_GB2312" w:cs="仿宋_GB2312"/>
          <w:b w:val="0"/>
          <w:bCs w:val="0"/>
          <w:color w:val="000000"/>
          <w:kern w:val="2"/>
          <w:sz w:val="32"/>
          <w:lang w:val="en-US" w:eastAsia="zh-CN"/>
        </w:rPr>
        <w:t>减少963万元、</w:t>
      </w:r>
      <w:r>
        <w:rPr>
          <w:rFonts w:hint="eastAsia" w:ascii="仿宋_GB2312" w:hAnsi="仿宋_GB2312" w:eastAsia="仿宋_GB2312" w:cs="仿宋_GB2312"/>
          <w:b w:val="0"/>
          <w:bCs w:val="0"/>
          <w:color w:val="000000"/>
          <w:kern w:val="2"/>
          <w:sz w:val="32"/>
          <w:lang w:val="zh-CN"/>
        </w:rPr>
        <w:t>社会保障和就业支出增加33.86万元、卫生健康支出增加1.81万元、</w:t>
      </w:r>
      <w:r>
        <w:rPr>
          <w:rFonts w:hint="eastAsia" w:ascii="仿宋_GB2312" w:hAnsi="仿宋_GB2312" w:eastAsia="仿宋_GB2312" w:cs="仿宋_GB2312"/>
          <w:b w:val="0"/>
          <w:bCs w:val="0"/>
          <w:color w:val="000000"/>
          <w:kern w:val="2"/>
          <w:sz w:val="32"/>
          <w:lang w:val="en-US" w:eastAsia="zh-CN"/>
        </w:rPr>
        <w:t>农林水支出减少560.68万元、</w:t>
      </w:r>
      <w:r>
        <w:rPr>
          <w:rFonts w:hint="eastAsia" w:ascii="仿宋_GB2312" w:hAnsi="仿宋_GB2312" w:eastAsia="仿宋_GB2312" w:cs="仿宋_GB2312"/>
          <w:b w:val="0"/>
          <w:bCs w:val="0"/>
          <w:color w:val="000000"/>
          <w:kern w:val="2"/>
          <w:sz w:val="32"/>
          <w:lang w:val="zh-CN"/>
        </w:rPr>
        <w:t>住房保障支出减少</w:t>
      </w:r>
      <w:r>
        <w:rPr>
          <w:rFonts w:hint="eastAsia" w:ascii="仿宋_GB2312" w:hAnsi="仿宋_GB2312" w:eastAsia="仿宋_GB2312" w:cs="仿宋_GB2312"/>
          <w:b w:val="0"/>
          <w:bCs w:val="0"/>
          <w:color w:val="000000"/>
          <w:kern w:val="2"/>
          <w:sz w:val="32"/>
          <w:lang w:val="en-US" w:eastAsia="zh-CN"/>
        </w:rPr>
        <w:t>0.89</w:t>
      </w:r>
      <w:r>
        <w:rPr>
          <w:rFonts w:hint="eastAsia" w:ascii="仿宋_GB2312" w:hAnsi="仿宋_GB2312" w:eastAsia="仿宋_GB2312" w:cs="仿宋_GB2312"/>
          <w:b w:val="0"/>
          <w:bCs w:val="0"/>
          <w:color w:val="000000"/>
          <w:kern w:val="2"/>
          <w:sz w:val="32"/>
          <w:lang w:val="zh-CN"/>
        </w:rPr>
        <w:t>万元所致。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图5：一般公共预算财政拨款支出决算变动情况</w:t>
      </w:r>
    </w:p>
    <w:p>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651375" cy="3486785"/>
            <wp:effectExtent l="0" t="0" r="15875" b="18415"/>
            <wp:docPr id="12" name="图片 12"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5"/>
                    <pic:cNvPicPr>
                      <a:picLocks noChangeAspect="1"/>
                    </pic:cNvPicPr>
                  </pic:nvPicPr>
                  <pic:blipFill>
                    <a:blip r:embed="rId12"/>
                    <a:stretch>
                      <a:fillRect/>
                    </a:stretch>
                  </pic:blipFill>
                  <pic:spPr>
                    <a:xfrm>
                      <a:off x="0" y="0"/>
                      <a:ext cx="4651375" cy="3486785"/>
                    </a:xfrm>
                    <a:prstGeom prst="rect">
                      <a:avLst/>
                    </a:prstGeom>
                  </pic:spPr>
                </pic:pic>
              </a:graphicData>
            </a:graphic>
          </wp:inline>
        </w:drawing>
      </w:r>
    </w:p>
    <w:p>
      <w:pPr>
        <w:pStyle w:val="2"/>
        <w:rPr>
          <w:rFonts w:hint="eastAsia" w:ascii="仿宋" w:hAnsi="仿宋" w:eastAsia="仿宋"/>
          <w:sz w:val="32"/>
          <w:szCs w:val="32"/>
        </w:rPr>
      </w:pPr>
    </w:p>
    <w:p>
      <w:pPr>
        <w:spacing w:line="600" w:lineRule="exact"/>
        <w:ind w:firstLine="642" w:firstLineChars="200"/>
        <w:outlineLvl w:val="2"/>
        <w:rPr>
          <w:rFonts w:ascii="仿宋" w:hAnsi="仿宋" w:eastAsia="仿宋"/>
          <w:b/>
          <w:sz w:val="32"/>
          <w:szCs w:val="32"/>
        </w:rPr>
      </w:pPr>
      <w:bookmarkStart w:id="47" w:name="_Toc15377211"/>
      <w:r>
        <w:rPr>
          <w:rFonts w:hint="eastAsia" w:ascii="仿宋" w:hAnsi="仿宋" w:eastAsia="仿宋"/>
          <w:b/>
          <w:sz w:val="32"/>
          <w:szCs w:val="32"/>
        </w:rPr>
        <w:t>（二）一般公共预算财政拨款支出决算结构情况</w:t>
      </w:r>
      <w:bookmarkEnd w:id="47"/>
    </w:p>
    <w:p>
      <w:pPr>
        <w:numPr>
          <w:ilvl w:val="0"/>
          <w:numId w:val="0"/>
        </w:numPr>
        <w:spacing w:line="600" w:lineRule="exact"/>
        <w:ind w:firstLine="640" w:firstLineChars="200"/>
        <w:outlineLvl w:val="2"/>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年度一般公共预算财政拨款支出997.98万元，主要用于以下方面:</w:t>
      </w:r>
      <w:r>
        <w:rPr>
          <w:rFonts w:hint="eastAsia" w:ascii="仿宋_GB2312" w:hAnsi="仿宋_GB2312" w:eastAsia="仿宋_GB2312" w:cs="仿宋_GB2312"/>
          <w:b w:val="0"/>
          <w:bCs w:val="0"/>
          <w:color w:val="000000"/>
          <w:kern w:val="2"/>
          <w:sz w:val="32"/>
          <w:lang w:val="zh-CN"/>
        </w:rPr>
        <w:t>一般公共服务支出</w:t>
      </w:r>
      <w:r>
        <w:rPr>
          <w:rFonts w:hint="eastAsia" w:ascii="仿宋_GB2312" w:hAnsi="仿宋_GB2312" w:eastAsia="仿宋_GB2312" w:cs="仿宋_GB2312"/>
          <w:b w:val="0"/>
          <w:bCs w:val="0"/>
          <w:color w:val="000000"/>
          <w:kern w:val="2"/>
          <w:sz w:val="32"/>
          <w:lang w:val="en-US" w:eastAsia="zh-CN"/>
        </w:rPr>
        <w:t>568.9</w:t>
      </w:r>
      <w:r>
        <w:rPr>
          <w:rFonts w:hint="eastAsia" w:ascii="仿宋_GB2312" w:hAnsi="仿宋_GB2312" w:eastAsia="仿宋_GB2312" w:cs="仿宋_GB2312"/>
          <w:b w:val="0"/>
          <w:bCs w:val="0"/>
          <w:color w:val="000000"/>
          <w:kern w:val="2"/>
          <w:sz w:val="32"/>
          <w:lang w:val="zh-CN"/>
        </w:rPr>
        <w:t>万元，占</w:t>
      </w:r>
      <w:r>
        <w:rPr>
          <w:rFonts w:hint="eastAsia" w:ascii="仿宋_GB2312" w:hAnsi="仿宋_GB2312" w:eastAsia="仿宋_GB2312" w:cs="仿宋_GB2312"/>
          <w:b w:val="0"/>
          <w:bCs w:val="0"/>
          <w:color w:val="000000"/>
          <w:kern w:val="2"/>
          <w:sz w:val="32"/>
          <w:lang w:val="en-US" w:eastAsia="zh-CN"/>
        </w:rPr>
        <w:t>57</w:t>
      </w:r>
      <w:r>
        <w:rPr>
          <w:rFonts w:hint="eastAsia" w:ascii="仿宋_GB2312" w:hAnsi="仿宋_GB2312" w:eastAsia="仿宋_GB2312" w:cs="仿宋_GB2312"/>
          <w:b w:val="0"/>
          <w:bCs w:val="0"/>
          <w:color w:val="000000"/>
          <w:kern w:val="2"/>
          <w:sz w:val="32"/>
          <w:lang w:val="zh-CN"/>
        </w:rPr>
        <w:t>%；科学技术支出</w:t>
      </w:r>
      <w:r>
        <w:rPr>
          <w:rFonts w:hint="eastAsia" w:ascii="仿宋_GB2312" w:hAnsi="仿宋_GB2312" w:eastAsia="仿宋_GB2312" w:cs="仿宋_GB2312"/>
          <w:b w:val="0"/>
          <w:bCs w:val="0"/>
          <w:color w:val="000000"/>
          <w:kern w:val="2"/>
          <w:sz w:val="32"/>
          <w:lang w:val="en-US" w:eastAsia="zh-CN"/>
        </w:rPr>
        <w:t>187.54</w:t>
      </w:r>
      <w:r>
        <w:rPr>
          <w:rFonts w:hint="eastAsia" w:ascii="仿宋_GB2312" w:hAnsi="仿宋_GB2312" w:eastAsia="仿宋_GB2312" w:cs="仿宋_GB2312"/>
          <w:b w:val="0"/>
          <w:bCs w:val="0"/>
          <w:color w:val="000000"/>
          <w:kern w:val="2"/>
          <w:sz w:val="32"/>
          <w:lang w:val="zh-CN"/>
        </w:rPr>
        <w:t>万元，占</w:t>
      </w:r>
      <w:r>
        <w:rPr>
          <w:rFonts w:hint="eastAsia" w:ascii="仿宋_GB2312" w:hAnsi="仿宋_GB2312" w:eastAsia="仿宋_GB2312" w:cs="仿宋_GB2312"/>
          <w:b w:val="0"/>
          <w:bCs w:val="0"/>
          <w:color w:val="000000"/>
          <w:kern w:val="2"/>
          <w:sz w:val="32"/>
          <w:lang w:val="en-US" w:eastAsia="zh-CN"/>
        </w:rPr>
        <w:t>18.7</w:t>
      </w:r>
      <w:r>
        <w:rPr>
          <w:rFonts w:hint="eastAsia" w:ascii="仿宋_GB2312" w:hAnsi="仿宋_GB2312" w:eastAsia="仿宋_GB2312" w:cs="仿宋_GB2312"/>
          <w:b w:val="0"/>
          <w:bCs w:val="0"/>
          <w:color w:val="000000"/>
          <w:kern w:val="2"/>
          <w:sz w:val="32"/>
          <w:lang w:val="zh-CN"/>
        </w:rPr>
        <w:t>%；社会保障和就业支出</w:t>
      </w:r>
      <w:r>
        <w:rPr>
          <w:rFonts w:hint="eastAsia" w:ascii="仿宋_GB2312" w:hAnsi="仿宋_GB2312" w:eastAsia="仿宋_GB2312" w:cs="仿宋_GB2312"/>
          <w:b w:val="0"/>
          <w:bCs w:val="0"/>
          <w:color w:val="000000"/>
          <w:kern w:val="2"/>
          <w:sz w:val="32"/>
          <w:lang w:val="en-US" w:eastAsia="zh-CN"/>
        </w:rPr>
        <w:t>79.47</w:t>
      </w:r>
      <w:r>
        <w:rPr>
          <w:rFonts w:hint="eastAsia" w:ascii="仿宋_GB2312" w:hAnsi="仿宋_GB2312" w:eastAsia="仿宋_GB2312" w:cs="仿宋_GB2312"/>
          <w:b w:val="0"/>
          <w:bCs w:val="0"/>
          <w:color w:val="000000"/>
          <w:kern w:val="2"/>
          <w:sz w:val="32"/>
          <w:lang w:val="zh-CN"/>
        </w:rPr>
        <w:t>万元，占</w:t>
      </w:r>
      <w:r>
        <w:rPr>
          <w:rFonts w:hint="eastAsia" w:ascii="仿宋_GB2312" w:hAnsi="仿宋_GB2312" w:eastAsia="仿宋_GB2312" w:cs="仿宋_GB2312"/>
          <w:b w:val="0"/>
          <w:bCs w:val="0"/>
          <w:color w:val="000000"/>
          <w:kern w:val="2"/>
          <w:sz w:val="32"/>
          <w:lang w:val="en-US" w:eastAsia="zh-CN"/>
        </w:rPr>
        <w:t>8</w:t>
      </w:r>
      <w:r>
        <w:rPr>
          <w:rFonts w:hint="eastAsia" w:ascii="仿宋_GB2312" w:hAnsi="仿宋_GB2312" w:eastAsia="仿宋_GB2312" w:cs="仿宋_GB2312"/>
          <w:b w:val="0"/>
          <w:bCs w:val="0"/>
          <w:color w:val="000000"/>
          <w:kern w:val="2"/>
          <w:sz w:val="32"/>
          <w:lang w:val="zh-CN"/>
        </w:rPr>
        <w:t>%；卫生健康支出</w:t>
      </w:r>
      <w:r>
        <w:rPr>
          <w:rFonts w:hint="eastAsia" w:ascii="仿宋_GB2312" w:hAnsi="仿宋_GB2312" w:eastAsia="仿宋_GB2312" w:cs="仿宋_GB2312"/>
          <w:b w:val="0"/>
          <w:bCs w:val="0"/>
          <w:color w:val="000000"/>
          <w:kern w:val="2"/>
          <w:sz w:val="32"/>
          <w:lang w:val="en-US" w:eastAsia="zh-CN"/>
        </w:rPr>
        <w:t>12.17</w:t>
      </w:r>
      <w:r>
        <w:rPr>
          <w:rFonts w:hint="eastAsia" w:ascii="仿宋_GB2312" w:hAnsi="仿宋_GB2312" w:eastAsia="仿宋_GB2312" w:cs="仿宋_GB2312"/>
          <w:b w:val="0"/>
          <w:bCs w:val="0"/>
          <w:color w:val="000000"/>
          <w:kern w:val="2"/>
          <w:sz w:val="32"/>
          <w:lang w:val="zh-CN"/>
        </w:rPr>
        <w:t>万元，占</w:t>
      </w:r>
      <w:r>
        <w:rPr>
          <w:rFonts w:hint="eastAsia" w:ascii="仿宋_GB2312" w:hAnsi="仿宋_GB2312" w:eastAsia="仿宋_GB2312" w:cs="仿宋_GB2312"/>
          <w:b w:val="0"/>
          <w:bCs w:val="0"/>
          <w:color w:val="000000"/>
          <w:kern w:val="2"/>
          <w:sz w:val="32"/>
          <w:lang w:val="en-US" w:eastAsia="zh-CN"/>
        </w:rPr>
        <w:t>1.2</w:t>
      </w:r>
      <w:r>
        <w:rPr>
          <w:rFonts w:hint="eastAsia" w:ascii="仿宋_GB2312" w:hAnsi="仿宋_GB2312" w:eastAsia="仿宋_GB2312" w:cs="仿宋_GB2312"/>
          <w:b w:val="0"/>
          <w:bCs w:val="0"/>
          <w:color w:val="000000"/>
          <w:kern w:val="2"/>
          <w:sz w:val="32"/>
          <w:lang w:val="zh-CN"/>
        </w:rPr>
        <w:t>%；农林水支出</w:t>
      </w:r>
      <w:r>
        <w:rPr>
          <w:rFonts w:hint="eastAsia" w:ascii="仿宋_GB2312" w:hAnsi="仿宋_GB2312" w:eastAsia="仿宋_GB2312" w:cs="仿宋_GB2312"/>
          <w:b w:val="0"/>
          <w:bCs w:val="0"/>
          <w:color w:val="000000"/>
          <w:kern w:val="2"/>
          <w:sz w:val="32"/>
          <w:lang w:val="en-US" w:eastAsia="zh-CN"/>
        </w:rPr>
        <w:t>130.32</w:t>
      </w:r>
      <w:r>
        <w:rPr>
          <w:rFonts w:hint="eastAsia" w:ascii="仿宋_GB2312" w:hAnsi="仿宋_GB2312" w:eastAsia="仿宋_GB2312" w:cs="仿宋_GB2312"/>
          <w:b w:val="0"/>
          <w:bCs w:val="0"/>
          <w:color w:val="000000"/>
          <w:kern w:val="2"/>
          <w:sz w:val="32"/>
          <w:lang w:val="zh-CN"/>
        </w:rPr>
        <w:t>万元，占</w:t>
      </w:r>
      <w:r>
        <w:rPr>
          <w:rFonts w:hint="eastAsia" w:ascii="仿宋_GB2312" w:hAnsi="仿宋_GB2312" w:eastAsia="仿宋_GB2312" w:cs="仿宋_GB2312"/>
          <w:b w:val="0"/>
          <w:bCs w:val="0"/>
          <w:color w:val="000000"/>
          <w:kern w:val="2"/>
          <w:sz w:val="32"/>
          <w:lang w:val="en-US" w:eastAsia="zh-CN"/>
        </w:rPr>
        <w:t>13.1</w:t>
      </w:r>
      <w:r>
        <w:rPr>
          <w:rFonts w:hint="eastAsia" w:ascii="仿宋_GB2312" w:hAnsi="仿宋_GB2312" w:eastAsia="仿宋_GB2312" w:cs="仿宋_GB2312"/>
          <w:b w:val="0"/>
          <w:bCs w:val="0"/>
          <w:color w:val="000000"/>
          <w:kern w:val="2"/>
          <w:sz w:val="32"/>
          <w:lang w:val="zh-CN"/>
        </w:rPr>
        <w:t>%；住房保障支出</w:t>
      </w:r>
      <w:r>
        <w:rPr>
          <w:rFonts w:hint="eastAsia" w:ascii="仿宋_GB2312" w:hAnsi="仿宋_GB2312" w:eastAsia="仿宋_GB2312" w:cs="仿宋_GB2312"/>
          <w:b w:val="0"/>
          <w:bCs w:val="0"/>
          <w:color w:val="000000"/>
          <w:kern w:val="2"/>
          <w:sz w:val="32"/>
          <w:lang w:val="en-US" w:eastAsia="zh-CN"/>
        </w:rPr>
        <w:t>19.58</w:t>
      </w:r>
      <w:r>
        <w:rPr>
          <w:rFonts w:hint="eastAsia" w:ascii="仿宋_GB2312" w:hAnsi="仿宋_GB2312" w:eastAsia="仿宋_GB2312" w:cs="仿宋_GB2312"/>
          <w:b w:val="0"/>
          <w:bCs w:val="0"/>
          <w:color w:val="000000"/>
          <w:kern w:val="2"/>
          <w:sz w:val="32"/>
          <w:lang w:val="zh-CN"/>
        </w:rPr>
        <w:t>万元，占</w:t>
      </w:r>
      <w:r>
        <w:rPr>
          <w:rFonts w:hint="eastAsia" w:ascii="仿宋_GB2312" w:hAnsi="仿宋_GB2312" w:eastAsia="仿宋_GB2312" w:cs="仿宋_GB2312"/>
          <w:b w:val="0"/>
          <w:bCs w:val="0"/>
          <w:color w:val="000000"/>
          <w:kern w:val="2"/>
          <w:sz w:val="32"/>
          <w:lang w:val="en-US" w:eastAsia="zh-CN"/>
        </w:rPr>
        <w:t>2</w:t>
      </w:r>
      <w:r>
        <w:rPr>
          <w:rFonts w:hint="eastAsia" w:ascii="仿宋_GB2312" w:hAnsi="仿宋_GB2312" w:eastAsia="仿宋_GB2312" w:cs="仿宋_GB2312"/>
          <w:b w:val="0"/>
          <w:bCs w:val="0"/>
          <w:color w:val="000000"/>
          <w:kern w:val="2"/>
          <w:sz w:val="32"/>
          <w:lang w:val="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图6：一般公共预算财政拨款支出决算结构</w:t>
      </w:r>
    </w:p>
    <w:p>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358640" cy="3413760"/>
            <wp:effectExtent l="0" t="0" r="3810" b="15240"/>
            <wp:docPr id="13" name="图片 13"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6"/>
                    <pic:cNvPicPr>
                      <a:picLocks noChangeAspect="1"/>
                    </pic:cNvPicPr>
                  </pic:nvPicPr>
                  <pic:blipFill>
                    <a:blip r:embed="rId13"/>
                    <a:stretch>
                      <a:fillRect/>
                    </a:stretch>
                  </pic:blipFill>
                  <pic:spPr>
                    <a:xfrm>
                      <a:off x="0" y="0"/>
                      <a:ext cx="4358640" cy="3413760"/>
                    </a:xfrm>
                    <a:prstGeom prst="rect">
                      <a:avLst/>
                    </a:prstGeom>
                  </pic:spPr>
                </pic:pic>
              </a:graphicData>
            </a:graphic>
          </wp:inline>
        </w:drawing>
      </w:r>
    </w:p>
    <w:p>
      <w:pPr>
        <w:spacing w:line="600" w:lineRule="exact"/>
        <w:outlineLvl w:val="2"/>
        <w:rPr>
          <w:rFonts w:ascii="仿宋" w:hAnsi="仿宋" w:eastAsia="仿宋"/>
          <w:b/>
          <w:sz w:val="32"/>
          <w:szCs w:val="32"/>
        </w:rPr>
      </w:pPr>
      <w:bookmarkStart w:id="48" w:name="_Toc15377212"/>
      <w:r>
        <w:rPr>
          <w:rFonts w:hint="eastAsia" w:ascii="仿宋" w:hAnsi="仿宋" w:eastAsia="仿宋"/>
          <w:b/>
          <w:sz w:val="32"/>
          <w:szCs w:val="32"/>
        </w:rPr>
        <w:t>（三）一般公共预算财政拨款支出决算具体情况</w:t>
      </w:r>
      <w:bookmarkEnd w:id="48"/>
    </w:p>
    <w:p>
      <w:pPr>
        <w:spacing w:line="600" w:lineRule="exact"/>
        <w:ind w:firstLine="642" w:firstLineChars="200"/>
        <w:outlineLvl w:val="2"/>
        <w:rPr>
          <w:rFonts w:ascii="仿宋" w:hAnsi="仿宋" w:eastAsia="仿宋"/>
          <w:sz w:val="32"/>
          <w:szCs w:val="32"/>
          <w:highlight w:val="none"/>
        </w:rPr>
      </w:pPr>
      <w:bookmarkStart w:id="49" w:name="_Toc15378460"/>
      <w:bookmarkStart w:id="50" w:name="_Toc15377444"/>
      <w:bookmarkStart w:id="51" w:name="_Toc15377213"/>
      <w:r>
        <w:rPr>
          <w:rFonts w:hint="eastAsia" w:ascii="仿宋" w:hAnsi="仿宋" w:eastAsia="仿宋"/>
          <w:b/>
          <w:sz w:val="32"/>
          <w:szCs w:val="32"/>
          <w:highlight w:val="none"/>
          <w:lang w:eastAsia="zh-CN"/>
        </w:rPr>
        <w:t>2024</w:t>
      </w:r>
      <w:r>
        <w:rPr>
          <w:rFonts w:hint="eastAsia" w:ascii="仿宋" w:hAnsi="仿宋" w:eastAsia="仿宋"/>
          <w:b/>
          <w:sz w:val="32"/>
          <w:szCs w:val="32"/>
          <w:highlight w:val="none"/>
        </w:rPr>
        <w:t>年度一般公共预算支出决算数为</w:t>
      </w:r>
      <w:r>
        <w:rPr>
          <w:rFonts w:hint="eastAsia" w:ascii="仿宋" w:hAnsi="仿宋" w:eastAsia="仿宋"/>
          <w:b/>
          <w:sz w:val="32"/>
          <w:szCs w:val="32"/>
        </w:rPr>
        <w:t>997.98</w:t>
      </w:r>
      <w:r>
        <w:rPr>
          <w:rFonts w:hint="eastAsia" w:ascii="仿宋" w:hAnsi="仿宋" w:eastAsia="仿宋"/>
          <w:b/>
          <w:sz w:val="32"/>
          <w:szCs w:val="32"/>
          <w:lang w:eastAsia="zh-CN"/>
        </w:rPr>
        <w:t>万元</w:t>
      </w:r>
      <w:r>
        <w:rPr>
          <w:rFonts w:hint="eastAsia" w:ascii="仿宋" w:hAnsi="仿宋" w:eastAsia="仿宋"/>
          <w:sz w:val="32"/>
          <w:szCs w:val="32"/>
          <w:highlight w:val="none"/>
        </w:rPr>
        <w:t>，</w:t>
      </w:r>
      <w:r>
        <w:rPr>
          <w:rStyle w:val="17"/>
          <w:rFonts w:hint="eastAsia" w:ascii="仿宋" w:hAnsi="仿宋" w:eastAsia="仿宋"/>
          <w:bCs/>
          <w:sz w:val="32"/>
          <w:szCs w:val="32"/>
          <w:highlight w:val="none"/>
        </w:rPr>
        <w:t>完成预算</w:t>
      </w:r>
      <w:r>
        <w:rPr>
          <w:rStyle w:val="17"/>
          <w:rFonts w:hint="eastAsia" w:ascii="仿宋" w:hAnsi="仿宋" w:eastAsia="仿宋"/>
          <w:bCs/>
          <w:sz w:val="32"/>
          <w:szCs w:val="32"/>
          <w:highlight w:val="none"/>
          <w:lang w:val="en-US" w:eastAsia="zh-CN"/>
        </w:rPr>
        <w:t>100</w:t>
      </w:r>
      <w:r>
        <w:rPr>
          <w:rStyle w:val="17"/>
          <w:rFonts w:ascii="仿宋" w:hAnsi="仿宋" w:eastAsia="仿宋"/>
          <w:bCs/>
          <w:sz w:val="32"/>
          <w:szCs w:val="32"/>
          <w:highlight w:val="none"/>
        </w:rPr>
        <w:t>%</w:t>
      </w:r>
      <w:r>
        <w:rPr>
          <w:rStyle w:val="17"/>
          <w:rFonts w:hint="eastAsia" w:ascii="仿宋" w:hAnsi="仿宋" w:eastAsia="仿宋"/>
          <w:bCs/>
          <w:sz w:val="32"/>
          <w:szCs w:val="32"/>
          <w:highlight w:val="none"/>
        </w:rPr>
        <w:t>。其中：</w:t>
      </w:r>
      <w:bookmarkEnd w:id="49"/>
      <w:bookmarkEnd w:id="50"/>
      <w:bookmarkEnd w:id="51"/>
    </w:p>
    <w:p>
      <w:pPr>
        <w:numPr>
          <w:ilvl w:val="0"/>
          <w:numId w:val="3"/>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highlight w:val="none"/>
          <w:lang w:val="zh-CN"/>
        </w:rPr>
        <w:t>一般公共服务（类）发展与改革事务（款）行政运行（项）: 支出决算为</w:t>
      </w:r>
      <w:r>
        <w:rPr>
          <w:rFonts w:hint="eastAsia" w:ascii="仿宋_GB2312" w:hAnsi="仿宋_GB2312" w:eastAsia="仿宋_GB2312" w:cs="仿宋_GB2312"/>
          <w:color w:val="000000"/>
          <w:kern w:val="2"/>
          <w:sz w:val="32"/>
          <w:szCs w:val="32"/>
          <w:highlight w:val="none"/>
          <w:lang w:val="en-US" w:eastAsia="zh-CN"/>
        </w:rPr>
        <w:t>254.91</w:t>
      </w:r>
      <w:r>
        <w:rPr>
          <w:rFonts w:hint="eastAsia" w:ascii="仿宋_GB2312" w:hAnsi="仿宋_GB2312" w:eastAsia="仿宋_GB2312" w:cs="仿宋_GB2312"/>
          <w:color w:val="000000"/>
          <w:kern w:val="2"/>
          <w:sz w:val="32"/>
          <w:szCs w:val="32"/>
          <w:highlight w:val="none"/>
          <w:lang w:val="zh-CN"/>
        </w:rPr>
        <w:t>万元，完成预算</w:t>
      </w:r>
      <w:r>
        <w:rPr>
          <w:rFonts w:hint="eastAsia" w:ascii="仿宋_GB2312" w:hAnsi="仿宋_GB2312" w:eastAsia="仿宋_GB2312" w:cs="仿宋_GB2312"/>
          <w:color w:val="000000"/>
          <w:kern w:val="2"/>
          <w:sz w:val="32"/>
          <w:szCs w:val="32"/>
          <w:highlight w:val="none"/>
          <w:lang w:val="en-US" w:eastAsia="zh-CN"/>
        </w:rPr>
        <w:t>100</w:t>
      </w:r>
      <w:r>
        <w:rPr>
          <w:rFonts w:hint="eastAsia" w:ascii="仿宋_GB2312" w:hAnsi="仿宋_GB2312" w:eastAsia="仿宋_GB2312" w:cs="仿宋_GB2312"/>
          <w:color w:val="000000"/>
          <w:kern w:val="2"/>
          <w:sz w:val="32"/>
          <w:szCs w:val="32"/>
          <w:highlight w:val="none"/>
          <w:lang w:val="zh-CN"/>
        </w:rPr>
        <w:t>%。</w:t>
      </w:r>
      <w:r>
        <w:rPr>
          <w:rFonts w:hint="eastAsia" w:ascii="仿宋_GB2312" w:hAnsi="仿宋_GB2312" w:eastAsia="仿宋_GB2312" w:cs="仿宋_GB2312"/>
          <w:color w:val="000000"/>
          <w:kern w:val="2"/>
          <w:sz w:val="32"/>
          <w:szCs w:val="32"/>
          <w:highlight w:val="none"/>
          <w:lang w:val="zh-CN" w:eastAsia="zh-CN"/>
        </w:rPr>
        <w:t>决算数</w:t>
      </w:r>
      <w:r>
        <w:rPr>
          <w:rFonts w:hint="eastAsia" w:ascii="仿宋_GB2312" w:hAnsi="仿宋_GB2312" w:eastAsia="仿宋_GB2312" w:cs="仿宋_GB2312"/>
          <w:color w:val="000000"/>
          <w:kern w:val="2"/>
          <w:sz w:val="32"/>
          <w:szCs w:val="32"/>
          <w:lang w:val="zh-CN" w:eastAsia="zh-CN"/>
        </w:rPr>
        <w:t>等于预算数。</w:t>
      </w:r>
    </w:p>
    <w:p>
      <w:pPr>
        <w:numPr>
          <w:ilvl w:val="0"/>
          <w:numId w:val="0"/>
        </w:numPr>
        <w:spacing w:line="600" w:lineRule="exact"/>
        <w:ind w:firstLine="320" w:firstLineChars="100"/>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2"/>
          <w:sz w:val="32"/>
          <w:szCs w:val="32"/>
          <w:lang w:val="en-US" w:eastAsia="zh-CN" w:bidi="ar-SA"/>
        </w:rPr>
        <w:t xml:space="preserve"> 2.</w:t>
      </w:r>
      <w:r>
        <w:rPr>
          <w:rFonts w:hint="eastAsia" w:ascii="仿宋_GB2312" w:hAnsi="仿宋_GB2312" w:eastAsia="仿宋_GB2312" w:cs="仿宋_GB2312"/>
          <w:color w:val="000000"/>
          <w:kern w:val="2"/>
          <w:sz w:val="32"/>
          <w:szCs w:val="32"/>
          <w:highlight w:val="none"/>
          <w:lang w:val="zh-CN"/>
        </w:rPr>
        <w:t>一般公共服务（类）发展与改革事务（款）物价管理（项）: 支出决算为</w:t>
      </w:r>
      <w:r>
        <w:rPr>
          <w:rFonts w:hint="eastAsia" w:ascii="仿宋_GB2312" w:hAnsi="仿宋_GB2312" w:eastAsia="仿宋_GB2312" w:cs="仿宋_GB2312"/>
          <w:color w:val="000000"/>
          <w:kern w:val="2"/>
          <w:sz w:val="32"/>
          <w:szCs w:val="32"/>
          <w:highlight w:val="none"/>
          <w:lang w:val="en-US" w:eastAsia="zh-CN"/>
        </w:rPr>
        <w:t>4.5</w:t>
      </w:r>
      <w:r>
        <w:rPr>
          <w:rFonts w:hint="eastAsia" w:ascii="仿宋_GB2312" w:hAnsi="仿宋_GB2312" w:eastAsia="仿宋_GB2312" w:cs="仿宋_GB2312"/>
          <w:color w:val="000000"/>
          <w:kern w:val="2"/>
          <w:sz w:val="32"/>
          <w:szCs w:val="32"/>
          <w:highlight w:val="none"/>
          <w:lang w:val="zh-CN"/>
        </w:rPr>
        <w:t>万元，完成预算</w:t>
      </w:r>
      <w:r>
        <w:rPr>
          <w:rFonts w:hint="eastAsia" w:ascii="仿宋_GB2312" w:hAnsi="仿宋_GB2312" w:eastAsia="仿宋_GB2312" w:cs="仿宋_GB2312"/>
          <w:color w:val="000000"/>
          <w:kern w:val="2"/>
          <w:sz w:val="32"/>
          <w:szCs w:val="32"/>
          <w:highlight w:val="none"/>
          <w:lang w:val="en-US" w:eastAsia="zh-CN"/>
        </w:rPr>
        <w:t>100</w:t>
      </w:r>
      <w:r>
        <w:rPr>
          <w:rFonts w:hint="eastAsia" w:ascii="仿宋_GB2312" w:hAnsi="仿宋_GB2312" w:eastAsia="仿宋_GB2312" w:cs="仿宋_GB2312"/>
          <w:color w:val="000000"/>
          <w:kern w:val="2"/>
          <w:sz w:val="32"/>
          <w:szCs w:val="32"/>
          <w:highlight w:val="none"/>
          <w:lang w:val="zh-CN"/>
        </w:rPr>
        <w:t>%。</w:t>
      </w:r>
      <w:r>
        <w:rPr>
          <w:rFonts w:hint="eastAsia" w:ascii="仿宋_GB2312" w:hAnsi="仿宋_GB2312" w:eastAsia="仿宋_GB2312" w:cs="仿宋_GB2312"/>
          <w:color w:val="000000"/>
          <w:kern w:val="2"/>
          <w:sz w:val="32"/>
          <w:szCs w:val="32"/>
          <w:highlight w:val="none"/>
          <w:lang w:val="zh-CN" w:eastAsia="zh-CN"/>
        </w:rPr>
        <w:t>决算数</w:t>
      </w:r>
      <w:r>
        <w:rPr>
          <w:rFonts w:hint="eastAsia" w:ascii="仿宋_GB2312" w:hAnsi="仿宋_GB2312" w:eastAsia="仿宋_GB2312" w:cs="仿宋_GB2312"/>
          <w:color w:val="000000"/>
          <w:kern w:val="2"/>
          <w:sz w:val="32"/>
          <w:szCs w:val="32"/>
          <w:lang w:val="zh-CN" w:eastAsia="zh-CN"/>
        </w:rPr>
        <w:t>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lang w:val="zh-CN"/>
        </w:rPr>
        <w:t>一般公共服务（类）发展与改革事务（款）其他发展与改革事务支出（项）: 支出决算为</w:t>
      </w:r>
      <w:r>
        <w:rPr>
          <w:rFonts w:hint="eastAsia" w:ascii="仿宋_GB2312" w:hAnsi="仿宋_GB2312" w:eastAsia="仿宋_GB2312" w:cs="仿宋_GB2312"/>
          <w:color w:val="000000"/>
          <w:kern w:val="2"/>
          <w:sz w:val="32"/>
          <w:szCs w:val="32"/>
          <w:lang w:val="en-US" w:eastAsia="zh-CN"/>
        </w:rPr>
        <w:t>309.50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4</w:t>
      </w:r>
      <w:r>
        <w:rPr>
          <w:rFonts w:hint="eastAsia" w:ascii="仿宋_GB2312" w:hAnsi="仿宋_GB2312" w:eastAsia="仿宋_GB2312" w:cs="仿宋_GB2312"/>
          <w:color w:val="000000"/>
          <w:kern w:val="2"/>
          <w:sz w:val="32"/>
          <w:szCs w:val="32"/>
          <w:lang w:val="zh-CN"/>
        </w:rPr>
        <w:t>.科学技术支出（类）应用研究（款）社会公益研究（项）: 支出决算为</w:t>
      </w:r>
      <w:r>
        <w:rPr>
          <w:rFonts w:hint="eastAsia" w:ascii="仿宋_GB2312" w:hAnsi="仿宋_GB2312" w:eastAsia="仿宋_GB2312" w:cs="仿宋_GB2312"/>
          <w:color w:val="000000"/>
          <w:kern w:val="2"/>
          <w:sz w:val="32"/>
          <w:szCs w:val="32"/>
          <w:lang w:val="en-US" w:eastAsia="zh-CN"/>
        </w:rPr>
        <w:t>49</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5、</w:t>
      </w:r>
      <w:r>
        <w:rPr>
          <w:rFonts w:hint="eastAsia" w:ascii="仿宋_GB2312" w:hAnsi="仿宋_GB2312" w:eastAsia="仿宋_GB2312" w:cs="仿宋_GB2312"/>
          <w:color w:val="000000"/>
          <w:kern w:val="2"/>
          <w:sz w:val="32"/>
          <w:szCs w:val="32"/>
          <w:lang w:val="zh-CN"/>
        </w:rPr>
        <w:t>科学技术支出（类）技术研究与开发（款）其他科技条件与服务支出（项）: 支出决算为</w:t>
      </w:r>
      <w:r>
        <w:rPr>
          <w:rFonts w:hint="eastAsia" w:ascii="仿宋_GB2312" w:hAnsi="仿宋_GB2312" w:eastAsia="仿宋_GB2312" w:cs="仿宋_GB2312"/>
          <w:color w:val="000000"/>
          <w:kern w:val="2"/>
          <w:sz w:val="32"/>
          <w:szCs w:val="32"/>
          <w:lang w:val="en-US" w:eastAsia="zh-CN"/>
        </w:rPr>
        <w:t>0.92</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kern w:val="2"/>
          <w:sz w:val="32"/>
          <w:szCs w:val="32"/>
          <w:lang w:val="en-US" w:eastAsia="zh-CN"/>
        </w:rPr>
        <w:t>6.</w:t>
      </w:r>
      <w:r>
        <w:rPr>
          <w:rFonts w:hint="eastAsia" w:ascii="仿宋_GB2312" w:hAnsi="仿宋_GB2312" w:eastAsia="仿宋_GB2312" w:cs="仿宋_GB2312"/>
          <w:color w:val="000000"/>
          <w:kern w:val="2"/>
          <w:sz w:val="32"/>
          <w:szCs w:val="32"/>
          <w:lang w:val="zh-CN"/>
        </w:rPr>
        <w:t>科学技术支出（类）科技重大项目（款）重点研发计划（项）: 支出决算为</w:t>
      </w:r>
      <w:r>
        <w:rPr>
          <w:rFonts w:hint="eastAsia" w:ascii="仿宋_GB2312" w:hAnsi="仿宋_GB2312" w:eastAsia="仿宋_GB2312" w:cs="仿宋_GB2312"/>
          <w:color w:val="000000"/>
          <w:kern w:val="2"/>
          <w:sz w:val="32"/>
          <w:szCs w:val="32"/>
          <w:lang w:val="en-US" w:eastAsia="zh-CN"/>
        </w:rPr>
        <w:t>135.70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kern w:val="2"/>
          <w:sz w:val="32"/>
          <w:szCs w:val="32"/>
          <w:lang w:val="en-US" w:eastAsia="zh-CN"/>
        </w:rPr>
        <w:t>7</w:t>
      </w:r>
      <w:r>
        <w:rPr>
          <w:rFonts w:hint="eastAsia" w:ascii="仿宋_GB2312" w:hAnsi="仿宋_GB2312" w:eastAsia="仿宋_GB2312" w:cs="仿宋_GB2312"/>
          <w:color w:val="000000"/>
          <w:kern w:val="2"/>
          <w:sz w:val="32"/>
          <w:szCs w:val="32"/>
          <w:lang w:val="zh-CN"/>
        </w:rPr>
        <w:t>.科学技术支出（类）其他科学技术支出（款）其他科学技术支出（项）: 支出决算为</w:t>
      </w:r>
      <w:r>
        <w:rPr>
          <w:rFonts w:hint="eastAsia" w:ascii="仿宋_GB2312" w:hAnsi="仿宋_GB2312" w:eastAsia="仿宋_GB2312" w:cs="仿宋_GB2312"/>
          <w:color w:val="000000"/>
          <w:kern w:val="2"/>
          <w:sz w:val="32"/>
          <w:szCs w:val="32"/>
          <w:lang w:val="en-US" w:eastAsia="zh-CN"/>
        </w:rPr>
        <w:t>1.92</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8</w:t>
      </w:r>
      <w:r>
        <w:rPr>
          <w:rFonts w:hint="eastAsia" w:ascii="仿宋_GB2312" w:hAnsi="仿宋_GB2312" w:eastAsia="仿宋_GB2312" w:cs="仿宋_GB2312"/>
          <w:color w:val="000000"/>
          <w:kern w:val="2"/>
          <w:sz w:val="32"/>
          <w:szCs w:val="32"/>
          <w:lang w:val="zh-CN"/>
        </w:rPr>
        <w:t>.社会保障和就业（类）行政事业单位养老支出（款）机关事业单位基本养老保险缴费支出（项）: 支出决算为</w:t>
      </w:r>
      <w:r>
        <w:rPr>
          <w:rFonts w:hint="eastAsia" w:ascii="仿宋_GB2312" w:hAnsi="仿宋_GB2312" w:eastAsia="仿宋_GB2312" w:cs="仿宋_GB2312"/>
          <w:color w:val="000000"/>
          <w:kern w:val="2"/>
          <w:sz w:val="32"/>
          <w:szCs w:val="32"/>
          <w:lang w:val="en-US" w:eastAsia="zh-CN"/>
        </w:rPr>
        <w:t>22.74</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9</w:t>
      </w:r>
      <w:r>
        <w:rPr>
          <w:rFonts w:hint="eastAsia" w:ascii="仿宋_GB2312" w:hAnsi="仿宋_GB2312" w:eastAsia="仿宋_GB2312" w:cs="仿宋_GB2312"/>
          <w:color w:val="000000"/>
          <w:kern w:val="2"/>
          <w:sz w:val="32"/>
          <w:szCs w:val="32"/>
          <w:lang w:val="zh-CN"/>
        </w:rPr>
        <w:t>.社会保障和就业（类）行政事业单位养老支出（款）机关事业单位职业年金缴费支出（项）: 支出决算为</w:t>
      </w:r>
      <w:r>
        <w:rPr>
          <w:rFonts w:hint="eastAsia" w:ascii="仿宋_GB2312" w:hAnsi="仿宋_GB2312" w:eastAsia="仿宋_GB2312" w:cs="仿宋_GB2312"/>
          <w:color w:val="000000"/>
          <w:kern w:val="2"/>
          <w:sz w:val="32"/>
          <w:szCs w:val="32"/>
          <w:lang w:val="en-US" w:eastAsia="zh-CN"/>
        </w:rPr>
        <w:t>12.39</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10</w:t>
      </w:r>
      <w:r>
        <w:rPr>
          <w:rFonts w:hint="eastAsia" w:ascii="仿宋_GB2312" w:hAnsi="仿宋_GB2312" w:eastAsia="仿宋_GB2312" w:cs="仿宋_GB2312"/>
          <w:color w:val="000000"/>
          <w:kern w:val="2"/>
          <w:sz w:val="32"/>
          <w:szCs w:val="32"/>
          <w:lang w:val="zh-CN"/>
        </w:rPr>
        <w:t>.社会保障和就业（类）行政事业单位养老支出（款）其他行政事业单位养老支出（项）: 支出决算为</w:t>
      </w:r>
      <w:r>
        <w:rPr>
          <w:rFonts w:hint="eastAsia" w:ascii="仿宋_GB2312" w:hAnsi="仿宋_GB2312" w:eastAsia="仿宋_GB2312" w:cs="仿宋_GB2312"/>
          <w:color w:val="000000"/>
          <w:kern w:val="2"/>
          <w:sz w:val="32"/>
          <w:szCs w:val="32"/>
          <w:lang w:val="en-US" w:eastAsia="zh-CN"/>
        </w:rPr>
        <w:t>22.16</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11.</w:t>
      </w:r>
      <w:r>
        <w:rPr>
          <w:rFonts w:hint="eastAsia" w:ascii="仿宋_GB2312" w:hAnsi="仿宋_GB2312" w:eastAsia="仿宋_GB2312" w:cs="仿宋_GB2312"/>
          <w:color w:val="000000"/>
          <w:kern w:val="2"/>
          <w:sz w:val="32"/>
          <w:szCs w:val="32"/>
          <w:lang w:val="zh-CN"/>
        </w:rPr>
        <w:t>社会保障和就业（类）抚恤（款）死亡抚恤（项）: 支出决算为</w:t>
      </w:r>
      <w:r>
        <w:rPr>
          <w:rFonts w:hint="eastAsia" w:ascii="仿宋_GB2312" w:hAnsi="仿宋_GB2312" w:eastAsia="仿宋_GB2312" w:cs="仿宋_GB2312"/>
          <w:color w:val="000000"/>
          <w:kern w:val="2"/>
          <w:sz w:val="32"/>
          <w:szCs w:val="32"/>
          <w:lang w:val="en-US" w:eastAsia="zh-CN"/>
        </w:rPr>
        <w:t>20.46</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pStyle w:val="4"/>
        <w:ind w:firstLine="640" w:firstLineChars="200"/>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12.</w:t>
      </w:r>
      <w:r>
        <w:rPr>
          <w:rFonts w:hint="eastAsia" w:ascii="仿宋_GB2312" w:hAnsi="仿宋_GB2312" w:eastAsia="仿宋_GB2312" w:cs="仿宋_GB2312"/>
          <w:color w:val="000000"/>
          <w:kern w:val="2"/>
          <w:sz w:val="32"/>
          <w:szCs w:val="32"/>
          <w:lang w:val="zh-CN"/>
        </w:rPr>
        <w:t>社会保障和就业（类）其他社会保障和就业支出（款）其他社会保障和就业支出（项）: 支出决算为</w:t>
      </w:r>
      <w:r>
        <w:rPr>
          <w:rFonts w:hint="eastAsia" w:ascii="仿宋_GB2312" w:hAnsi="仿宋_GB2312" w:eastAsia="仿宋_GB2312" w:cs="仿宋_GB2312"/>
          <w:color w:val="000000"/>
          <w:kern w:val="2"/>
          <w:sz w:val="32"/>
          <w:szCs w:val="32"/>
          <w:lang w:val="en-US" w:eastAsia="zh-CN"/>
        </w:rPr>
        <w:t>1.71</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13.</w:t>
      </w:r>
      <w:r>
        <w:rPr>
          <w:rFonts w:hint="eastAsia" w:ascii="仿宋_GB2312" w:hAnsi="仿宋_GB2312" w:eastAsia="仿宋_GB2312" w:cs="仿宋_GB2312"/>
          <w:color w:val="000000"/>
          <w:kern w:val="2"/>
          <w:sz w:val="32"/>
          <w:szCs w:val="32"/>
          <w:lang w:val="zh-CN"/>
        </w:rPr>
        <w:t>卫生健康（类）行政事业单位医疗（款）行政单位医疗（项）:支出决算为</w:t>
      </w:r>
      <w:r>
        <w:rPr>
          <w:rFonts w:hint="eastAsia" w:ascii="仿宋_GB2312" w:hAnsi="仿宋_GB2312" w:eastAsia="仿宋_GB2312" w:cs="仿宋_GB2312"/>
          <w:color w:val="000000"/>
          <w:kern w:val="2"/>
          <w:sz w:val="32"/>
          <w:szCs w:val="32"/>
          <w:lang w:val="en-US" w:eastAsia="zh-CN"/>
        </w:rPr>
        <w:t>8.47</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14.</w:t>
      </w:r>
      <w:r>
        <w:rPr>
          <w:rFonts w:hint="eastAsia" w:ascii="仿宋_GB2312" w:hAnsi="仿宋_GB2312" w:eastAsia="仿宋_GB2312" w:cs="仿宋_GB2312"/>
          <w:color w:val="000000"/>
          <w:kern w:val="2"/>
          <w:sz w:val="32"/>
          <w:szCs w:val="32"/>
          <w:lang w:val="zh-CN"/>
        </w:rPr>
        <w:t>卫生健康（类）行政事业单位医疗（款）公务员医疗补助（项）:支出决算为</w:t>
      </w:r>
      <w:r>
        <w:rPr>
          <w:rFonts w:hint="eastAsia" w:ascii="仿宋_GB2312" w:hAnsi="仿宋_GB2312" w:eastAsia="仿宋_GB2312" w:cs="仿宋_GB2312"/>
          <w:color w:val="000000"/>
          <w:kern w:val="2"/>
          <w:sz w:val="32"/>
          <w:szCs w:val="32"/>
          <w:lang w:val="en-US" w:eastAsia="zh-CN"/>
        </w:rPr>
        <w:t>3.70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15.</w:t>
      </w:r>
      <w:r>
        <w:rPr>
          <w:rFonts w:hint="eastAsia" w:ascii="仿宋_GB2312" w:hAnsi="仿宋_GB2312" w:eastAsia="仿宋_GB2312" w:cs="仿宋_GB2312"/>
          <w:color w:val="000000"/>
          <w:kern w:val="2"/>
          <w:sz w:val="32"/>
          <w:szCs w:val="32"/>
          <w:lang w:val="zh-CN"/>
        </w:rPr>
        <w:t>农林水支出（类）农业农村（款）其他农业农村支出（项）</w:t>
      </w:r>
      <w:r>
        <w:rPr>
          <w:rFonts w:hint="eastAsia" w:ascii="仿宋_GB2312" w:hAnsi="仿宋_GB2312" w:eastAsia="仿宋_GB2312" w:cs="仿宋_GB2312"/>
          <w:color w:val="000000"/>
          <w:kern w:val="2"/>
          <w:sz w:val="32"/>
          <w:szCs w:val="32"/>
          <w:lang w:val="zh-CN" w:eastAsia="zh-CN"/>
        </w:rPr>
        <w:t>：</w:t>
      </w:r>
      <w:r>
        <w:rPr>
          <w:rFonts w:hint="eastAsia" w:ascii="仿宋_GB2312" w:hAnsi="仿宋_GB2312" w:eastAsia="仿宋_GB2312" w:cs="仿宋_GB2312"/>
          <w:color w:val="000000"/>
          <w:kern w:val="2"/>
          <w:sz w:val="32"/>
          <w:szCs w:val="32"/>
          <w:lang w:val="zh-CN"/>
        </w:rPr>
        <w:t>支出决算为</w:t>
      </w:r>
      <w:r>
        <w:rPr>
          <w:rFonts w:hint="eastAsia" w:ascii="仿宋_GB2312" w:hAnsi="仿宋_GB2312" w:eastAsia="仿宋_GB2312" w:cs="仿宋_GB2312"/>
          <w:color w:val="000000"/>
          <w:kern w:val="2"/>
          <w:sz w:val="32"/>
          <w:szCs w:val="32"/>
          <w:lang w:val="en-US" w:eastAsia="zh-CN"/>
        </w:rPr>
        <w:t>51.60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16.</w:t>
      </w:r>
      <w:r>
        <w:rPr>
          <w:rFonts w:hint="eastAsia" w:ascii="仿宋_GB2312" w:hAnsi="仿宋_GB2312" w:eastAsia="仿宋_GB2312" w:cs="仿宋_GB2312"/>
          <w:color w:val="000000"/>
          <w:kern w:val="2"/>
          <w:sz w:val="32"/>
          <w:szCs w:val="32"/>
          <w:lang w:val="zh-CN"/>
        </w:rPr>
        <w:t>农林水支出（类）巩固脱贫攻坚成果衔接乡村振兴（款）其他巩固脱贫攻坚成果衔接乡村振兴支出（项）</w:t>
      </w:r>
      <w:r>
        <w:rPr>
          <w:rFonts w:hint="eastAsia" w:ascii="仿宋_GB2312" w:hAnsi="仿宋_GB2312" w:eastAsia="仿宋_GB2312" w:cs="仿宋_GB2312"/>
          <w:color w:val="000000"/>
          <w:kern w:val="2"/>
          <w:sz w:val="32"/>
          <w:szCs w:val="32"/>
          <w:lang w:val="zh-CN" w:eastAsia="zh-CN"/>
        </w:rPr>
        <w:t>：</w:t>
      </w:r>
      <w:r>
        <w:rPr>
          <w:rFonts w:hint="eastAsia" w:ascii="仿宋_GB2312" w:hAnsi="仿宋_GB2312" w:eastAsia="仿宋_GB2312" w:cs="仿宋_GB2312"/>
          <w:color w:val="000000"/>
          <w:kern w:val="2"/>
          <w:sz w:val="32"/>
          <w:szCs w:val="32"/>
          <w:lang w:val="zh-CN"/>
        </w:rPr>
        <w:t>支出决算为</w:t>
      </w:r>
      <w:r>
        <w:rPr>
          <w:rFonts w:hint="eastAsia" w:ascii="仿宋_GB2312" w:hAnsi="仿宋_GB2312" w:eastAsia="仿宋_GB2312" w:cs="仿宋_GB2312"/>
          <w:color w:val="000000"/>
          <w:kern w:val="2"/>
          <w:sz w:val="32"/>
          <w:szCs w:val="32"/>
          <w:lang w:val="en-US" w:eastAsia="zh-CN"/>
        </w:rPr>
        <w:t>78.72</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17.</w:t>
      </w:r>
      <w:r>
        <w:rPr>
          <w:rFonts w:hint="eastAsia" w:ascii="仿宋_GB2312" w:hAnsi="仿宋_GB2312" w:eastAsia="仿宋_GB2312" w:cs="仿宋_GB2312"/>
          <w:color w:val="000000"/>
          <w:kern w:val="2"/>
          <w:sz w:val="32"/>
          <w:szCs w:val="32"/>
          <w:lang w:val="zh-CN"/>
        </w:rPr>
        <w:t>住房保障支出（类）住房改革支出（款） 住房公积金（项）:支出决算为</w:t>
      </w:r>
      <w:r>
        <w:rPr>
          <w:rFonts w:hint="eastAsia" w:ascii="仿宋_GB2312" w:hAnsi="仿宋_GB2312" w:eastAsia="仿宋_GB2312" w:cs="仿宋_GB2312"/>
          <w:color w:val="000000"/>
          <w:kern w:val="2"/>
          <w:sz w:val="32"/>
          <w:szCs w:val="32"/>
          <w:lang w:val="en-US" w:eastAsia="zh-CN"/>
        </w:rPr>
        <w:t>19.58</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pPr>
        <w:tabs>
          <w:tab w:val="right" w:pos="8306"/>
        </w:tabs>
        <w:spacing w:line="600" w:lineRule="exact"/>
        <w:ind w:firstLine="640"/>
        <w:outlineLvl w:val="1"/>
        <w:rPr>
          <w:rStyle w:val="29"/>
        </w:rPr>
      </w:pPr>
      <w:bookmarkStart w:id="52" w:name="_Toc15396608"/>
      <w:bookmarkStart w:id="53" w:name="_Toc23475"/>
      <w:bookmarkStart w:id="54"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9"/>
          <w:rFonts w:hint="eastAsia" w:ascii="黑体" w:hAnsi="黑体" w:eastAsia="黑体"/>
          <w:b w:val="0"/>
        </w:rPr>
        <w:t>般公共预算财政拨款基本支出决算情况说明</w:t>
      </w:r>
      <w:bookmarkEnd w:id="52"/>
      <w:bookmarkEnd w:id="53"/>
      <w:bookmarkEnd w:id="54"/>
      <w:r>
        <w:rPr>
          <w:rStyle w:val="29"/>
          <w:rFonts w:ascii="黑体" w:hAnsi="黑体" w:eastAsia="黑体"/>
          <w:b w:val="0"/>
        </w:rPr>
        <w:tab/>
      </w:r>
    </w:p>
    <w:p>
      <w:pPr>
        <w:spacing w:line="600" w:lineRule="exact"/>
        <w:ind w:firstLine="64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年度一般公共预算财政拨款基本支出366.12万元，其中：</w:t>
      </w:r>
    </w:p>
    <w:p>
      <w:pPr>
        <w:spacing w:line="600" w:lineRule="exact"/>
        <w:ind w:firstLine="64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人员经费286.69万元，主要包括：基本工资、津贴补贴、奖金、机关事业单位基本养老保险缴费、职业年金缴费、医疗费补助</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其他社会保障缴费、住房公积金、其他对个人和家庭的补助支出等。</w:t>
      </w:r>
      <w:r>
        <w:rPr>
          <w:rFonts w:hint="eastAsia" w:ascii="仿宋_GB2312" w:hAnsi="仿宋_GB2312" w:eastAsia="仿宋_GB2312" w:cs="仿宋_GB2312"/>
          <w:b w:val="0"/>
          <w:bCs w:val="0"/>
          <w:sz w:val="32"/>
          <w:szCs w:val="32"/>
        </w:rPr>
        <w:br w:type="textWrapping"/>
      </w:r>
      <w:r>
        <w:rPr>
          <w:rFonts w:hint="eastAsia" w:ascii="仿宋_GB2312" w:hAnsi="仿宋_GB2312" w:eastAsia="仿宋_GB2312" w:cs="仿宋_GB2312"/>
          <w:b w:val="0"/>
          <w:bCs w:val="0"/>
          <w:sz w:val="32"/>
          <w:szCs w:val="32"/>
        </w:rPr>
        <w:t>　　公用经费79.43万元，主要包括：办公费、邮电费、差旅费、公务接待费、劳务费、委托业务费、工会经费、福利费、公务用车运行维护费、其他交通费、其他商品和服务支出等。</w:t>
      </w:r>
    </w:p>
    <w:p>
      <w:pPr>
        <w:spacing w:line="600" w:lineRule="exact"/>
        <w:ind w:firstLine="640"/>
        <w:outlineLvl w:val="1"/>
        <w:rPr>
          <w:rStyle w:val="29"/>
          <w:rFonts w:ascii="黑体" w:hAnsi="黑体" w:eastAsia="黑体"/>
          <w:b w:val="0"/>
        </w:rPr>
      </w:pPr>
      <w:bookmarkStart w:id="55" w:name="_Toc15377215"/>
      <w:bookmarkStart w:id="56" w:name="_Toc19479"/>
      <w:bookmarkStart w:id="57" w:name="_Toc15396609"/>
      <w:r>
        <w:rPr>
          <w:rFonts w:hint="eastAsia" w:ascii="黑体" w:eastAsia="黑体"/>
          <w:sz w:val="32"/>
          <w:szCs w:val="32"/>
        </w:rPr>
        <w:t>七、</w:t>
      </w:r>
      <w:r>
        <w:rPr>
          <w:rStyle w:val="29"/>
          <w:rFonts w:hint="eastAsia" w:ascii="黑体" w:hAnsi="黑体" w:eastAsia="黑体"/>
          <w:b w:val="0"/>
        </w:rPr>
        <w:t>财政拨款</w:t>
      </w:r>
      <w:r>
        <w:rPr>
          <w:rStyle w:val="29"/>
          <w:rFonts w:hint="eastAsia" w:ascii="黑体" w:hAnsi="黑体" w:eastAsia="黑体"/>
        </w:rPr>
        <w:t>“</w:t>
      </w:r>
      <w:r>
        <w:rPr>
          <w:rStyle w:val="29"/>
          <w:rFonts w:hint="eastAsia" w:ascii="黑体" w:hAnsi="黑体" w:eastAsia="黑体"/>
          <w:b w:val="0"/>
        </w:rPr>
        <w:t>三公”经费支出决算情况说明</w:t>
      </w:r>
      <w:bookmarkEnd w:id="55"/>
      <w:bookmarkEnd w:id="56"/>
      <w:bookmarkEnd w:id="57"/>
    </w:p>
    <w:p>
      <w:pPr>
        <w:spacing w:line="600" w:lineRule="exact"/>
        <w:ind w:firstLine="640"/>
        <w:outlineLvl w:val="2"/>
        <w:rPr>
          <w:rFonts w:ascii="仿宋" w:hAnsi="仿宋" w:eastAsia="仿宋"/>
          <w:b/>
          <w:sz w:val="32"/>
          <w:szCs w:val="32"/>
        </w:rPr>
      </w:pPr>
      <w:bookmarkStart w:id="58" w:name="_Toc15377216"/>
      <w:r>
        <w:rPr>
          <w:rFonts w:hint="eastAsia" w:ascii="仿宋" w:hAnsi="仿宋" w:eastAsia="仿宋"/>
          <w:b/>
          <w:sz w:val="32"/>
          <w:szCs w:val="32"/>
        </w:rPr>
        <w:t>（一）“三公”经费财政拨款支出决算总体情况说明</w:t>
      </w:r>
      <w:bookmarkEnd w:id="58"/>
    </w:p>
    <w:p>
      <w:pPr>
        <w:spacing w:line="60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年度“三公”经费财政拨款支出决算为</w:t>
      </w:r>
      <w:r>
        <w:rPr>
          <w:rFonts w:hint="eastAsia" w:ascii="仿宋_GB2312" w:hAnsi="仿宋_GB2312" w:eastAsia="仿宋_GB2312" w:cs="仿宋_GB2312"/>
          <w:b w:val="0"/>
          <w:bCs w:val="0"/>
          <w:sz w:val="32"/>
          <w:szCs w:val="32"/>
          <w:lang w:val="en-US" w:eastAsia="zh-CN"/>
        </w:rPr>
        <w:t>4.56</w:t>
      </w:r>
      <w:r>
        <w:rPr>
          <w:rFonts w:hint="eastAsia" w:ascii="仿宋_GB2312" w:hAnsi="仿宋_GB2312" w:eastAsia="仿宋_GB2312" w:cs="仿宋_GB2312"/>
          <w:b w:val="0"/>
          <w:bCs w:val="0"/>
          <w:sz w:val="32"/>
          <w:szCs w:val="32"/>
        </w:rPr>
        <w:t>万元，完成预算100%，较上年度</w:t>
      </w:r>
      <w:r>
        <w:rPr>
          <w:rFonts w:hint="eastAsia" w:ascii="仿宋_GB2312" w:hAnsi="仿宋_GB2312" w:eastAsia="仿宋_GB2312" w:cs="仿宋_GB2312"/>
          <w:b w:val="0"/>
          <w:bCs w:val="0"/>
          <w:color w:val="000000"/>
          <w:kern w:val="2"/>
          <w:sz w:val="32"/>
          <w:lang w:val="en-US" w:eastAsia="zh-CN"/>
        </w:rPr>
        <w:t>0.66</w:t>
      </w:r>
      <w:r>
        <w:rPr>
          <w:rFonts w:hint="eastAsia" w:ascii="仿宋_GB2312" w:hAnsi="仿宋_GB2312" w:eastAsia="仿宋_GB2312" w:cs="仿宋_GB2312"/>
          <w:b w:val="0"/>
          <w:bCs w:val="0"/>
          <w:color w:val="000000"/>
          <w:kern w:val="2"/>
          <w:sz w:val="32"/>
          <w:lang w:val="zh-CN"/>
        </w:rPr>
        <w:t>万元</w:t>
      </w:r>
      <w:r>
        <w:rPr>
          <w:rFonts w:hint="eastAsia" w:ascii="仿宋_GB2312" w:hAnsi="仿宋_GB2312" w:eastAsia="仿宋_GB2312" w:cs="仿宋_GB2312"/>
          <w:b w:val="0"/>
          <w:bCs w:val="0"/>
          <w:sz w:val="32"/>
          <w:szCs w:val="32"/>
          <w:lang w:eastAsia="zh-CN"/>
        </w:rPr>
        <w:t>增加</w:t>
      </w:r>
      <w:r>
        <w:rPr>
          <w:rFonts w:hint="eastAsia" w:ascii="仿宋_GB2312" w:hAnsi="仿宋_GB2312" w:eastAsia="仿宋_GB2312" w:cs="仿宋_GB2312"/>
          <w:b w:val="0"/>
          <w:bCs w:val="0"/>
          <w:sz w:val="32"/>
          <w:szCs w:val="32"/>
          <w:lang w:val="en-US" w:eastAsia="zh-CN"/>
        </w:rPr>
        <w:t>3.9</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增长</w:t>
      </w:r>
      <w:r>
        <w:rPr>
          <w:rFonts w:hint="eastAsia" w:ascii="仿宋_GB2312" w:hAnsi="仿宋_GB2312" w:eastAsia="仿宋_GB2312" w:cs="仿宋_GB2312"/>
          <w:b w:val="0"/>
          <w:bCs w:val="0"/>
          <w:sz w:val="32"/>
          <w:szCs w:val="32"/>
          <w:lang w:val="en-US" w:eastAsia="zh-CN"/>
        </w:rPr>
        <w:t>590.9</w:t>
      </w:r>
      <w:r>
        <w:rPr>
          <w:rFonts w:hint="eastAsia" w:ascii="仿宋_GB2312" w:hAnsi="仿宋_GB2312" w:eastAsia="仿宋_GB2312" w:cs="仿宋_GB2312"/>
          <w:b w:val="0"/>
          <w:bCs w:val="0"/>
          <w:sz w:val="32"/>
          <w:szCs w:val="32"/>
        </w:rPr>
        <w:t>%。决算数与预算数持平。</w:t>
      </w:r>
    </w:p>
    <w:p>
      <w:pPr>
        <w:spacing w:line="600" w:lineRule="exact"/>
        <w:ind w:firstLine="640"/>
        <w:outlineLvl w:val="2"/>
        <w:rPr>
          <w:rFonts w:ascii="仿宋" w:hAnsi="仿宋" w:eastAsia="仿宋"/>
          <w:b/>
          <w:sz w:val="32"/>
          <w:szCs w:val="32"/>
        </w:rPr>
      </w:pPr>
      <w:bookmarkStart w:id="59" w:name="_Toc15377217"/>
      <w:r>
        <w:rPr>
          <w:rFonts w:hint="eastAsia" w:ascii="仿宋" w:hAnsi="仿宋" w:eastAsia="仿宋"/>
          <w:b/>
          <w:sz w:val="32"/>
          <w:szCs w:val="32"/>
        </w:rPr>
        <w:t>（二）“三公”经费财政拨款支出决算具体情况说明</w:t>
      </w:r>
      <w:bookmarkEnd w:id="59"/>
    </w:p>
    <w:p>
      <w:pPr>
        <w:spacing w:line="60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年度“三公”经费财政拨款支出决算中，因公出国（境）费支出决算0万元，占0%；公务用车购置及运行维护费支出决算</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万元，占</w:t>
      </w:r>
      <w:r>
        <w:rPr>
          <w:rFonts w:hint="eastAsia" w:ascii="仿宋_GB2312" w:hAnsi="仿宋_GB2312" w:eastAsia="仿宋_GB2312" w:cs="仿宋_GB2312"/>
          <w:b w:val="0"/>
          <w:bCs w:val="0"/>
          <w:sz w:val="32"/>
          <w:szCs w:val="32"/>
          <w:lang w:val="en-US" w:eastAsia="zh-CN"/>
        </w:rPr>
        <w:t>43.9</w:t>
      </w:r>
      <w:r>
        <w:rPr>
          <w:rFonts w:hint="eastAsia" w:ascii="仿宋_GB2312" w:hAnsi="仿宋_GB2312" w:eastAsia="仿宋_GB2312" w:cs="仿宋_GB2312"/>
          <w:b w:val="0"/>
          <w:bCs w:val="0"/>
          <w:sz w:val="32"/>
          <w:szCs w:val="32"/>
        </w:rPr>
        <w:t>%；公务接待费支出决算2.56万元，占</w:t>
      </w:r>
      <w:r>
        <w:rPr>
          <w:rFonts w:hint="eastAsia" w:ascii="仿宋_GB2312" w:hAnsi="仿宋_GB2312" w:eastAsia="仿宋_GB2312" w:cs="仿宋_GB2312"/>
          <w:b w:val="0"/>
          <w:bCs w:val="0"/>
          <w:sz w:val="32"/>
          <w:szCs w:val="32"/>
          <w:lang w:val="en-US" w:eastAsia="zh-CN"/>
        </w:rPr>
        <w:t>56.1</w:t>
      </w:r>
      <w:r>
        <w:rPr>
          <w:rFonts w:hint="eastAsia" w:ascii="仿宋_GB2312" w:hAnsi="仿宋_GB2312" w:eastAsia="仿宋_GB2312" w:cs="仿宋_GB2312"/>
          <w:b w:val="0"/>
          <w:bCs w:val="0"/>
          <w:sz w:val="32"/>
          <w:szCs w:val="32"/>
        </w:rPr>
        <w:t>%。具体情况如下：</w:t>
      </w:r>
    </w:p>
    <w:p>
      <w:pPr>
        <w:spacing w:line="600" w:lineRule="exact"/>
        <w:ind w:firstLine="640"/>
        <w:rPr>
          <w:rFonts w:hint="eastAsia" w:ascii="仿宋" w:hAnsi="仿宋" w:eastAsia="仿宋"/>
          <w:sz w:val="32"/>
          <w:szCs w:val="32"/>
        </w:rPr>
      </w:pPr>
      <w:r>
        <w:rPr>
          <w:rFonts w:hint="eastAsia" w:ascii="仿宋" w:hAnsi="仿宋" w:eastAsia="仿宋"/>
          <w:sz w:val="32"/>
          <w:szCs w:val="32"/>
        </w:rPr>
        <w:t>图7：“三公”经费财政拨款支出结构</w:t>
      </w:r>
    </w:p>
    <w:p>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78350" cy="2576195"/>
            <wp:effectExtent l="0" t="0" r="12700" b="14605"/>
            <wp:docPr id="14" name="图片 14"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7"/>
                    <pic:cNvPicPr>
                      <a:picLocks noChangeAspect="1"/>
                    </pic:cNvPicPr>
                  </pic:nvPicPr>
                  <pic:blipFill>
                    <a:blip r:embed="rId14"/>
                    <a:stretch>
                      <a:fillRect/>
                    </a:stretch>
                  </pic:blipFill>
                  <pic:spPr>
                    <a:xfrm>
                      <a:off x="0" y="0"/>
                      <a:ext cx="4578350" cy="2576195"/>
                    </a:xfrm>
                    <a:prstGeom prst="rect">
                      <a:avLst/>
                    </a:prstGeom>
                  </pic:spPr>
                </pic:pic>
              </a:graphicData>
            </a:graphic>
          </wp:inline>
        </w:drawing>
      </w:r>
    </w:p>
    <w:p>
      <w:pPr>
        <w:pStyle w:val="2"/>
        <w:rPr>
          <w:rFonts w:hint="eastAsia" w:ascii="仿宋" w:hAnsi="仿宋" w:eastAsia="仿宋"/>
          <w:sz w:val="32"/>
          <w:szCs w:val="32"/>
        </w:rPr>
      </w:pPr>
    </w:p>
    <w:p>
      <w:pPr>
        <w:pStyle w:val="4"/>
        <w:ind w:firstLine="640" w:firstLineChars="200"/>
        <w:rPr>
          <w:rFonts w:hint="eastAsia" w:ascii="仿宋_GB2312" w:hAnsi="仿宋_GB2312" w:eastAsia="仿宋_GB2312" w:cs="仿宋_GB2312"/>
          <w:b w:val="0"/>
          <w:bCs/>
          <w:sz w:val="32"/>
          <w:szCs w:val="32"/>
        </w:rPr>
      </w:pPr>
      <w:bookmarkStart w:id="60" w:name="_Toc15377218"/>
      <w:bookmarkStart w:id="61" w:name="_Toc15396610"/>
      <w:r>
        <w:rPr>
          <w:rFonts w:hint="eastAsia" w:ascii="仿宋_GB2312" w:hAnsi="仿宋_GB2312" w:eastAsia="仿宋_GB2312" w:cs="仿宋_GB2312"/>
          <w:b w:val="0"/>
          <w:bCs/>
          <w:sz w:val="32"/>
          <w:szCs w:val="32"/>
        </w:rPr>
        <w:t>1.因公出国（境）经费支出0万元，</w:t>
      </w:r>
      <w:r>
        <w:rPr>
          <w:rStyle w:val="17"/>
          <w:rFonts w:hint="eastAsia" w:ascii="仿宋_GB2312" w:hAnsi="仿宋_GB2312" w:eastAsia="仿宋_GB2312" w:cs="仿宋_GB2312"/>
          <w:b w:val="0"/>
          <w:bCs/>
          <w:sz w:val="32"/>
          <w:szCs w:val="32"/>
        </w:rPr>
        <w:t>完成预算0%。</w:t>
      </w:r>
      <w:r>
        <w:rPr>
          <w:rFonts w:hint="eastAsia" w:ascii="仿宋_GB2312" w:hAnsi="仿宋_GB2312" w:eastAsia="仿宋_GB2312" w:cs="仿宋_GB2312"/>
          <w:b w:val="0"/>
          <w:bCs/>
          <w:sz w:val="32"/>
          <w:szCs w:val="32"/>
        </w:rPr>
        <w:t>全年安排因公出国（境）团组0次，出国（境）0人。因公出国（境）支出决算比</w:t>
      </w:r>
      <w:r>
        <w:rPr>
          <w:rFonts w:hint="eastAsia" w:ascii="仿宋_GB2312" w:hAnsi="仿宋_GB2312" w:eastAsia="仿宋_GB2312" w:cs="仿宋_GB2312"/>
          <w:b w:val="0"/>
          <w:bCs/>
          <w:sz w:val="32"/>
          <w:szCs w:val="32"/>
          <w:lang w:eastAsia="zh-CN"/>
        </w:rPr>
        <w:t>2023</w:t>
      </w:r>
      <w:r>
        <w:rPr>
          <w:rFonts w:hint="eastAsia" w:ascii="仿宋_GB2312" w:hAnsi="仿宋_GB2312" w:eastAsia="仿宋_GB2312" w:cs="仿宋_GB2312"/>
          <w:b w:val="0"/>
          <w:bCs/>
          <w:sz w:val="32"/>
          <w:szCs w:val="32"/>
        </w:rPr>
        <w:t>年增加</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万元，增长</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%。主要原因是</w:t>
      </w:r>
      <w:r>
        <w:rPr>
          <w:rFonts w:hint="eastAsia" w:ascii="仿宋_GB2312" w:hAnsi="仿宋_GB2312" w:eastAsia="仿宋_GB2312" w:cs="仿宋_GB2312"/>
          <w:b w:val="0"/>
          <w:bCs/>
          <w:sz w:val="32"/>
          <w:szCs w:val="32"/>
          <w:lang w:val="en-US" w:eastAsia="zh-CN"/>
        </w:rPr>
        <w:t>未安排该项支出</w:t>
      </w:r>
      <w:r>
        <w:rPr>
          <w:rFonts w:hint="eastAsia" w:ascii="仿宋_GB2312" w:hAnsi="仿宋_GB2312" w:eastAsia="仿宋_GB2312" w:cs="仿宋_GB2312"/>
          <w:b w:val="0"/>
          <w:bCs/>
          <w:sz w:val="32"/>
          <w:szCs w:val="32"/>
        </w:rPr>
        <w:t>。</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开支内容包括：</w:t>
      </w:r>
      <w:r>
        <w:rPr>
          <w:rFonts w:hint="eastAsia" w:ascii="仿宋_GB2312" w:hAnsi="仿宋_GB2312" w:eastAsia="仿宋_GB2312" w:cs="仿宋_GB2312"/>
          <w:b w:val="0"/>
          <w:bCs/>
          <w:sz w:val="32"/>
          <w:szCs w:val="32"/>
          <w:lang w:eastAsia="zh-CN"/>
        </w:rPr>
        <w:t>无。</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2.公务用车购置及运行维护费支出</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万元,</w:t>
      </w:r>
      <w:r>
        <w:rPr>
          <w:rStyle w:val="17"/>
          <w:rFonts w:hint="eastAsia" w:ascii="仿宋_GB2312" w:hAnsi="仿宋_GB2312" w:eastAsia="仿宋_GB2312" w:cs="仿宋_GB2312"/>
          <w:b w:val="0"/>
          <w:bCs/>
          <w:sz w:val="32"/>
          <w:szCs w:val="32"/>
        </w:rPr>
        <w:t>完成预算100%。</w:t>
      </w:r>
      <w:r>
        <w:rPr>
          <w:rFonts w:hint="eastAsia" w:ascii="仿宋_GB2312" w:hAnsi="仿宋_GB2312" w:eastAsia="仿宋_GB2312" w:cs="仿宋_GB2312"/>
          <w:b w:val="0"/>
          <w:bCs/>
          <w:sz w:val="32"/>
          <w:szCs w:val="32"/>
        </w:rPr>
        <w:t>公务用车购置及运行维护费支出决算比</w:t>
      </w:r>
      <w:r>
        <w:rPr>
          <w:rFonts w:hint="eastAsia" w:ascii="仿宋_GB2312" w:hAnsi="仿宋_GB2312" w:eastAsia="仿宋_GB2312" w:cs="仿宋_GB2312"/>
          <w:b w:val="0"/>
          <w:bCs/>
          <w:sz w:val="32"/>
          <w:szCs w:val="32"/>
          <w:lang w:eastAsia="zh-CN"/>
        </w:rPr>
        <w:t>2023</w:t>
      </w:r>
      <w:r>
        <w:rPr>
          <w:rFonts w:hint="eastAsia" w:ascii="仿宋_GB2312" w:hAnsi="仿宋_GB2312" w:eastAsia="仿宋_GB2312" w:cs="仿宋_GB2312"/>
          <w:b w:val="0"/>
          <w:bCs/>
          <w:sz w:val="32"/>
          <w:szCs w:val="32"/>
        </w:rPr>
        <w:t>年度</w:t>
      </w:r>
      <w:r>
        <w:rPr>
          <w:rFonts w:hint="eastAsia" w:ascii="仿宋_GB2312" w:hAnsi="仿宋_GB2312" w:eastAsia="仿宋_GB2312" w:cs="仿宋_GB2312"/>
          <w:b w:val="0"/>
          <w:bCs/>
          <w:color w:val="000000"/>
          <w:kern w:val="2"/>
          <w:sz w:val="32"/>
          <w:lang w:val="en-US" w:eastAsia="zh-CN"/>
        </w:rPr>
        <w:t>0.48</w:t>
      </w:r>
      <w:r>
        <w:rPr>
          <w:rFonts w:hint="eastAsia" w:ascii="仿宋_GB2312" w:hAnsi="仿宋_GB2312" w:eastAsia="仿宋_GB2312" w:cs="仿宋_GB2312"/>
          <w:b w:val="0"/>
          <w:bCs/>
          <w:color w:val="000000"/>
          <w:kern w:val="2"/>
          <w:sz w:val="32"/>
          <w:lang w:val="zh-CN"/>
        </w:rPr>
        <w:t>万元</w:t>
      </w:r>
      <w:r>
        <w:rPr>
          <w:rFonts w:hint="eastAsia" w:ascii="仿宋_GB2312" w:hAnsi="仿宋_GB2312" w:eastAsia="仿宋_GB2312" w:cs="仿宋_GB2312"/>
          <w:b w:val="0"/>
          <w:bCs/>
          <w:sz w:val="32"/>
          <w:szCs w:val="32"/>
          <w:lang w:eastAsia="zh-CN"/>
        </w:rPr>
        <w:t>增加</w:t>
      </w:r>
      <w:r>
        <w:rPr>
          <w:rFonts w:hint="eastAsia" w:ascii="仿宋_GB2312" w:hAnsi="仿宋_GB2312" w:eastAsia="仿宋_GB2312" w:cs="仿宋_GB2312"/>
          <w:b w:val="0"/>
          <w:bCs/>
          <w:sz w:val="32"/>
          <w:szCs w:val="32"/>
          <w:lang w:val="en-US" w:eastAsia="zh-CN"/>
        </w:rPr>
        <w:t>1.52</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增长</w:t>
      </w:r>
      <w:r>
        <w:rPr>
          <w:rFonts w:hint="eastAsia" w:ascii="仿宋_GB2312" w:hAnsi="仿宋_GB2312" w:eastAsia="仿宋_GB2312" w:cs="仿宋_GB2312"/>
          <w:b w:val="0"/>
          <w:bCs/>
          <w:sz w:val="32"/>
          <w:szCs w:val="32"/>
          <w:lang w:val="en-US" w:eastAsia="zh-CN"/>
        </w:rPr>
        <w:t>316.6</w:t>
      </w:r>
      <w:r>
        <w:rPr>
          <w:rFonts w:hint="eastAsia" w:ascii="仿宋_GB2312" w:hAnsi="仿宋_GB2312" w:eastAsia="仿宋_GB2312" w:cs="仿宋_GB2312"/>
          <w:b w:val="0"/>
          <w:bCs/>
          <w:sz w:val="32"/>
          <w:szCs w:val="32"/>
        </w:rPr>
        <w:t>%。主要原因是</w:t>
      </w:r>
      <w:r>
        <w:rPr>
          <w:rFonts w:hint="eastAsia" w:ascii="仿宋_GB2312" w:hAnsi="仿宋_GB2312" w:eastAsia="仿宋_GB2312" w:cs="仿宋_GB2312"/>
          <w:b w:val="0"/>
          <w:bCs/>
          <w:sz w:val="32"/>
          <w:szCs w:val="32"/>
          <w:lang w:eastAsia="zh-CN"/>
        </w:rPr>
        <w:t>上年部份</w:t>
      </w:r>
      <w:r>
        <w:rPr>
          <w:rFonts w:hint="eastAsia" w:ascii="仿宋_GB2312" w:hAnsi="仿宋_GB2312" w:eastAsia="仿宋_GB2312" w:cs="仿宋_GB2312"/>
          <w:b w:val="0"/>
          <w:bCs/>
          <w:sz w:val="32"/>
          <w:szCs w:val="32"/>
        </w:rPr>
        <w:t>公务用车运行维护费</w:t>
      </w:r>
      <w:r>
        <w:rPr>
          <w:rFonts w:hint="eastAsia" w:ascii="仿宋_GB2312" w:hAnsi="仿宋_GB2312" w:eastAsia="仿宋_GB2312" w:cs="仿宋_GB2312"/>
          <w:b w:val="0"/>
          <w:bCs/>
          <w:sz w:val="32"/>
          <w:szCs w:val="32"/>
          <w:lang w:eastAsia="zh-CN"/>
        </w:rPr>
        <w:t>在单位资金中支付，本年在</w:t>
      </w:r>
      <w:r>
        <w:rPr>
          <w:rFonts w:hint="eastAsia" w:ascii="仿宋_GB2312" w:hAnsi="仿宋_GB2312" w:eastAsia="仿宋_GB2312" w:cs="仿宋_GB2312"/>
          <w:b w:val="0"/>
          <w:bCs/>
          <w:sz w:val="32"/>
          <w:szCs w:val="32"/>
        </w:rPr>
        <w:t>一般公共预算财政拨款</w:t>
      </w:r>
      <w:r>
        <w:rPr>
          <w:rFonts w:hint="eastAsia" w:ascii="仿宋_GB2312" w:hAnsi="仿宋_GB2312" w:eastAsia="仿宋_GB2312" w:cs="仿宋_GB2312"/>
          <w:b w:val="0"/>
          <w:bCs/>
          <w:sz w:val="32"/>
          <w:szCs w:val="32"/>
          <w:lang w:eastAsia="zh-CN"/>
        </w:rPr>
        <w:t>支付所致</w:t>
      </w:r>
      <w:r>
        <w:rPr>
          <w:rFonts w:hint="eastAsia" w:ascii="仿宋_GB2312" w:hAnsi="仿宋_GB2312" w:eastAsia="仿宋_GB2312" w:cs="仿宋_GB2312"/>
          <w:b w:val="0"/>
          <w:bCs/>
          <w:sz w:val="32"/>
          <w:szCs w:val="32"/>
        </w:rPr>
        <w:t>。</w:t>
      </w:r>
    </w:p>
    <w:p>
      <w:pPr>
        <w:spacing w:line="60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其中：公务用车购置支出0万元。全年按规定更新购置公务用车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辆，其中：轿车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万元，越野车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万元，载客汽车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万元，主要用于</w:t>
      </w:r>
      <w:r>
        <w:rPr>
          <w:rFonts w:hint="eastAsia" w:ascii="仿宋_GB2312" w:hAnsi="仿宋_GB2312" w:eastAsia="仿宋_GB2312" w:cs="仿宋_GB2312"/>
          <w:b w:val="0"/>
          <w:bCs/>
          <w:sz w:val="32"/>
          <w:szCs w:val="32"/>
          <w:lang w:eastAsia="zh-CN"/>
        </w:rPr>
        <w:t>：无。</w:t>
      </w:r>
      <w:r>
        <w:rPr>
          <w:rFonts w:hint="eastAsia" w:ascii="仿宋_GB2312" w:hAnsi="仿宋_GB2312" w:eastAsia="仿宋_GB2312" w:cs="仿宋_GB2312"/>
          <w:b w:val="0"/>
          <w:bCs/>
          <w:sz w:val="32"/>
          <w:szCs w:val="32"/>
        </w:rPr>
        <w:t>截至</w:t>
      </w:r>
      <w:r>
        <w:rPr>
          <w:rFonts w:hint="eastAsia" w:ascii="仿宋_GB2312" w:hAnsi="仿宋_GB2312" w:eastAsia="仿宋_GB2312" w:cs="仿宋_GB2312"/>
          <w:b w:val="0"/>
          <w:bCs/>
          <w:sz w:val="32"/>
          <w:szCs w:val="32"/>
          <w:lang w:eastAsia="zh-CN"/>
        </w:rPr>
        <w:t>2024</w:t>
      </w:r>
      <w:r>
        <w:rPr>
          <w:rFonts w:hint="eastAsia" w:ascii="仿宋_GB2312" w:hAnsi="仿宋_GB2312" w:eastAsia="仿宋_GB2312" w:cs="仿宋_GB2312"/>
          <w:b w:val="0"/>
          <w:bCs/>
          <w:sz w:val="32"/>
          <w:szCs w:val="32"/>
        </w:rPr>
        <w:t>年12月31日，单位共有公务用车</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辆，其中：轿车</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辆、越野车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辆、载客汽车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公务用车运行维护费支出</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万元。主要用于行政运行</w:t>
      </w:r>
      <w:r>
        <w:rPr>
          <w:rFonts w:hint="eastAsia" w:ascii="仿宋_GB2312" w:hAnsi="仿宋_GB2312" w:eastAsia="仿宋_GB2312" w:cs="仿宋_GB2312"/>
          <w:b w:val="0"/>
          <w:bCs/>
          <w:sz w:val="32"/>
          <w:szCs w:val="32"/>
          <w:lang w:eastAsia="zh-CN"/>
        </w:rPr>
        <w:t>日常工作</w:t>
      </w:r>
      <w:r>
        <w:rPr>
          <w:rFonts w:hint="eastAsia" w:ascii="仿宋_GB2312" w:hAnsi="仿宋_GB2312" w:eastAsia="仿宋_GB2312" w:cs="仿宋_GB2312"/>
          <w:b w:val="0"/>
          <w:bCs/>
          <w:sz w:val="32"/>
          <w:szCs w:val="32"/>
        </w:rPr>
        <w:t>等所需的公务用车燃料费、维修费、过路过桥费、保险费等支出。</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3.公务接待费支出</w:t>
      </w:r>
      <w:r>
        <w:rPr>
          <w:rFonts w:hint="eastAsia" w:ascii="仿宋_GB2312" w:hAnsi="仿宋_GB2312" w:eastAsia="仿宋_GB2312" w:cs="仿宋_GB2312"/>
          <w:b w:val="0"/>
          <w:bCs/>
          <w:sz w:val="32"/>
          <w:szCs w:val="32"/>
          <w:lang w:val="en-US" w:eastAsia="zh-CN"/>
        </w:rPr>
        <w:t>2.56</w:t>
      </w:r>
      <w:r>
        <w:rPr>
          <w:rFonts w:hint="eastAsia" w:ascii="仿宋_GB2312" w:hAnsi="仿宋_GB2312" w:eastAsia="仿宋_GB2312" w:cs="仿宋_GB2312"/>
          <w:b w:val="0"/>
          <w:bCs/>
          <w:sz w:val="32"/>
          <w:szCs w:val="32"/>
        </w:rPr>
        <w:t>万元，</w:t>
      </w:r>
      <w:r>
        <w:rPr>
          <w:rStyle w:val="17"/>
          <w:rFonts w:hint="eastAsia" w:ascii="仿宋_GB2312" w:hAnsi="仿宋_GB2312" w:eastAsia="仿宋_GB2312" w:cs="仿宋_GB2312"/>
          <w:b w:val="0"/>
          <w:bCs/>
          <w:sz w:val="32"/>
          <w:szCs w:val="32"/>
        </w:rPr>
        <w:t>完成预算100%。</w:t>
      </w:r>
      <w:r>
        <w:rPr>
          <w:rFonts w:hint="eastAsia" w:ascii="仿宋_GB2312" w:hAnsi="仿宋_GB2312" w:eastAsia="仿宋_GB2312" w:cs="仿宋_GB2312"/>
          <w:b w:val="0"/>
          <w:bCs/>
          <w:sz w:val="32"/>
          <w:szCs w:val="32"/>
        </w:rPr>
        <w:t>公务接待费支出决算比</w:t>
      </w:r>
      <w:r>
        <w:rPr>
          <w:rFonts w:hint="eastAsia" w:ascii="仿宋_GB2312" w:hAnsi="仿宋_GB2312" w:eastAsia="仿宋_GB2312" w:cs="仿宋_GB2312"/>
          <w:b w:val="0"/>
          <w:bCs/>
          <w:sz w:val="32"/>
          <w:szCs w:val="32"/>
          <w:lang w:eastAsia="zh-CN"/>
        </w:rPr>
        <w:t>2023</w:t>
      </w:r>
      <w:r>
        <w:rPr>
          <w:rFonts w:hint="eastAsia" w:ascii="仿宋_GB2312" w:hAnsi="仿宋_GB2312" w:eastAsia="仿宋_GB2312" w:cs="仿宋_GB2312"/>
          <w:b w:val="0"/>
          <w:bCs/>
          <w:sz w:val="32"/>
          <w:szCs w:val="32"/>
        </w:rPr>
        <w:t>年度</w:t>
      </w:r>
      <w:r>
        <w:rPr>
          <w:rFonts w:hint="eastAsia" w:ascii="仿宋_GB2312" w:hAnsi="仿宋_GB2312" w:eastAsia="仿宋_GB2312" w:cs="仿宋_GB2312"/>
          <w:b w:val="0"/>
          <w:bCs/>
          <w:color w:val="000000"/>
          <w:kern w:val="2"/>
          <w:sz w:val="32"/>
          <w:lang w:val="en-US" w:eastAsia="zh-CN"/>
        </w:rPr>
        <w:t>0.18</w:t>
      </w:r>
      <w:r>
        <w:rPr>
          <w:rFonts w:hint="eastAsia" w:ascii="仿宋_GB2312" w:hAnsi="仿宋_GB2312" w:eastAsia="仿宋_GB2312" w:cs="仿宋_GB2312"/>
          <w:b w:val="0"/>
          <w:bCs/>
          <w:color w:val="000000"/>
          <w:kern w:val="2"/>
          <w:sz w:val="32"/>
          <w:lang w:val="zh-CN"/>
        </w:rPr>
        <w:t>万元</w:t>
      </w:r>
      <w:r>
        <w:rPr>
          <w:rFonts w:hint="eastAsia" w:ascii="仿宋_GB2312" w:hAnsi="仿宋_GB2312" w:eastAsia="仿宋_GB2312" w:cs="仿宋_GB2312"/>
          <w:b w:val="0"/>
          <w:bCs/>
          <w:sz w:val="32"/>
          <w:szCs w:val="32"/>
          <w:lang w:eastAsia="zh-CN"/>
        </w:rPr>
        <w:t>增加</w:t>
      </w:r>
      <w:r>
        <w:rPr>
          <w:rFonts w:hint="eastAsia" w:ascii="仿宋_GB2312" w:hAnsi="仿宋_GB2312" w:eastAsia="仿宋_GB2312" w:cs="仿宋_GB2312"/>
          <w:b w:val="0"/>
          <w:bCs/>
          <w:sz w:val="32"/>
          <w:szCs w:val="32"/>
          <w:lang w:val="en-US" w:eastAsia="zh-CN"/>
        </w:rPr>
        <w:t>2.38</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增长</w:t>
      </w:r>
      <w:r>
        <w:rPr>
          <w:rFonts w:hint="eastAsia" w:ascii="仿宋_GB2312" w:hAnsi="仿宋_GB2312" w:eastAsia="仿宋_GB2312" w:cs="仿宋_GB2312"/>
          <w:b w:val="0"/>
          <w:bCs/>
          <w:sz w:val="32"/>
          <w:szCs w:val="32"/>
          <w:lang w:val="en-US" w:eastAsia="zh-CN"/>
        </w:rPr>
        <w:t>1322.2</w:t>
      </w:r>
      <w:r>
        <w:rPr>
          <w:rFonts w:hint="eastAsia" w:ascii="仿宋_GB2312" w:hAnsi="仿宋_GB2312" w:eastAsia="仿宋_GB2312" w:cs="仿宋_GB2312"/>
          <w:b w:val="0"/>
          <w:bCs/>
          <w:sz w:val="32"/>
          <w:szCs w:val="32"/>
        </w:rPr>
        <w:t>%。主要原因是</w:t>
      </w:r>
      <w:r>
        <w:rPr>
          <w:rFonts w:hint="eastAsia" w:ascii="仿宋_GB2312" w:hAnsi="仿宋_GB2312" w:eastAsia="仿宋_GB2312" w:cs="仿宋_GB2312"/>
          <w:b w:val="0"/>
          <w:bCs/>
          <w:sz w:val="32"/>
          <w:szCs w:val="32"/>
          <w:lang w:eastAsia="zh-CN"/>
        </w:rPr>
        <w:t>部份</w:t>
      </w:r>
      <w:r>
        <w:rPr>
          <w:rFonts w:hint="eastAsia" w:ascii="仿宋_GB2312" w:hAnsi="仿宋_GB2312" w:eastAsia="仿宋_GB2312" w:cs="仿宋_GB2312"/>
          <w:b w:val="0"/>
          <w:bCs/>
          <w:sz w:val="32"/>
          <w:szCs w:val="32"/>
        </w:rPr>
        <w:t>公务接待费</w:t>
      </w:r>
      <w:r>
        <w:rPr>
          <w:rFonts w:hint="eastAsia" w:ascii="仿宋_GB2312" w:hAnsi="仿宋_GB2312" w:eastAsia="仿宋_GB2312" w:cs="仿宋_GB2312"/>
          <w:b w:val="0"/>
          <w:bCs/>
          <w:sz w:val="32"/>
          <w:szCs w:val="32"/>
          <w:lang w:val="en-US" w:eastAsia="zh-CN"/>
        </w:rPr>
        <w:t>2023</w:t>
      </w:r>
      <w:r>
        <w:rPr>
          <w:rFonts w:hint="eastAsia" w:ascii="仿宋_GB2312" w:hAnsi="仿宋_GB2312" w:eastAsia="仿宋_GB2312" w:cs="仿宋_GB2312"/>
          <w:b w:val="0"/>
          <w:bCs/>
          <w:sz w:val="32"/>
          <w:szCs w:val="32"/>
          <w:lang w:eastAsia="zh-CN"/>
        </w:rPr>
        <w:t>在单位资金中支付</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eastAsia="zh-CN"/>
        </w:rPr>
        <w:t>本年在</w:t>
      </w:r>
      <w:r>
        <w:rPr>
          <w:rFonts w:hint="eastAsia" w:ascii="仿宋_GB2312" w:hAnsi="仿宋_GB2312" w:eastAsia="仿宋_GB2312" w:cs="仿宋_GB2312"/>
          <w:b w:val="0"/>
          <w:bCs/>
          <w:sz w:val="32"/>
          <w:szCs w:val="32"/>
        </w:rPr>
        <w:t>一般公共预算财政拨款</w:t>
      </w:r>
      <w:r>
        <w:rPr>
          <w:rFonts w:hint="eastAsia" w:ascii="仿宋_GB2312" w:hAnsi="仿宋_GB2312" w:eastAsia="仿宋_GB2312" w:cs="仿宋_GB2312"/>
          <w:b w:val="0"/>
          <w:bCs/>
          <w:sz w:val="32"/>
          <w:szCs w:val="32"/>
          <w:lang w:eastAsia="zh-CN"/>
        </w:rPr>
        <w:t>支付所致</w:t>
      </w:r>
      <w:r>
        <w:rPr>
          <w:rFonts w:hint="eastAsia" w:ascii="仿宋_GB2312" w:hAnsi="仿宋_GB2312" w:eastAsia="仿宋_GB2312" w:cs="仿宋_GB2312"/>
          <w:b w:val="0"/>
          <w:bCs/>
          <w:sz w:val="32"/>
          <w:szCs w:val="32"/>
        </w:rPr>
        <w:t>。</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其中：</w:t>
      </w:r>
    </w:p>
    <w:p>
      <w:pPr>
        <w:spacing w:line="600" w:lineRule="exact"/>
        <w:ind w:firstLine="64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国内公务接待支出</w:t>
      </w:r>
      <w:r>
        <w:rPr>
          <w:rFonts w:hint="eastAsia" w:ascii="仿宋_GB2312" w:hAnsi="仿宋_GB2312" w:eastAsia="仿宋_GB2312" w:cs="仿宋_GB2312"/>
          <w:b w:val="0"/>
          <w:bCs/>
          <w:sz w:val="32"/>
          <w:szCs w:val="32"/>
          <w:lang w:val="en-US" w:eastAsia="zh-CN"/>
        </w:rPr>
        <w:t>2.56</w:t>
      </w:r>
      <w:r>
        <w:rPr>
          <w:rFonts w:hint="eastAsia" w:ascii="仿宋_GB2312" w:hAnsi="仿宋_GB2312" w:eastAsia="仿宋_GB2312" w:cs="仿宋_GB2312"/>
          <w:b w:val="0"/>
          <w:bCs/>
          <w:sz w:val="32"/>
          <w:szCs w:val="32"/>
        </w:rPr>
        <w:t>万元，主要用于执行公务、开展业务活动开支的用餐费等。国内公务接待</w:t>
      </w:r>
      <w:r>
        <w:rPr>
          <w:rFonts w:hint="eastAsia" w:ascii="仿宋_GB2312" w:hAnsi="仿宋_GB2312" w:eastAsia="仿宋_GB2312" w:cs="仿宋_GB2312"/>
          <w:b w:val="0"/>
          <w:bCs/>
          <w:sz w:val="32"/>
          <w:szCs w:val="32"/>
          <w:lang w:val="en-US" w:eastAsia="zh-CN"/>
        </w:rPr>
        <w:t>25</w:t>
      </w:r>
      <w:r>
        <w:rPr>
          <w:rFonts w:hint="eastAsia" w:ascii="仿宋_GB2312" w:hAnsi="仿宋_GB2312" w:eastAsia="仿宋_GB2312" w:cs="仿宋_GB2312"/>
          <w:b w:val="0"/>
          <w:bCs/>
          <w:sz w:val="32"/>
          <w:szCs w:val="32"/>
        </w:rPr>
        <w:t>批次，</w:t>
      </w:r>
      <w:r>
        <w:rPr>
          <w:rFonts w:hint="eastAsia" w:ascii="仿宋_GB2312" w:hAnsi="仿宋_GB2312" w:eastAsia="仿宋_GB2312" w:cs="仿宋_GB2312"/>
          <w:b w:val="0"/>
          <w:bCs/>
          <w:sz w:val="32"/>
          <w:szCs w:val="32"/>
          <w:lang w:val="en-US" w:eastAsia="zh-CN"/>
        </w:rPr>
        <w:t>260</w:t>
      </w:r>
      <w:r>
        <w:rPr>
          <w:rFonts w:hint="eastAsia" w:ascii="仿宋_GB2312" w:hAnsi="仿宋_GB2312" w:eastAsia="仿宋_GB2312" w:cs="仿宋_GB2312"/>
          <w:b w:val="0"/>
          <w:bCs/>
          <w:sz w:val="32"/>
          <w:szCs w:val="32"/>
        </w:rPr>
        <w:t>人次（不包括陪同人员），共计支出</w:t>
      </w:r>
      <w:r>
        <w:rPr>
          <w:rFonts w:hint="eastAsia" w:ascii="仿宋_GB2312" w:hAnsi="仿宋_GB2312" w:eastAsia="仿宋_GB2312" w:cs="仿宋_GB2312"/>
          <w:b w:val="0"/>
          <w:bCs/>
          <w:sz w:val="32"/>
          <w:szCs w:val="32"/>
          <w:lang w:val="en-US" w:eastAsia="zh-CN"/>
        </w:rPr>
        <w:t>2.56</w:t>
      </w:r>
      <w:r>
        <w:rPr>
          <w:rFonts w:hint="eastAsia" w:ascii="仿宋_GB2312" w:hAnsi="仿宋_GB2312" w:eastAsia="仿宋_GB2312" w:cs="仿宋_GB2312"/>
          <w:b w:val="0"/>
          <w:bCs/>
          <w:sz w:val="32"/>
          <w:szCs w:val="32"/>
        </w:rPr>
        <w:t>万元，具体内容包括：</w:t>
      </w:r>
      <w:r>
        <w:rPr>
          <w:rFonts w:hint="eastAsia" w:ascii="仿宋_GB2312" w:hAnsi="仿宋_GB2312" w:eastAsia="仿宋_GB2312" w:cs="仿宋_GB2312"/>
          <w:b w:val="0"/>
          <w:bCs/>
          <w:sz w:val="32"/>
          <w:szCs w:val="32"/>
          <w:lang w:eastAsia="zh-CN"/>
        </w:rPr>
        <w:t>在</w:t>
      </w:r>
      <w:r>
        <w:rPr>
          <w:rFonts w:hint="eastAsia" w:ascii="仿宋_GB2312" w:hAnsi="仿宋_GB2312" w:eastAsia="仿宋_GB2312" w:cs="仿宋_GB2312"/>
          <w:b w:val="0"/>
          <w:bCs/>
          <w:sz w:val="32"/>
          <w:szCs w:val="32"/>
        </w:rPr>
        <w:t>行政运行</w:t>
      </w:r>
      <w:r>
        <w:rPr>
          <w:rFonts w:hint="eastAsia" w:ascii="仿宋_GB2312" w:hAnsi="仿宋_GB2312" w:eastAsia="仿宋_GB2312" w:cs="仿宋_GB2312"/>
          <w:b w:val="0"/>
          <w:bCs/>
          <w:sz w:val="32"/>
          <w:szCs w:val="32"/>
          <w:lang w:eastAsia="zh-CN"/>
        </w:rPr>
        <w:t>经费中支付接待费</w:t>
      </w:r>
      <w:r>
        <w:rPr>
          <w:rFonts w:hint="eastAsia" w:ascii="仿宋_GB2312" w:hAnsi="仿宋_GB2312" w:eastAsia="仿宋_GB2312" w:cs="仿宋_GB2312"/>
          <w:b w:val="0"/>
          <w:bCs/>
          <w:sz w:val="32"/>
          <w:szCs w:val="32"/>
          <w:lang w:val="en-US" w:eastAsia="zh-CN"/>
        </w:rPr>
        <w:t>2.56万元。</w:t>
      </w:r>
    </w:p>
    <w:p>
      <w:pPr>
        <w:spacing w:line="60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外事接待支出0万元，主要用于接待</w:t>
      </w:r>
      <w:r>
        <w:rPr>
          <w:rFonts w:hint="eastAsia" w:ascii="仿宋_GB2312" w:hAnsi="仿宋_GB2312" w:eastAsia="仿宋_GB2312" w:cs="仿宋_GB2312"/>
          <w:b w:val="0"/>
          <w:bCs/>
          <w:sz w:val="32"/>
          <w:szCs w:val="32"/>
          <w:lang w:eastAsia="zh-CN"/>
        </w:rPr>
        <w:t>：无</w:t>
      </w:r>
      <w:r>
        <w:rPr>
          <w:rFonts w:hint="eastAsia" w:ascii="仿宋_GB2312" w:hAnsi="仿宋_GB2312" w:eastAsia="仿宋_GB2312" w:cs="仿宋_GB2312"/>
          <w:b w:val="0"/>
          <w:bCs/>
          <w:sz w:val="32"/>
          <w:szCs w:val="32"/>
        </w:rPr>
        <w:t>。外事接待</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批次，</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人次（不包括陪同人员），共计支出</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w:t>
      </w:r>
    </w:p>
    <w:p>
      <w:pPr>
        <w:spacing w:line="600" w:lineRule="exact"/>
        <w:ind w:firstLine="640"/>
        <w:outlineLvl w:val="1"/>
        <w:rPr>
          <w:rStyle w:val="29"/>
          <w:rFonts w:ascii="黑体" w:hAnsi="黑体" w:eastAsia="黑体"/>
        </w:rPr>
      </w:pPr>
      <w:bookmarkStart w:id="62" w:name="_Toc26421"/>
      <w:r>
        <w:rPr>
          <w:rFonts w:hint="eastAsia" w:ascii="黑体" w:eastAsia="黑体"/>
          <w:sz w:val="32"/>
          <w:szCs w:val="32"/>
        </w:rPr>
        <w:t>八、</w:t>
      </w:r>
      <w:r>
        <w:rPr>
          <w:rStyle w:val="29"/>
          <w:rFonts w:hint="eastAsia" w:ascii="黑体" w:hAnsi="黑体" w:eastAsia="黑体"/>
          <w:b w:val="0"/>
        </w:rPr>
        <w:t>政府性基金预算支出决算情况说明</w:t>
      </w:r>
      <w:bookmarkEnd w:id="60"/>
      <w:bookmarkEnd w:id="61"/>
      <w:bookmarkEnd w:id="62"/>
    </w:p>
    <w:p>
      <w:pPr>
        <w:spacing w:line="60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年度政府性基金预算财政拨款支出3,962.81万元。</w:t>
      </w:r>
    </w:p>
    <w:p>
      <w:pPr>
        <w:numPr>
          <w:ilvl w:val="0"/>
          <w:numId w:val="4"/>
        </w:numPr>
        <w:spacing w:line="600" w:lineRule="exact"/>
        <w:ind w:firstLine="640"/>
        <w:outlineLvl w:val="1"/>
        <w:rPr>
          <w:rStyle w:val="29"/>
          <w:rFonts w:ascii="黑体" w:hAnsi="黑体" w:eastAsia="黑体"/>
          <w:b w:val="0"/>
        </w:rPr>
      </w:pPr>
      <w:bookmarkStart w:id="63" w:name="_Toc4906"/>
      <w:bookmarkStart w:id="64" w:name="_Toc15377219"/>
      <w:bookmarkStart w:id="65" w:name="_Toc15396611"/>
      <w:r>
        <w:rPr>
          <w:rStyle w:val="29"/>
          <w:rFonts w:hint="eastAsia" w:ascii="黑体" w:hAnsi="黑体" w:eastAsia="黑体"/>
          <w:b w:val="0"/>
        </w:rPr>
        <w:t>国有资本经营预算支出决算情况说明</w:t>
      </w:r>
      <w:bookmarkEnd w:id="63"/>
      <w:bookmarkEnd w:id="64"/>
      <w:bookmarkEnd w:id="65"/>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年度国有资本经营预算财政拨款支出</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万元。</w:t>
      </w:r>
    </w:p>
    <w:p>
      <w:pPr>
        <w:numPr>
          <w:ilvl w:val="0"/>
          <w:numId w:val="4"/>
        </w:numPr>
        <w:spacing w:line="600" w:lineRule="exact"/>
        <w:ind w:firstLine="640"/>
        <w:outlineLvl w:val="1"/>
        <w:rPr>
          <w:rStyle w:val="29"/>
          <w:rFonts w:ascii="黑体" w:hAnsi="黑体" w:eastAsia="黑体"/>
          <w:b w:val="0"/>
        </w:rPr>
      </w:pPr>
      <w:bookmarkStart w:id="66" w:name="_Toc4302"/>
      <w:bookmarkStart w:id="67" w:name="_Toc15396612"/>
      <w:bookmarkStart w:id="68" w:name="_Toc15377221"/>
      <w:r>
        <w:rPr>
          <w:rStyle w:val="29"/>
          <w:rFonts w:hint="eastAsia" w:ascii="黑体" w:hAnsi="黑体" w:eastAsia="黑体"/>
          <w:b w:val="0"/>
        </w:rPr>
        <w:t>其他重要事项的情况说明</w:t>
      </w:r>
      <w:bookmarkEnd w:id="66"/>
      <w:bookmarkEnd w:id="67"/>
      <w:bookmarkEnd w:id="68"/>
    </w:p>
    <w:p>
      <w:pPr>
        <w:spacing w:line="600" w:lineRule="exact"/>
        <w:ind w:firstLine="642" w:firstLineChars="200"/>
        <w:outlineLvl w:val="2"/>
        <w:rPr>
          <w:rFonts w:ascii="仿宋" w:hAnsi="仿宋" w:eastAsia="仿宋"/>
          <w:sz w:val="32"/>
          <w:szCs w:val="32"/>
        </w:rPr>
      </w:pPr>
      <w:bookmarkStart w:id="69" w:name="_Toc15377222"/>
      <w:r>
        <w:rPr>
          <w:rFonts w:hint="eastAsia" w:ascii="仿宋" w:hAnsi="仿宋" w:eastAsia="仿宋"/>
          <w:b/>
          <w:sz w:val="32"/>
          <w:szCs w:val="32"/>
        </w:rPr>
        <w:t>（一）机关运行经费支出情况</w:t>
      </w:r>
      <w:bookmarkEnd w:id="69"/>
    </w:p>
    <w:p>
      <w:pPr>
        <w:spacing w:line="600" w:lineRule="exact"/>
        <w:ind w:firstLine="64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年度，乐山市五通桥区发展和改革局机关运行经费支出79.43万元，比</w:t>
      </w:r>
      <w:r>
        <w:rPr>
          <w:rFonts w:hint="eastAsia" w:ascii="仿宋_GB2312" w:hAnsi="仿宋_GB2312" w:eastAsia="仿宋_GB2312" w:cs="仿宋_GB2312"/>
          <w:b w:val="0"/>
          <w:bCs w:val="0"/>
          <w:sz w:val="32"/>
          <w:szCs w:val="32"/>
          <w:lang w:eastAsia="zh-CN"/>
        </w:rPr>
        <w:t>2023</w:t>
      </w:r>
      <w:r>
        <w:rPr>
          <w:rFonts w:hint="eastAsia" w:ascii="仿宋_GB2312" w:hAnsi="仿宋_GB2312" w:eastAsia="仿宋_GB2312" w:cs="仿宋_GB2312"/>
          <w:b w:val="0"/>
          <w:bCs w:val="0"/>
          <w:sz w:val="32"/>
          <w:szCs w:val="32"/>
        </w:rPr>
        <w:t>年度</w:t>
      </w:r>
      <w:r>
        <w:rPr>
          <w:rFonts w:hint="eastAsia" w:ascii="仿宋_GB2312" w:hAnsi="仿宋_GB2312" w:eastAsia="仿宋_GB2312" w:cs="仿宋_GB2312"/>
          <w:b w:val="0"/>
          <w:bCs w:val="0"/>
          <w:sz w:val="32"/>
          <w:szCs w:val="32"/>
          <w:lang w:val="en-US" w:eastAsia="zh-CN"/>
        </w:rPr>
        <w:t>46.45万元</w:t>
      </w:r>
      <w:r>
        <w:rPr>
          <w:rFonts w:hint="eastAsia" w:ascii="仿宋_GB2312" w:hAnsi="仿宋_GB2312" w:eastAsia="仿宋_GB2312" w:cs="仿宋_GB2312"/>
          <w:b w:val="0"/>
          <w:bCs w:val="0"/>
          <w:sz w:val="32"/>
          <w:szCs w:val="32"/>
        </w:rPr>
        <w:t>增加</w:t>
      </w:r>
      <w:r>
        <w:rPr>
          <w:rFonts w:hint="eastAsia" w:ascii="仿宋_GB2312" w:hAnsi="仿宋_GB2312" w:eastAsia="仿宋_GB2312" w:cs="仿宋_GB2312"/>
          <w:b w:val="0"/>
          <w:bCs w:val="0"/>
          <w:sz w:val="32"/>
          <w:szCs w:val="32"/>
          <w:lang w:val="en-US" w:eastAsia="zh-CN"/>
        </w:rPr>
        <w:t>32.98</w:t>
      </w:r>
      <w:r>
        <w:rPr>
          <w:rFonts w:hint="eastAsia" w:ascii="仿宋_GB2312" w:hAnsi="仿宋_GB2312" w:eastAsia="仿宋_GB2312" w:cs="仿宋_GB2312"/>
          <w:b w:val="0"/>
          <w:bCs w:val="0"/>
          <w:sz w:val="32"/>
          <w:szCs w:val="32"/>
        </w:rPr>
        <w:t>万元，增长</w:t>
      </w:r>
      <w:r>
        <w:rPr>
          <w:rFonts w:hint="eastAsia" w:ascii="仿宋_GB2312" w:hAnsi="仿宋_GB2312" w:eastAsia="仿宋_GB2312" w:cs="仿宋_GB2312"/>
          <w:b w:val="0"/>
          <w:bCs w:val="0"/>
          <w:sz w:val="32"/>
          <w:szCs w:val="32"/>
          <w:lang w:val="en-US" w:eastAsia="zh-CN"/>
        </w:rPr>
        <w:t>71%</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b w:val="0"/>
          <w:bCs w:val="0"/>
          <w:sz w:val="32"/>
          <w:szCs w:val="32"/>
          <w:lang w:val="zh-CN"/>
        </w:rPr>
        <w:t>办公费增加</w:t>
      </w:r>
      <w:r>
        <w:rPr>
          <w:rFonts w:hint="eastAsia" w:ascii="仿宋_GB2312" w:hAnsi="仿宋_GB2312" w:eastAsia="仿宋_GB2312" w:cs="仿宋_GB2312"/>
          <w:b w:val="0"/>
          <w:bCs w:val="0"/>
          <w:sz w:val="32"/>
          <w:szCs w:val="32"/>
          <w:lang w:val="en-US" w:eastAsia="zh-CN"/>
        </w:rPr>
        <w:t>8.92</w:t>
      </w:r>
      <w:r>
        <w:rPr>
          <w:rFonts w:hint="eastAsia" w:ascii="仿宋_GB2312" w:hAnsi="仿宋_GB2312" w:eastAsia="仿宋_GB2312" w:cs="仿宋_GB2312"/>
          <w:b w:val="0"/>
          <w:bCs w:val="0"/>
          <w:sz w:val="32"/>
          <w:szCs w:val="32"/>
          <w:lang w:val="zh-CN"/>
        </w:rPr>
        <w:t>万元、水费增加</w:t>
      </w:r>
      <w:r>
        <w:rPr>
          <w:rFonts w:hint="eastAsia" w:ascii="仿宋_GB2312" w:hAnsi="仿宋_GB2312" w:eastAsia="仿宋_GB2312" w:cs="仿宋_GB2312"/>
          <w:b w:val="0"/>
          <w:bCs w:val="0"/>
          <w:sz w:val="32"/>
          <w:szCs w:val="32"/>
          <w:lang w:val="en-US" w:eastAsia="zh-CN"/>
        </w:rPr>
        <w:t>0.18万元、</w:t>
      </w:r>
      <w:r>
        <w:rPr>
          <w:rFonts w:hint="eastAsia" w:ascii="仿宋_GB2312" w:hAnsi="仿宋_GB2312" w:eastAsia="仿宋_GB2312" w:cs="仿宋_GB2312"/>
          <w:b w:val="0"/>
          <w:bCs w:val="0"/>
          <w:sz w:val="32"/>
          <w:szCs w:val="32"/>
          <w:lang w:val="zh-CN"/>
        </w:rPr>
        <w:t>差旅费增加</w:t>
      </w:r>
      <w:r>
        <w:rPr>
          <w:rFonts w:hint="eastAsia" w:ascii="仿宋_GB2312" w:hAnsi="仿宋_GB2312" w:eastAsia="仿宋_GB2312" w:cs="仿宋_GB2312"/>
          <w:b w:val="0"/>
          <w:bCs w:val="0"/>
          <w:sz w:val="32"/>
          <w:szCs w:val="32"/>
          <w:lang w:val="en-US" w:eastAsia="zh-CN"/>
        </w:rPr>
        <w:t>10.92</w:t>
      </w:r>
      <w:r>
        <w:rPr>
          <w:rFonts w:hint="eastAsia" w:ascii="仿宋_GB2312" w:hAnsi="仿宋_GB2312" w:eastAsia="仿宋_GB2312" w:cs="仿宋_GB2312"/>
          <w:b w:val="0"/>
          <w:bCs w:val="0"/>
          <w:sz w:val="32"/>
          <w:szCs w:val="32"/>
          <w:lang w:val="zh-CN"/>
        </w:rPr>
        <w:t>万元、租赁费增加</w:t>
      </w:r>
      <w:r>
        <w:rPr>
          <w:rFonts w:hint="eastAsia" w:ascii="仿宋_GB2312" w:hAnsi="仿宋_GB2312" w:eastAsia="仿宋_GB2312" w:cs="仿宋_GB2312"/>
          <w:b w:val="0"/>
          <w:bCs w:val="0"/>
          <w:sz w:val="32"/>
          <w:szCs w:val="32"/>
          <w:lang w:val="en-US" w:eastAsia="zh-CN"/>
        </w:rPr>
        <w:t>0.39</w:t>
      </w:r>
      <w:r>
        <w:rPr>
          <w:rFonts w:hint="eastAsia" w:ascii="仿宋_GB2312" w:hAnsi="仿宋_GB2312" w:eastAsia="仿宋_GB2312" w:cs="仿宋_GB2312"/>
          <w:b w:val="0"/>
          <w:bCs w:val="0"/>
          <w:sz w:val="32"/>
          <w:szCs w:val="32"/>
          <w:lang w:val="zh-CN"/>
        </w:rPr>
        <w:t>万元、 公务接待费增加</w:t>
      </w:r>
      <w:r>
        <w:rPr>
          <w:rFonts w:hint="eastAsia" w:ascii="仿宋_GB2312" w:hAnsi="仿宋_GB2312" w:eastAsia="仿宋_GB2312" w:cs="仿宋_GB2312"/>
          <w:b w:val="0"/>
          <w:bCs w:val="0"/>
          <w:sz w:val="32"/>
          <w:szCs w:val="32"/>
          <w:lang w:val="en-US" w:eastAsia="zh-CN"/>
        </w:rPr>
        <w:t>2.38</w:t>
      </w:r>
      <w:r>
        <w:rPr>
          <w:rFonts w:hint="eastAsia" w:ascii="仿宋_GB2312" w:hAnsi="仿宋_GB2312" w:eastAsia="仿宋_GB2312" w:cs="仿宋_GB2312"/>
          <w:b w:val="0"/>
          <w:bCs w:val="0"/>
          <w:sz w:val="32"/>
          <w:szCs w:val="32"/>
          <w:lang w:val="zh-CN"/>
        </w:rPr>
        <w:t>万元、劳务费减少</w:t>
      </w:r>
      <w:r>
        <w:rPr>
          <w:rFonts w:hint="eastAsia" w:ascii="仿宋_GB2312" w:hAnsi="仿宋_GB2312" w:eastAsia="仿宋_GB2312" w:cs="仿宋_GB2312"/>
          <w:b w:val="0"/>
          <w:bCs w:val="0"/>
          <w:sz w:val="32"/>
          <w:szCs w:val="32"/>
          <w:lang w:val="en-US" w:eastAsia="zh-CN"/>
        </w:rPr>
        <w:t>0.22</w:t>
      </w:r>
      <w:r>
        <w:rPr>
          <w:rFonts w:hint="eastAsia" w:ascii="仿宋_GB2312" w:hAnsi="仿宋_GB2312" w:eastAsia="仿宋_GB2312" w:cs="仿宋_GB2312"/>
          <w:b w:val="0"/>
          <w:bCs w:val="0"/>
          <w:sz w:val="32"/>
          <w:szCs w:val="32"/>
          <w:lang w:val="zh-CN"/>
        </w:rPr>
        <w:t>万元、委托业务费增加</w:t>
      </w:r>
      <w:r>
        <w:rPr>
          <w:rFonts w:hint="eastAsia" w:ascii="仿宋_GB2312" w:hAnsi="仿宋_GB2312" w:eastAsia="仿宋_GB2312" w:cs="仿宋_GB2312"/>
          <w:b w:val="0"/>
          <w:bCs w:val="0"/>
          <w:sz w:val="32"/>
          <w:szCs w:val="32"/>
          <w:lang w:val="en-US" w:eastAsia="zh-CN"/>
        </w:rPr>
        <w:t>3.46</w:t>
      </w:r>
      <w:r>
        <w:rPr>
          <w:rFonts w:hint="eastAsia" w:ascii="仿宋_GB2312" w:hAnsi="仿宋_GB2312" w:eastAsia="仿宋_GB2312" w:cs="仿宋_GB2312"/>
          <w:b w:val="0"/>
          <w:bCs w:val="0"/>
          <w:sz w:val="32"/>
          <w:szCs w:val="32"/>
          <w:lang w:val="zh-CN"/>
        </w:rPr>
        <w:t>万元、工会经费增加</w:t>
      </w:r>
      <w:r>
        <w:rPr>
          <w:rFonts w:hint="eastAsia" w:ascii="仿宋_GB2312" w:hAnsi="仿宋_GB2312" w:eastAsia="仿宋_GB2312" w:cs="仿宋_GB2312"/>
          <w:b w:val="0"/>
          <w:bCs w:val="0"/>
          <w:sz w:val="32"/>
          <w:szCs w:val="32"/>
          <w:lang w:val="en-US" w:eastAsia="zh-CN"/>
        </w:rPr>
        <w:t>0.74</w:t>
      </w:r>
      <w:r>
        <w:rPr>
          <w:rFonts w:hint="eastAsia" w:ascii="仿宋_GB2312" w:hAnsi="仿宋_GB2312" w:eastAsia="仿宋_GB2312" w:cs="仿宋_GB2312"/>
          <w:b w:val="0"/>
          <w:bCs w:val="0"/>
          <w:sz w:val="32"/>
          <w:szCs w:val="32"/>
          <w:lang w:val="zh-CN"/>
        </w:rPr>
        <w:t>万元、福利费增加</w:t>
      </w:r>
      <w:r>
        <w:rPr>
          <w:rFonts w:hint="eastAsia" w:ascii="仿宋_GB2312" w:hAnsi="仿宋_GB2312" w:eastAsia="仿宋_GB2312" w:cs="仿宋_GB2312"/>
          <w:b w:val="0"/>
          <w:bCs w:val="0"/>
          <w:sz w:val="32"/>
          <w:szCs w:val="32"/>
          <w:lang w:val="en-US" w:eastAsia="zh-CN"/>
        </w:rPr>
        <w:t>0.8</w:t>
      </w:r>
      <w:r>
        <w:rPr>
          <w:rFonts w:hint="eastAsia" w:ascii="仿宋_GB2312" w:hAnsi="仿宋_GB2312" w:eastAsia="仿宋_GB2312" w:cs="仿宋_GB2312"/>
          <w:b w:val="0"/>
          <w:bCs w:val="0"/>
          <w:sz w:val="32"/>
          <w:szCs w:val="32"/>
          <w:lang w:val="zh-CN"/>
        </w:rPr>
        <w:t>万元、公务用车运行维护费增加</w:t>
      </w:r>
      <w:r>
        <w:rPr>
          <w:rFonts w:hint="eastAsia" w:ascii="仿宋_GB2312" w:hAnsi="仿宋_GB2312" w:eastAsia="仿宋_GB2312" w:cs="仿宋_GB2312"/>
          <w:b w:val="0"/>
          <w:bCs w:val="0"/>
          <w:sz w:val="32"/>
          <w:szCs w:val="32"/>
          <w:lang w:val="en-US" w:eastAsia="zh-CN"/>
        </w:rPr>
        <w:t>1.52</w:t>
      </w:r>
      <w:r>
        <w:rPr>
          <w:rFonts w:hint="eastAsia" w:ascii="仿宋_GB2312" w:hAnsi="仿宋_GB2312" w:eastAsia="仿宋_GB2312" w:cs="仿宋_GB2312"/>
          <w:b w:val="0"/>
          <w:bCs w:val="0"/>
          <w:sz w:val="32"/>
          <w:szCs w:val="32"/>
          <w:lang w:val="zh-CN"/>
        </w:rPr>
        <w:t>万元、其他交通费用增加</w:t>
      </w:r>
      <w:r>
        <w:rPr>
          <w:rFonts w:hint="eastAsia" w:ascii="仿宋_GB2312" w:hAnsi="仿宋_GB2312" w:eastAsia="仿宋_GB2312" w:cs="仿宋_GB2312"/>
          <w:b w:val="0"/>
          <w:bCs w:val="0"/>
          <w:sz w:val="32"/>
          <w:szCs w:val="32"/>
          <w:lang w:val="en-US" w:eastAsia="zh-CN"/>
        </w:rPr>
        <w:t>0.14</w:t>
      </w:r>
      <w:r>
        <w:rPr>
          <w:rFonts w:hint="eastAsia" w:ascii="仿宋_GB2312" w:hAnsi="仿宋_GB2312" w:eastAsia="仿宋_GB2312" w:cs="仿宋_GB2312"/>
          <w:b w:val="0"/>
          <w:bCs w:val="0"/>
          <w:sz w:val="32"/>
          <w:szCs w:val="32"/>
          <w:lang w:val="zh-CN"/>
        </w:rPr>
        <w:t>万元、其他商品和服务支出增加</w:t>
      </w:r>
      <w:r>
        <w:rPr>
          <w:rFonts w:hint="eastAsia" w:ascii="仿宋_GB2312" w:hAnsi="仿宋_GB2312" w:eastAsia="仿宋_GB2312" w:cs="仿宋_GB2312"/>
          <w:b w:val="0"/>
          <w:bCs w:val="0"/>
          <w:sz w:val="32"/>
          <w:szCs w:val="32"/>
          <w:lang w:val="en-US" w:eastAsia="zh-CN"/>
        </w:rPr>
        <w:t>3.75</w:t>
      </w:r>
      <w:r>
        <w:rPr>
          <w:rFonts w:hint="eastAsia" w:ascii="仿宋_GB2312" w:hAnsi="仿宋_GB2312" w:eastAsia="仿宋_GB2312" w:cs="仿宋_GB2312"/>
          <w:b w:val="0"/>
          <w:bCs w:val="0"/>
          <w:sz w:val="32"/>
          <w:szCs w:val="32"/>
          <w:lang w:val="zh-CN"/>
        </w:rPr>
        <w:t>万元等所致。</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70" w:name="_Toc15377223"/>
      <w:r>
        <w:rPr>
          <w:rFonts w:hint="eastAsia" w:ascii="仿宋" w:hAnsi="仿宋" w:eastAsia="仿宋"/>
          <w:b/>
          <w:sz w:val="32"/>
          <w:szCs w:val="32"/>
        </w:rPr>
        <w:t>（二）政府采购支出情况</w:t>
      </w:r>
      <w:bookmarkEnd w:id="70"/>
    </w:p>
    <w:p>
      <w:pPr>
        <w:spacing w:line="600" w:lineRule="exact"/>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2024年度，乐山市五通桥区发展和改革局(本级)政府采购支出总额19.77万元，其中：政府采购货物支出0万元、政府采购工程支出0万元、政府采购服务支出19.77万元。授予中小企业合同金额19.77万元，占政府采购支出总额的100%，其中：授予小微企业合同金额0万元，占政府采购支出总额的0%。</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71" w:name="_Toc15377224"/>
      <w:r>
        <w:rPr>
          <w:rFonts w:hint="eastAsia" w:ascii="仿宋" w:hAnsi="仿宋" w:eastAsia="仿宋"/>
          <w:b/>
          <w:sz w:val="32"/>
          <w:szCs w:val="32"/>
        </w:rPr>
        <w:t>（三）国有资产占有使用情况</w:t>
      </w:r>
      <w:bookmarkEnd w:id="71"/>
    </w:p>
    <w:p>
      <w:pPr>
        <w:spacing w:line="60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截至2024年12月31日，乐山市五通桥区发展和改革局(本级)共有车辆2辆，其中：主要领导干部用车0辆、机要通信用车0辆、应急保障用车1辆、特种专业技术用车1辆、其他用车0辆，其他用车主要是用于：无。单价100万元以上设备（不含车辆）0台（套）。</w:t>
      </w:r>
    </w:p>
    <w:p>
      <w:pPr>
        <w:autoSpaceDE w:val="0"/>
        <w:autoSpaceDN w:val="0"/>
        <w:adjustRightInd w:val="0"/>
        <w:spacing w:line="600" w:lineRule="exact"/>
        <w:ind w:firstLine="642"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spacing w:line="600" w:lineRule="exact"/>
        <w:ind w:firstLine="64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预算绩效管理要求，本单位在2024年度预算编制阶段，组织对自来水供水成本监审、五通桥区十四五规划中期调整、2024年托底性帮扶马边县资金、区级科技项目奖补（创新驱动发展奖补）、五财政建【2024】17号：关于下达2023年第三批和第四批省级科技计划项目专项资金的通知、</w:t>
      </w:r>
    </w:p>
    <w:p>
      <w:pPr>
        <w:spacing w:line="600" w:lineRule="exact"/>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五财政建【2023】45号：关于下达2023年第二批省级科技计划项目专项资金预算的通知、2023年科技创新卷兑付补贴资金、成贵铁路拆迁过渡费、以工代赈劳务报酬、省级化工园区申报资料组卷、五通桥区碳达峰实施方案编制、停车收费风险评估、乐市财政建（2024）152号，福华通达化学股份公司智慧工厂项目等13个项目开展了预算事前绩效评估，对13个项目编制了绩效目标，预算执行过程中，选取13个项目开展绩效监控，组织对13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5"/>
        </w:numPr>
        <w:spacing w:line="600" w:lineRule="exact"/>
        <w:ind w:firstLine="660" w:firstLineChars="150"/>
        <w:jc w:val="center"/>
        <w:outlineLvl w:val="0"/>
        <w:rPr>
          <w:rStyle w:val="28"/>
          <w:rFonts w:ascii="黑体" w:hAnsi="黑体" w:eastAsia="黑体"/>
          <w:b w:val="0"/>
        </w:rPr>
      </w:pPr>
      <w:bookmarkStart w:id="72" w:name="_Toc26381"/>
      <w:bookmarkStart w:id="73" w:name="_Toc15396613"/>
      <w:bookmarkStart w:id="74" w:name="_Toc15377225"/>
      <w:r>
        <w:rPr>
          <w:rFonts w:hint="eastAsia" w:ascii="黑体" w:hAnsi="黑体" w:eastAsia="黑体"/>
          <w:sz w:val="44"/>
          <w:szCs w:val="44"/>
        </w:rPr>
        <w:t>名</w:t>
      </w:r>
      <w:r>
        <w:rPr>
          <w:rStyle w:val="28"/>
          <w:rFonts w:hint="eastAsia" w:ascii="黑体" w:hAnsi="黑体" w:eastAsia="黑体"/>
          <w:b w:val="0"/>
        </w:rPr>
        <w:t>词解释</w:t>
      </w:r>
      <w:bookmarkEnd w:id="72"/>
      <w:bookmarkEnd w:id="73"/>
      <w:bookmarkEnd w:id="74"/>
    </w:p>
    <w:p>
      <w:pPr>
        <w:spacing w:line="600" w:lineRule="exact"/>
        <w:jc w:val="left"/>
        <w:rPr>
          <w:rFonts w:ascii="宋体"/>
          <w:b/>
          <w:sz w:val="44"/>
          <w:szCs w:val="44"/>
        </w:rPr>
      </w:pP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bookmarkStart w:id="75" w:name="_Toc15377226"/>
      <w:r>
        <w:rPr>
          <w:rFonts w:hint="eastAsia" w:ascii="仿宋_GB2312" w:hAnsi="仿宋_GB2312" w:eastAsia="仿宋_GB2312" w:cs="Times New Roman"/>
          <w:color w:val="000000"/>
          <w:kern w:val="2"/>
          <w:sz w:val="32"/>
          <w:szCs w:val="32"/>
          <w:lang w:val="zh-CN" w:eastAsia="zh-CN" w:bidi="ar-SA"/>
        </w:rPr>
        <w:t>1.财政拨款收入：指单位从同级财政部门取得的财政预算资金。</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2.事业收入：指事业单位开展专业业务活动及辅助活动取得的收入。</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3.经营收入：指事业单位在专业业务活动及其辅助活动之外开展非独立核算经营活动取得的收入。</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4.其他收入：指单位取得的除上述收入以外的各项收入。</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 xml:space="preserve">5.使用非财政拨款结余：指事业单位使用以前年度积累的非财政拨款结余弥补当年收支差额的金额。 </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 xml:space="preserve">6.年初结转和结余：指以前年度尚未完成、结转到本年按有关规定继续使用的资金。 </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7.结余分配：指事业单位按照会计制度规定缴纳的所得税、提取的专用结余以及转入非财政拨款结余的金额等。</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8、年末结转和结余：指单位按有关规定结转到下年或以后年度继续使用的资金。</w:t>
      </w:r>
    </w:p>
    <w:p>
      <w:pPr>
        <w:spacing w:line="240" w:lineRule="auto"/>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9、</w:t>
      </w:r>
      <w:r>
        <w:rPr>
          <w:rFonts w:hint="eastAsia" w:ascii="仿宋_GB2312" w:hAnsi="仿宋_GB2312" w:eastAsia="仿宋_GB2312" w:cs="Times New Roman"/>
          <w:color w:val="000000"/>
          <w:kern w:val="2"/>
          <w:sz w:val="32"/>
          <w:szCs w:val="32"/>
          <w:lang w:val="zh-CN" w:eastAsia="zh-CN" w:bidi="ar-SA"/>
        </w:rPr>
        <w:t>一般公共服务（类）发展与改革事务（款）行政运行（项）是指行政单位（包括实行公务员管理的事业单位）在发展与改革事务的基本支出。</w:t>
      </w:r>
    </w:p>
    <w:p>
      <w:pPr>
        <w:keepNext w:val="0"/>
        <w:keepLines w:val="0"/>
        <w:pageBreakBefore w:val="0"/>
        <w:widowControl w:val="0"/>
        <w:kinsoku/>
        <w:wordWrap/>
        <w:overflowPunct/>
        <w:topLinePunct w:val="0"/>
        <w:bidi w:val="0"/>
        <w:snapToGrid/>
        <w:spacing w:line="240" w:lineRule="auto"/>
        <w:ind w:firstLine="640" w:firstLineChars="200"/>
        <w:textAlignment w:val="auto"/>
        <w:outlineLvl w:val="9"/>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10</w:t>
      </w:r>
      <w:r>
        <w:rPr>
          <w:rFonts w:hint="eastAsia" w:ascii="仿宋_GB2312" w:hAnsi="仿宋_GB2312" w:eastAsia="仿宋_GB2312" w:cs="Times New Roman"/>
          <w:color w:val="000000"/>
          <w:kern w:val="2"/>
          <w:sz w:val="32"/>
          <w:szCs w:val="32"/>
          <w:lang w:val="zh-CN" w:eastAsia="zh-CN" w:bidi="ar-SA"/>
        </w:rPr>
        <w:t>、一般公共服务（类）发展与改革事务（款）一般行政管理事务（项）是指行政单位（包括实行公务员管理的事业单位）在发展与改革事务中未单独设置项级科目的其他项目支出。</w:t>
      </w:r>
    </w:p>
    <w:p>
      <w:pPr>
        <w:spacing w:line="240" w:lineRule="auto"/>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11、</w:t>
      </w:r>
      <w:r>
        <w:rPr>
          <w:rFonts w:hint="eastAsia" w:ascii="仿宋_GB2312" w:hAnsi="仿宋_GB2312" w:eastAsia="仿宋_GB2312" w:cs="Times New Roman"/>
          <w:color w:val="000000"/>
          <w:kern w:val="2"/>
          <w:sz w:val="32"/>
          <w:szCs w:val="32"/>
          <w:lang w:val="zh-CN" w:eastAsia="zh-CN" w:bidi="ar-SA"/>
        </w:rPr>
        <w:t>一般公共服务（类）发展与改革事务（款）事业运行（项）是指事业单位在发展与改革事务的基本支出。不包括行政单位（包括实行公务员管理的事业单位）后勤服务中心、医务室等附属事业单位。</w:t>
      </w:r>
    </w:p>
    <w:p>
      <w:pPr>
        <w:keepNext w:val="0"/>
        <w:keepLines w:val="0"/>
        <w:pageBreakBefore w:val="0"/>
        <w:widowControl w:val="0"/>
        <w:kinsoku/>
        <w:wordWrap/>
        <w:overflowPunct/>
        <w:topLinePunct w:val="0"/>
        <w:bidi w:val="0"/>
        <w:snapToGrid/>
        <w:spacing w:line="240" w:lineRule="auto"/>
        <w:ind w:firstLine="640" w:firstLineChars="200"/>
        <w:textAlignment w:val="auto"/>
        <w:outlineLvl w:val="9"/>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12、</w:t>
      </w:r>
      <w:r>
        <w:rPr>
          <w:rFonts w:hint="eastAsia" w:ascii="仿宋_GB2312" w:hAnsi="仿宋_GB2312" w:eastAsia="仿宋_GB2312" w:cs="Times New Roman"/>
          <w:color w:val="000000"/>
          <w:kern w:val="2"/>
          <w:sz w:val="32"/>
          <w:szCs w:val="32"/>
          <w:lang w:val="zh-CN" w:eastAsia="zh-CN" w:bidi="ar-SA"/>
        </w:rPr>
        <w:t>科学技术支出（类）科学技术管理事务（款）其他科学技术管理事务（项）是指其他用于科学技术管理事务方面的支出。</w:t>
      </w:r>
    </w:p>
    <w:p>
      <w:pPr>
        <w:spacing w:line="240" w:lineRule="auto"/>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13、</w:t>
      </w:r>
      <w:r>
        <w:rPr>
          <w:rFonts w:hint="eastAsia" w:ascii="仿宋_GB2312" w:hAnsi="仿宋_GB2312" w:eastAsia="仿宋_GB2312" w:cs="Times New Roman"/>
          <w:color w:val="000000"/>
          <w:kern w:val="2"/>
          <w:sz w:val="32"/>
          <w:szCs w:val="32"/>
          <w:lang w:val="zh-CN" w:eastAsia="zh-CN" w:bidi="ar-SA"/>
        </w:rPr>
        <w:t>科学技术支出（类）技术研究与开发（款）机构运行（项）是指各类技术研究与开发机构的基本支出。</w:t>
      </w:r>
    </w:p>
    <w:p>
      <w:pPr>
        <w:spacing w:line="240" w:lineRule="auto"/>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1</w:t>
      </w:r>
      <w:r>
        <w:rPr>
          <w:rFonts w:hint="eastAsia" w:ascii="仿宋_GB2312" w:hAnsi="仿宋_GB2312" w:eastAsia="仿宋_GB2312" w:cs="Times New Roman"/>
          <w:color w:val="000000"/>
          <w:kern w:val="2"/>
          <w:sz w:val="32"/>
          <w:szCs w:val="32"/>
          <w:lang w:val="en-US" w:eastAsia="zh-CN" w:bidi="ar-SA"/>
        </w:rPr>
        <w:t>4</w:t>
      </w:r>
      <w:r>
        <w:rPr>
          <w:rFonts w:hint="eastAsia" w:ascii="仿宋_GB2312" w:hAnsi="仿宋_GB2312" w:eastAsia="仿宋_GB2312" w:cs="Times New Roman"/>
          <w:color w:val="000000"/>
          <w:kern w:val="2"/>
          <w:sz w:val="32"/>
          <w:szCs w:val="32"/>
          <w:lang w:val="zh-CN" w:eastAsia="zh-CN" w:bidi="ar-SA"/>
        </w:rPr>
        <w:t>.社会保障和就业（类）政事业单位离退休（款）机关事业单位基本养老保险缴费支出（项）是指机关事业单位实旗养老保险制度由单位缴纳的基本养老保险费支出。</w:t>
      </w:r>
    </w:p>
    <w:p>
      <w:pPr>
        <w:spacing w:line="240" w:lineRule="auto"/>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15、</w:t>
      </w:r>
      <w:r>
        <w:rPr>
          <w:rFonts w:hint="eastAsia" w:ascii="仿宋_GB2312" w:hAnsi="仿宋_GB2312" w:eastAsia="仿宋_GB2312" w:cs="Times New Roman"/>
          <w:color w:val="000000"/>
          <w:kern w:val="2"/>
          <w:sz w:val="32"/>
          <w:szCs w:val="32"/>
          <w:lang w:val="zh-CN" w:eastAsia="zh-CN" w:bidi="ar-SA"/>
        </w:rPr>
        <w:t>社会保障和就业（类）政事业单位离退休（款）机关事业单位职业年金缴费支出（项）是指机关事业单位实施养老保险制度由单位缴纳的职业年金缴费支出支出。</w:t>
      </w:r>
    </w:p>
    <w:p>
      <w:pPr>
        <w:spacing w:line="240" w:lineRule="auto"/>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1</w:t>
      </w:r>
      <w:r>
        <w:rPr>
          <w:rFonts w:hint="eastAsia" w:ascii="仿宋_GB2312" w:hAnsi="仿宋_GB2312" w:eastAsia="仿宋_GB2312" w:cs="Times New Roman"/>
          <w:color w:val="000000"/>
          <w:kern w:val="2"/>
          <w:sz w:val="32"/>
          <w:szCs w:val="32"/>
          <w:lang w:val="en-US" w:eastAsia="zh-CN" w:bidi="ar-SA"/>
        </w:rPr>
        <w:t>6</w:t>
      </w:r>
      <w:r>
        <w:rPr>
          <w:rFonts w:hint="eastAsia" w:ascii="仿宋_GB2312" w:hAnsi="仿宋_GB2312" w:eastAsia="仿宋_GB2312" w:cs="Times New Roman"/>
          <w:color w:val="000000"/>
          <w:kern w:val="2"/>
          <w:sz w:val="32"/>
          <w:szCs w:val="32"/>
          <w:lang w:val="zh-CN" w:eastAsia="zh-CN" w:bidi="ar-SA"/>
        </w:rPr>
        <w:t>、社会保障和就业（类）政事业单位离退休（款）-其他行政事业单位离退休支出（项）是指其他用于行政事业单位离退休方面的支出。</w:t>
      </w:r>
    </w:p>
    <w:p>
      <w:pPr>
        <w:spacing w:line="240" w:lineRule="auto"/>
        <w:ind w:firstLine="64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1</w:t>
      </w:r>
      <w:r>
        <w:rPr>
          <w:rFonts w:hint="eastAsia" w:ascii="仿宋_GB2312" w:hAnsi="仿宋_GB2312" w:eastAsia="仿宋_GB2312" w:cs="Times New Roman"/>
          <w:color w:val="000000"/>
          <w:kern w:val="2"/>
          <w:sz w:val="32"/>
          <w:szCs w:val="32"/>
          <w:lang w:val="en-US" w:eastAsia="zh-CN" w:bidi="ar-SA"/>
        </w:rPr>
        <w:t>7</w:t>
      </w:r>
      <w:r>
        <w:rPr>
          <w:rFonts w:hint="eastAsia" w:ascii="仿宋_GB2312" w:hAnsi="仿宋_GB2312" w:eastAsia="仿宋_GB2312" w:cs="Times New Roman"/>
          <w:color w:val="000000"/>
          <w:kern w:val="2"/>
          <w:sz w:val="32"/>
          <w:szCs w:val="32"/>
          <w:lang w:val="zh-CN" w:eastAsia="zh-CN" w:bidi="ar-SA"/>
        </w:rPr>
        <w:t>、卫生健康支出（类）行政事业单位医疗（款）行政单位医疗（项）是指财政部门集中安排的行政单位基本医疗保险缴费经费，未参加医疗保险的行政单位基本的公费医疗经费，按国家规定享受离休人员、老红军战士待遇人员的医疗经费。</w:t>
      </w:r>
    </w:p>
    <w:p>
      <w:pPr>
        <w:spacing w:line="240" w:lineRule="auto"/>
        <w:ind w:firstLine="64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zh-CN" w:eastAsia="zh-CN" w:bidi="ar-SA"/>
        </w:rPr>
        <w:t>1</w:t>
      </w:r>
      <w:r>
        <w:rPr>
          <w:rFonts w:hint="eastAsia" w:ascii="仿宋_GB2312" w:hAnsi="仿宋_GB2312" w:eastAsia="仿宋_GB2312" w:cs="Times New Roman"/>
          <w:color w:val="000000"/>
          <w:kern w:val="2"/>
          <w:sz w:val="32"/>
          <w:szCs w:val="32"/>
          <w:lang w:val="en-US" w:eastAsia="zh-CN" w:bidi="ar-SA"/>
        </w:rPr>
        <w:t>8</w:t>
      </w:r>
      <w:r>
        <w:rPr>
          <w:rFonts w:hint="eastAsia" w:ascii="仿宋_GB2312" w:hAnsi="仿宋_GB2312" w:eastAsia="仿宋_GB2312" w:cs="Times New Roman"/>
          <w:color w:val="000000"/>
          <w:kern w:val="2"/>
          <w:sz w:val="32"/>
          <w:szCs w:val="32"/>
          <w:lang w:val="zh-CN" w:eastAsia="zh-CN" w:bidi="ar-SA"/>
        </w:rPr>
        <w:t>、卫生健康支出（类）行政事业单位医疗（款）事业单位医疗（项）是指财政部门集中安排的事业单位基本医疗保险缴费经费，未参加医疗保险的事业单位基本的公费医疗经费，按国家规定享受离休人员待遇人员的医疗经费。</w:t>
      </w:r>
    </w:p>
    <w:p>
      <w:pPr>
        <w:spacing w:line="240" w:lineRule="auto"/>
        <w:ind w:firstLine="64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19.</w:t>
      </w:r>
      <w:r>
        <w:rPr>
          <w:rFonts w:hint="eastAsia" w:ascii="仿宋_GB2312" w:hAnsi="仿宋_GB2312" w:eastAsia="仿宋_GB2312" w:cs="Times New Roman"/>
          <w:color w:val="000000"/>
          <w:kern w:val="2"/>
          <w:sz w:val="32"/>
          <w:szCs w:val="32"/>
          <w:lang w:val="zh-CN" w:eastAsia="zh-CN" w:bidi="ar-SA"/>
        </w:rPr>
        <w:t>卫生健康支出（类）行政事业单位医疗（款）公务员医疗补助（项）：指财政部门安排的公务员医疗补助经经费。</w:t>
      </w:r>
    </w:p>
    <w:p>
      <w:pPr>
        <w:spacing w:line="240" w:lineRule="auto"/>
        <w:ind w:firstLine="64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20.</w:t>
      </w:r>
      <w:r>
        <w:rPr>
          <w:rFonts w:hint="eastAsia" w:ascii="仿宋_GB2312" w:hAnsi="仿宋_GB2312" w:eastAsia="仿宋_GB2312" w:cs="Times New Roman"/>
          <w:color w:val="000000"/>
          <w:kern w:val="2"/>
          <w:sz w:val="32"/>
          <w:szCs w:val="32"/>
          <w:lang w:val="zh-CN" w:eastAsia="zh-CN" w:bidi="ar-SA"/>
        </w:rPr>
        <w:t>卫生健康支出（类）行政事业</w:t>
      </w:r>
      <w:r>
        <w:rPr>
          <w:rFonts w:hint="eastAsia" w:ascii="仿宋_GB2312" w:hAnsi="仿宋_GB2312" w:eastAsia="仿宋_GB2312" w:cs="Times New Roman"/>
          <w:b w:val="0"/>
          <w:bCs w:val="0"/>
          <w:color w:val="000000"/>
          <w:kern w:val="2"/>
          <w:sz w:val="32"/>
          <w:szCs w:val="32"/>
          <w:lang w:val="zh-CN" w:eastAsia="zh-CN" w:bidi="ar-SA"/>
        </w:rPr>
        <w:t>单位医疗（款）其他行政事业单位医疗支出（项）：反映反映财政部门集中安排的事业单位其他医疗保险缴费经费。</w:t>
      </w:r>
    </w:p>
    <w:p>
      <w:pPr>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21</w:t>
      </w:r>
      <w:r>
        <w:rPr>
          <w:rFonts w:hint="eastAsia" w:ascii="仿宋_GB2312" w:hAnsi="仿宋_GB2312" w:eastAsia="仿宋_GB2312" w:cs="Times New Roman"/>
          <w:color w:val="000000"/>
          <w:kern w:val="2"/>
          <w:sz w:val="32"/>
          <w:szCs w:val="32"/>
          <w:lang w:val="zh-CN" w:eastAsia="zh-CN" w:bidi="ar-SA"/>
        </w:rPr>
        <w:t>.资源勘探工业信息等支出（类）支持中小企业发展和管理支出（款）其他支持中小企业发展和管理支出（项）指其他用于中小企业管理及支持中小企业发展方面的支出。</w:t>
      </w:r>
    </w:p>
    <w:p>
      <w:pPr>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22</w:t>
      </w:r>
      <w:r>
        <w:rPr>
          <w:rFonts w:hint="eastAsia" w:ascii="仿宋_GB2312" w:hAnsi="仿宋_GB2312" w:eastAsia="仿宋_GB2312" w:cs="Times New Roman"/>
          <w:color w:val="000000"/>
          <w:kern w:val="2"/>
          <w:sz w:val="32"/>
          <w:szCs w:val="32"/>
          <w:lang w:val="zh-CN" w:eastAsia="zh-CN" w:bidi="ar-SA"/>
        </w:rPr>
        <w:t>.基本支出：指为保障机构正常运转、完成日常工作任务而发生的人员支出和公用支出。</w:t>
      </w:r>
    </w:p>
    <w:p>
      <w:pPr>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23</w:t>
      </w:r>
      <w:r>
        <w:rPr>
          <w:rFonts w:hint="eastAsia" w:ascii="仿宋_GB2312" w:hAnsi="仿宋_GB2312" w:eastAsia="仿宋_GB2312" w:cs="Times New Roman"/>
          <w:color w:val="000000"/>
          <w:kern w:val="2"/>
          <w:sz w:val="32"/>
          <w:szCs w:val="32"/>
          <w:lang w:val="zh-CN" w:eastAsia="zh-CN" w:bidi="ar-SA"/>
        </w:rPr>
        <w:t xml:space="preserve">.项目支出：指在基本支出之外为完成特定行政任务和事业发展目标所发生的支出。 </w:t>
      </w:r>
    </w:p>
    <w:p>
      <w:pPr>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24</w:t>
      </w:r>
      <w:r>
        <w:rPr>
          <w:rFonts w:hint="eastAsia" w:ascii="仿宋_GB2312" w:hAnsi="仿宋_GB2312" w:eastAsia="仿宋_GB2312" w:cs="Times New Roman"/>
          <w:color w:val="000000"/>
          <w:kern w:val="2"/>
          <w:sz w:val="32"/>
          <w:szCs w:val="32"/>
          <w:lang w:val="zh-CN" w:eastAsia="zh-CN" w:bidi="ar-SA"/>
        </w:rPr>
        <w:t>.经营支出：指事业单位在专业业务活动及其辅助活动之外开展非独立核算经营活动发生的支出。</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25</w:t>
      </w:r>
      <w:r>
        <w:rPr>
          <w:rFonts w:hint="eastAsia" w:ascii="仿宋_GB2312" w:hAnsi="仿宋_GB2312" w:eastAsia="仿宋_GB2312" w:cs="Times New Roman"/>
          <w:color w:val="000000"/>
          <w:kern w:val="2"/>
          <w:sz w:val="32"/>
          <w:szCs w:val="32"/>
          <w:lang w:val="zh-CN" w:eastAsia="zh-CN" w:bidi="ar-SA"/>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6"/>
        <w:spacing w:line="560" w:lineRule="exact"/>
        <w:ind w:firstLine="640" w:firstLineChars="200"/>
        <w:rPr>
          <w:rFonts w:hint="eastAsia" w:ascii="仿宋_GB2312" w:hAnsi="仿宋_GB2312" w:eastAsia="仿宋_GB2312" w:cs="Times New Roman"/>
          <w:color w:val="000000"/>
          <w:kern w:val="2"/>
          <w:sz w:val="32"/>
          <w:szCs w:val="32"/>
          <w:lang w:val="zh-CN" w:eastAsia="zh-CN" w:bidi="ar-SA"/>
        </w:rPr>
      </w:pPr>
      <w:r>
        <w:rPr>
          <w:rFonts w:hint="eastAsia" w:ascii="仿宋_GB2312" w:hAnsi="仿宋_GB2312" w:eastAsia="仿宋_GB2312" w:cs="Times New Roman"/>
          <w:color w:val="000000"/>
          <w:kern w:val="2"/>
          <w:sz w:val="32"/>
          <w:szCs w:val="32"/>
          <w:lang w:val="en-US" w:eastAsia="zh-CN" w:bidi="ar-SA"/>
        </w:rPr>
        <w:t>26</w:t>
      </w:r>
      <w:r>
        <w:rPr>
          <w:rFonts w:hint="eastAsia" w:ascii="仿宋_GB2312" w:hAnsi="仿宋_GB2312" w:eastAsia="仿宋_GB2312" w:cs="Times New Roman"/>
          <w:color w:val="000000"/>
          <w:kern w:val="2"/>
          <w:sz w:val="32"/>
          <w:szCs w:val="32"/>
          <w:lang w:val="zh-CN" w:eastAsia="zh-CN" w:bidi="ar-S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spacing w:line="600" w:lineRule="exact"/>
        <w:ind w:firstLine="640" w:firstLineChars="200"/>
        <w:outlineLvl w:val="2"/>
        <w:rPr>
          <w:rFonts w:hint="eastAsia" w:ascii="仿宋_GB2312" w:hAnsi="仿宋_GB2312" w:eastAsia="仿宋_GB2312" w:cs="Times New Roman"/>
          <w:color w:val="000000"/>
          <w:kern w:val="2"/>
          <w:sz w:val="32"/>
          <w:szCs w:val="32"/>
          <w:highlight w:val="none"/>
          <w:lang w:val="zh-CN" w:eastAsia="zh-CN"/>
        </w:rPr>
      </w:pPr>
      <w:r>
        <w:rPr>
          <w:rFonts w:hint="eastAsia" w:ascii="仿宋_GB2312" w:hAnsi="仿宋_GB2312" w:eastAsia="仿宋_GB2312" w:cs="Times New Roman"/>
          <w:color w:val="000000"/>
          <w:kern w:val="2"/>
          <w:sz w:val="32"/>
          <w:szCs w:val="32"/>
          <w:highlight w:val="none"/>
          <w:lang w:val="en-US" w:eastAsia="zh-CN"/>
        </w:rPr>
        <w:t>27.</w:t>
      </w:r>
      <w:r>
        <w:rPr>
          <w:rFonts w:hint="eastAsia" w:ascii="仿宋_GB2312" w:hAnsi="仿宋_GB2312" w:eastAsia="仿宋_GB2312" w:cs="Times New Roman"/>
          <w:color w:val="000000"/>
          <w:kern w:val="2"/>
          <w:sz w:val="32"/>
          <w:szCs w:val="32"/>
          <w:highlight w:val="none"/>
          <w:lang w:val="zh-CN"/>
        </w:rPr>
        <w:t>节能环保支出（类）其他节能环保支出（款）其他节能环保支出（项）</w:t>
      </w:r>
      <w:r>
        <w:rPr>
          <w:rFonts w:hint="eastAsia" w:ascii="仿宋_GB2312" w:hAnsi="仿宋_GB2312" w:eastAsia="仿宋_GB2312" w:cs="Times New Roman"/>
          <w:color w:val="000000"/>
          <w:kern w:val="2"/>
          <w:sz w:val="32"/>
          <w:szCs w:val="32"/>
          <w:highlight w:val="none"/>
          <w:lang w:val="zh-CN" w:eastAsia="zh-CN"/>
        </w:rPr>
        <w:t>：指反映政府</w:t>
      </w:r>
      <w:r>
        <w:rPr>
          <w:rFonts w:hint="eastAsia" w:ascii="仿宋_GB2312" w:hAnsi="仿宋_GB2312" w:eastAsia="仿宋_GB2312" w:cs="Times New Roman"/>
          <w:color w:val="000000"/>
          <w:kern w:val="2"/>
          <w:sz w:val="32"/>
          <w:szCs w:val="32"/>
          <w:highlight w:val="none"/>
          <w:lang w:val="zh-CN"/>
        </w:rPr>
        <w:t>节能环保方面的支出。</w:t>
      </w:r>
    </w:p>
    <w:p>
      <w:pPr>
        <w:numPr>
          <w:ilvl w:val="0"/>
          <w:numId w:val="0"/>
        </w:numPr>
        <w:spacing w:line="600" w:lineRule="exact"/>
        <w:ind w:firstLine="640" w:firstLineChars="200"/>
        <w:outlineLvl w:val="2"/>
        <w:rPr>
          <w:rFonts w:hint="eastAsia" w:ascii="仿宋_GB2312" w:hAnsi="仿宋_GB2312" w:eastAsia="仿宋_GB2312" w:cs="Times New Roman"/>
          <w:color w:val="000000"/>
          <w:kern w:val="2"/>
          <w:sz w:val="32"/>
          <w:szCs w:val="32"/>
          <w:highlight w:val="none"/>
          <w:lang w:val="zh-CN"/>
        </w:rPr>
      </w:pPr>
      <w:r>
        <w:rPr>
          <w:rFonts w:hint="eastAsia" w:ascii="仿宋_GB2312" w:hAnsi="仿宋_GB2312" w:eastAsia="仿宋_GB2312" w:cs="Times New Roman"/>
          <w:color w:val="000000"/>
          <w:kern w:val="2"/>
          <w:sz w:val="32"/>
          <w:szCs w:val="32"/>
          <w:highlight w:val="none"/>
          <w:lang w:val="en-US" w:eastAsia="zh-CN"/>
        </w:rPr>
        <w:t>28.交通运输支出</w:t>
      </w:r>
      <w:r>
        <w:rPr>
          <w:rFonts w:hint="eastAsia" w:ascii="仿宋_GB2312" w:hAnsi="仿宋_GB2312" w:eastAsia="仿宋_GB2312" w:cs="Times New Roman"/>
          <w:color w:val="000000"/>
          <w:kern w:val="2"/>
          <w:sz w:val="32"/>
          <w:szCs w:val="32"/>
          <w:highlight w:val="none"/>
          <w:lang w:val="zh-CN"/>
        </w:rPr>
        <w:t>（类）</w:t>
      </w:r>
      <w:r>
        <w:rPr>
          <w:rFonts w:hint="eastAsia" w:ascii="仿宋_GB2312" w:hAnsi="仿宋_GB2312" w:eastAsia="仿宋_GB2312" w:cs="Times New Roman"/>
          <w:color w:val="000000"/>
          <w:kern w:val="2"/>
          <w:sz w:val="32"/>
          <w:szCs w:val="32"/>
          <w:highlight w:val="none"/>
          <w:lang w:val="en-US" w:eastAsia="zh-CN"/>
        </w:rPr>
        <w:t>民用航空运输</w:t>
      </w:r>
      <w:r>
        <w:rPr>
          <w:rFonts w:hint="eastAsia" w:ascii="仿宋_GB2312" w:hAnsi="仿宋_GB2312" w:eastAsia="仿宋_GB2312" w:cs="Times New Roman"/>
          <w:color w:val="000000"/>
          <w:kern w:val="2"/>
          <w:sz w:val="32"/>
          <w:szCs w:val="32"/>
          <w:highlight w:val="none"/>
          <w:lang w:val="zh-CN"/>
        </w:rPr>
        <w:t>（款）</w:t>
      </w:r>
      <w:r>
        <w:rPr>
          <w:rFonts w:hint="eastAsia" w:ascii="仿宋_GB2312" w:hAnsi="仿宋_GB2312" w:eastAsia="仿宋_GB2312" w:cs="Times New Roman"/>
          <w:color w:val="000000"/>
          <w:kern w:val="2"/>
          <w:sz w:val="32"/>
          <w:szCs w:val="32"/>
          <w:highlight w:val="none"/>
          <w:lang w:val="en-US" w:eastAsia="zh-CN"/>
        </w:rPr>
        <w:t>机场建设：</w:t>
      </w:r>
      <w:r>
        <w:rPr>
          <w:rFonts w:hint="eastAsia" w:ascii="仿宋_GB2312" w:hAnsi="仿宋_GB2312" w:eastAsia="仿宋_GB2312" w:cs="Times New Roman"/>
          <w:color w:val="000000"/>
          <w:kern w:val="2"/>
          <w:sz w:val="32"/>
          <w:szCs w:val="32"/>
          <w:highlight w:val="none"/>
          <w:lang w:val="zh-CN" w:eastAsia="zh-CN"/>
        </w:rPr>
        <w:t>指反映政府在</w:t>
      </w:r>
      <w:r>
        <w:rPr>
          <w:rFonts w:hint="eastAsia" w:ascii="仿宋_GB2312" w:hAnsi="仿宋_GB2312" w:eastAsia="仿宋_GB2312" w:cs="Times New Roman"/>
          <w:color w:val="000000"/>
          <w:kern w:val="2"/>
          <w:sz w:val="32"/>
          <w:szCs w:val="32"/>
          <w:highlight w:val="none"/>
          <w:lang w:val="en-US" w:eastAsia="zh-CN"/>
        </w:rPr>
        <w:t>民用航空运输机场建设方面的支出。</w:t>
      </w:r>
    </w:p>
    <w:p>
      <w:pPr>
        <w:spacing w:line="600" w:lineRule="exact"/>
        <w:jc w:val="center"/>
        <w:outlineLvl w:val="0"/>
        <w:rPr>
          <w:rStyle w:val="28"/>
          <w:rFonts w:ascii="黑体" w:hAnsi="黑体" w:eastAsia="黑体"/>
          <w:b w:val="0"/>
        </w:rPr>
      </w:pPr>
      <w:r>
        <w:rPr>
          <w:rFonts w:ascii="宋体"/>
          <w:b/>
          <w:sz w:val="32"/>
          <w:szCs w:val="32"/>
        </w:rPr>
        <w:br w:type="page"/>
      </w:r>
      <w:bookmarkStart w:id="76" w:name="_Toc15291"/>
      <w:bookmarkStart w:id="77" w:name="_Toc15396614"/>
      <w:r>
        <w:rPr>
          <w:rFonts w:hint="eastAsia" w:ascii="黑体" w:hAnsi="黑体" w:eastAsia="黑体"/>
          <w:sz w:val="44"/>
          <w:szCs w:val="44"/>
        </w:rPr>
        <w:t>第</w:t>
      </w:r>
      <w:r>
        <w:rPr>
          <w:rStyle w:val="28"/>
          <w:rFonts w:hint="eastAsia" w:ascii="黑体" w:hAnsi="黑体" w:eastAsia="黑体"/>
          <w:b w:val="0"/>
        </w:rPr>
        <w:t>四部分 附件</w:t>
      </w:r>
      <w:bookmarkEnd w:id="76"/>
      <w:bookmarkEnd w:id="77"/>
    </w:p>
    <w:p>
      <w:pPr>
        <w:spacing w:line="600" w:lineRule="exact"/>
        <w:jc w:val="both"/>
        <w:outlineLvl w:val="0"/>
        <w:rPr>
          <w:rFonts w:hint="eastAsia" w:ascii="仿宋_GB2312" w:hAnsi="仿宋_GB2312" w:eastAsia="仿宋_GB2312" w:cs="仿宋_GB2312"/>
          <w:sz w:val="32"/>
          <w:szCs w:val="32"/>
        </w:rPr>
      </w:pPr>
      <w:bookmarkStart w:id="78" w:name="_Toc10401"/>
      <w:bookmarkStart w:id="79" w:name="_Toc15396618"/>
    </w:p>
    <w:p>
      <w:pPr>
        <w:spacing w:line="600" w:lineRule="exact"/>
        <w:ind w:firstLine="640" w:firstLineChars="200"/>
        <w:jc w:val="both"/>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部门预算项目支出绩效自评表（</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w:t>
      </w:r>
      <w:bookmarkEnd w:id="78"/>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详见《</w:t>
      </w:r>
      <w:r>
        <w:rPr>
          <w:rFonts w:hint="eastAsia" w:ascii="仿宋_GB2312" w:hAnsi="仿宋_GB2312" w:eastAsia="仿宋_GB2312" w:cs="仿宋_GB2312"/>
          <w:sz w:val="32"/>
          <w:szCs w:val="32"/>
          <w:lang w:val="en-US" w:eastAsia="zh-CN"/>
        </w:rPr>
        <w:t>五通桥区发展和改革局</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年部门预算项目支出绩效自评表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13个</w:t>
      </w:r>
    </w:p>
    <w:p>
      <w:pPr>
        <w:pStyle w:val="2"/>
        <w:spacing w:line="560" w:lineRule="exact"/>
        <w:ind w:left="0" w:leftChars="0" w:firstLine="640"/>
        <w:rPr>
          <w:sz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pStyle w:val="4"/>
        <w:spacing w:before="93"/>
        <w:rPr>
          <w:rFonts w:hAnsi="Calibri" w:cs="仿宋"/>
          <w:sz w:val="32"/>
          <w:szCs w:val="32"/>
        </w:rPr>
      </w:pPr>
    </w:p>
    <w:p>
      <w:pPr>
        <w:spacing w:line="600" w:lineRule="exact"/>
        <w:jc w:val="center"/>
        <w:outlineLvl w:val="0"/>
        <w:rPr>
          <w:rFonts w:hint="eastAsia" w:ascii="黑体" w:hAnsi="黑体" w:eastAsia="黑体"/>
          <w:sz w:val="44"/>
          <w:szCs w:val="44"/>
        </w:rPr>
      </w:pPr>
      <w:bookmarkStart w:id="80" w:name="_Toc3469"/>
    </w:p>
    <w:p>
      <w:pPr>
        <w:spacing w:line="600" w:lineRule="exact"/>
        <w:jc w:val="center"/>
        <w:outlineLvl w:val="0"/>
        <w:rPr>
          <w:rFonts w:hint="eastAsia" w:ascii="黑体" w:hAnsi="黑体" w:eastAsia="黑体"/>
          <w:sz w:val="44"/>
          <w:szCs w:val="44"/>
        </w:rPr>
      </w:pPr>
    </w:p>
    <w:p>
      <w:pPr>
        <w:spacing w:line="600" w:lineRule="exact"/>
        <w:jc w:val="center"/>
        <w:outlineLvl w:val="0"/>
        <w:rPr>
          <w:rStyle w:val="28"/>
          <w:rFonts w:hint="eastAsia" w:ascii="黑体" w:hAnsi="黑体" w:eastAsia="黑体"/>
          <w:b w:val="0"/>
        </w:rPr>
      </w:pPr>
      <w:r>
        <w:rPr>
          <w:rFonts w:hint="eastAsia" w:ascii="黑体" w:hAnsi="黑体" w:eastAsia="黑体"/>
          <w:sz w:val="44"/>
          <w:szCs w:val="44"/>
        </w:rPr>
        <w:t>第</w:t>
      </w:r>
      <w:r>
        <w:rPr>
          <w:rStyle w:val="28"/>
          <w:rFonts w:hint="eastAsia" w:ascii="黑体" w:hAnsi="黑体" w:eastAsia="黑体"/>
          <w:b w:val="0"/>
        </w:rPr>
        <w:t>五部分 附表</w:t>
      </w:r>
      <w:bookmarkEnd w:id="75"/>
      <w:bookmarkEnd w:id="79"/>
      <w:bookmarkEnd w:id="80"/>
      <w:bookmarkStart w:id="81" w:name="_Toc22175"/>
      <w:bookmarkStart w:id="82" w:name="_Toc15396619"/>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r>
        <w:rPr>
          <w:rFonts w:hint="eastAsia" w:ascii="仿宋_GB2312" w:hAnsi="仿宋_GB2312" w:eastAsia="仿宋_GB2312" w:cs="仿宋_GB2312"/>
          <w:b w:val="0"/>
          <w:sz w:val="32"/>
          <w:szCs w:val="32"/>
        </w:rPr>
        <w:t>一、收</w:t>
      </w:r>
      <w:r>
        <w:rPr>
          <w:rStyle w:val="29"/>
          <w:rFonts w:hint="eastAsia" w:ascii="仿宋_GB2312" w:hAnsi="仿宋_GB2312" w:eastAsia="仿宋_GB2312" w:cs="仿宋_GB2312"/>
          <w:b w:val="0"/>
          <w:bCs w:val="0"/>
          <w:sz w:val="32"/>
          <w:szCs w:val="32"/>
        </w:rPr>
        <w:t>入支出决算总表</w:t>
      </w:r>
      <w:bookmarkEnd w:id="81"/>
      <w:bookmarkEnd w:id="82"/>
      <w:bookmarkStart w:id="83" w:name="_Toc25566"/>
      <w:bookmarkStart w:id="84" w:name="_Toc15396620"/>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r>
        <w:rPr>
          <w:rStyle w:val="29"/>
          <w:rFonts w:hint="eastAsia" w:ascii="仿宋_GB2312" w:hAnsi="仿宋_GB2312" w:eastAsia="仿宋_GB2312" w:cs="仿宋_GB2312"/>
          <w:b w:val="0"/>
          <w:bCs w:val="0"/>
          <w:sz w:val="32"/>
          <w:szCs w:val="32"/>
        </w:rPr>
        <w:t>二、收入决算表</w:t>
      </w:r>
      <w:bookmarkEnd w:id="83"/>
      <w:bookmarkEnd w:id="84"/>
      <w:bookmarkStart w:id="85" w:name="_Toc15396621"/>
      <w:bookmarkStart w:id="86" w:name="_Toc21228"/>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r>
        <w:rPr>
          <w:rStyle w:val="29"/>
          <w:rFonts w:hint="eastAsia" w:ascii="仿宋_GB2312" w:hAnsi="仿宋_GB2312" w:eastAsia="仿宋_GB2312" w:cs="仿宋_GB2312"/>
          <w:b w:val="0"/>
          <w:bCs w:val="0"/>
          <w:sz w:val="32"/>
          <w:szCs w:val="32"/>
        </w:rPr>
        <w:t>三、支出决算表</w:t>
      </w:r>
      <w:bookmarkEnd w:id="85"/>
      <w:bookmarkEnd w:id="86"/>
      <w:bookmarkStart w:id="87" w:name="_Toc4299"/>
      <w:bookmarkStart w:id="88" w:name="_Toc15396622"/>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r>
        <w:rPr>
          <w:rStyle w:val="29"/>
          <w:rFonts w:hint="eastAsia" w:ascii="仿宋_GB2312" w:hAnsi="仿宋_GB2312" w:eastAsia="仿宋_GB2312" w:cs="仿宋_GB2312"/>
          <w:b w:val="0"/>
          <w:bCs w:val="0"/>
          <w:sz w:val="32"/>
          <w:szCs w:val="32"/>
        </w:rPr>
        <w:t>四、财政拨款收入支出决算总表</w:t>
      </w:r>
      <w:bookmarkEnd w:id="87"/>
      <w:bookmarkEnd w:id="88"/>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89" w:name="_Toc15396623"/>
      <w:bookmarkStart w:id="90" w:name="_Toc1989"/>
      <w:r>
        <w:rPr>
          <w:rStyle w:val="29"/>
          <w:rFonts w:hint="eastAsia" w:ascii="仿宋_GB2312" w:hAnsi="仿宋_GB2312" w:eastAsia="仿宋_GB2312" w:cs="仿宋_GB2312"/>
          <w:b w:val="0"/>
          <w:bCs w:val="0"/>
          <w:sz w:val="32"/>
          <w:szCs w:val="32"/>
        </w:rPr>
        <w:t>五、财政拨款支出决算明细表</w:t>
      </w:r>
      <w:bookmarkEnd w:id="89"/>
      <w:bookmarkEnd w:id="90"/>
      <w:bookmarkStart w:id="91" w:name="_Toc15396624"/>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92" w:name="_Toc23558"/>
      <w:r>
        <w:rPr>
          <w:rStyle w:val="29"/>
          <w:rFonts w:hint="eastAsia" w:ascii="仿宋_GB2312" w:hAnsi="仿宋_GB2312" w:eastAsia="仿宋_GB2312" w:cs="仿宋_GB2312"/>
          <w:b w:val="0"/>
          <w:bCs w:val="0"/>
          <w:sz w:val="32"/>
          <w:szCs w:val="32"/>
        </w:rPr>
        <w:t>六、一般公共预算财政拨款支出决算表</w:t>
      </w:r>
      <w:bookmarkEnd w:id="91"/>
      <w:bookmarkEnd w:id="92"/>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93" w:name="_Toc4839"/>
      <w:bookmarkStart w:id="94" w:name="_Toc15396625"/>
      <w:r>
        <w:rPr>
          <w:rStyle w:val="29"/>
          <w:rFonts w:hint="eastAsia" w:ascii="仿宋_GB2312" w:hAnsi="仿宋_GB2312" w:eastAsia="仿宋_GB2312" w:cs="仿宋_GB2312"/>
          <w:b w:val="0"/>
          <w:bCs w:val="0"/>
          <w:sz w:val="32"/>
          <w:szCs w:val="32"/>
        </w:rPr>
        <w:t>七、一般公共预算财政拨款支出决算明细表</w:t>
      </w:r>
      <w:bookmarkEnd w:id="93"/>
      <w:bookmarkEnd w:id="94"/>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95" w:name="_Toc30147"/>
      <w:bookmarkStart w:id="96" w:name="_Toc15396626"/>
      <w:r>
        <w:rPr>
          <w:rStyle w:val="29"/>
          <w:rFonts w:hint="eastAsia" w:ascii="仿宋_GB2312" w:hAnsi="仿宋_GB2312" w:eastAsia="仿宋_GB2312" w:cs="仿宋_GB2312"/>
          <w:b w:val="0"/>
          <w:bCs w:val="0"/>
          <w:sz w:val="32"/>
          <w:szCs w:val="32"/>
        </w:rPr>
        <w:t>八、一般公共预算财政拨款基本支出决算表</w:t>
      </w:r>
      <w:bookmarkEnd w:id="95"/>
      <w:bookmarkEnd w:id="96"/>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97" w:name="_Toc3942"/>
      <w:bookmarkStart w:id="98" w:name="_Toc15396627"/>
      <w:r>
        <w:rPr>
          <w:rStyle w:val="29"/>
          <w:rFonts w:hint="eastAsia" w:ascii="仿宋_GB2312" w:hAnsi="仿宋_GB2312" w:eastAsia="仿宋_GB2312" w:cs="仿宋_GB2312"/>
          <w:b w:val="0"/>
          <w:bCs w:val="0"/>
          <w:sz w:val="32"/>
          <w:szCs w:val="32"/>
        </w:rPr>
        <w:t>九、一般公共预算财政拨款项目支出决算表</w:t>
      </w:r>
      <w:bookmarkEnd w:id="97"/>
      <w:bookmarkEnd w:id="98"/>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99" w:name="_Toc15396628"/>
      <w:bookmarkStart w:id="100" w:name="_Toc12750"/>
      <w:r>
        <w:rPr>
          <w:rStyle w:val="29"/>
          <w:rFonts w:hint="eastAsia" w:ascii="仿宋_GB2312" w:hAnsi="仿宋_GB2312" w:eastAsia="仿宋_GB2312" w:cs="仿宋_GB2312"/>
          <w:b w:val="0"/>
          <w:bCs w:val="0"/>
          <w:sz w:val="32"/>
          <w:szCs w:val="32"/>
        </w:rPr>
        <w:t>十、</w:t>
      </w:r>
      <w:bookmarkEnd w:id="99"/>
      <w:r>
        <w:rPr>
          <w:rStyle w:val="29"/>
          <w:rFonts w:hint="eastAsia" w:ascii="仿宋_GB2312" w:hAnsi="仿宋_GB2312" w:eastAsia="仿宋_GB2312" w:cs="仿宋_GB2312"/>
          <w:b w:val="0"/>
          <w:bCs w:val="0"/>
          <w:sz w:val="32"/>
          <w:szCs w:val="32"/>
        </w:rPr>
        <w:t>政府性基金预算财政拨款收入支出决算表</w:t>
      </w:r>
      <w:bookmarkEnd w:id="100"/>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101" w:name="_Toc15396629"/>
      <w:bookmarkStart w:id="102" w:name="_Toc6864"/>
      <w:r>
        <w:rPr>
          <w:rStyle w:val="29"/>
          <w:rFonts w:hint="eastAsia" w:ascii="仿宋_GB2312" w:hAnsi="仿宋_GB2312" w:eastAsia="仿宋_GB2312" w:cs="仿宋_GB2312"/>
          <w:b w:val="0"/>
          <w:bCs w:val="0"/>
          <w:sz w:val="32"/>
          <w:szCs w:val="32"/>
        </w:rPr>
        <w:t>十一、</w:t>
      </w:r>
      <w:bookmarkEnd w:id="101"/>
      <w:r>
        <w:rPr>
          <w:rStyle w:val="29"/>
          <w:rFonts w:hint="eastAsia" w:ascii="仿宋_GB2312" w:hAnsi="仿宋_GB2312" w:eastAsia="仿宋_GB2312" w:cs="仿宋_GB2312"/>
          <w:b w:val="0"/>
          <w:bCs w:val="0"/>
          <w:sz w:val="32"/>
          <w:szCs w:val="32"/>
        </w:rPr>
        <w:t>国有资本经营预算财政拨款收入支出决算表</w:t>
      </w:r>
      <w:bookmarkEnd w:id="102"/>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103" w:name="_Toc15396630"/>
      <w:bookmarkStart w:id="104" w:name="_Toc21642"/>
      <w:r>
        <w:rPr>
          <w:rStyle w:val="29"/>
          <w:rFonts w:hint="eastAsia" w:ascii="仿宋_GB2312" w:hAnsi="仿宋_GB2312" w:eastAsia="仿宋_GB2312" w:cs="仿宋_GB2312"/>
          <w:b w:val="0"/>
          <w:bCs w:val="0"/>
          <w:sz w:val="32"/>
          <w:szCs w:val="32"/>
        </w:rPr>
        <w:t>十二、</w:t>
      </w:r>
      <w:bookmarkEnd w:id="103"/>
      <w:r>
        <w:rPr>
          <w:rStyle w:val="29"/>
          <w:rFonts w:hint="eastAsia" w:ascii="仿宋_GB2312" w:hAnsi="仿宋_GB2312" w:eastAsia="仿宋_GB2312" w:cs="仿宋_GB2312"/>
          <w:b w:val="0"/>
          <w:bCs w:val="0"/>
          <w:sz w:val="32"/>
          <w:szCs w:val="32"/>
        </w:rPr>
        <w:t>国有资本经营预算财政拨款支出决算表</w:t>
      </w:r>
      <w:bookmarkEnd w:id="104"/>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rPr>
      </w:pPr>
      <w:bookmarkStart w:id="105" w:name="_Toc15396631"/>
      <w:bookmarkStart w:id="106" w:name="_Toc22731"/>
      <w:r>
        <w:rPr>
          <w:rStyle w:val="29"/>
          <w:rFonts w:hint="eastAsia" w:ascii="仿宋_GB2312" w:hAnsi="仿宋_GB2312" w:eastAsia="仿宋_GB2312" w:cs="仿宋_GB2312"/>
          <w:b w:val="0"/>
          <w:bCs w:val="0"/>
          <w:sz w:val="32"/>
          <w:szCs w:val="32"/>
        </w:rPr>
        <w:t>十三、</w:t>
      </w:r>
      <w:bookmarkEnd w:id="105"/>
      <w:r>
        <w:rPr>
          <w:rStyle w:val="29"/>
          <w:rFonts w:hint="eastAsia" w:ascii="仿宋_GB2312" w:hAnsi="仿宋_GB2312" w:eastAsia="仿宋_GB2312" w:cs="仿宋_GB2312"/>
          <w:b w:val="0"/>
          <w:bCs w:val="0"/>
          <w:sz w:val="32"/>
          <w:szCs w:val="32"/>
        </w:rPr>
        <w:t>财政拨款“三公”经费支出决算表</w:t>
      </w:r>
      <w:bookmarkEnd w:id="106"/>
    </w:p>
    <w:p>
      <w:pPr>
        <w:keepNext w:val="0"/>
        <w:keepLines w:val="0"/>
        <w:pageBreakBefore w:val="0"/>
        <w:widowControl w:val="0"/>
        <w:kinsoku/>
        <w:wordWrap/>
        <w:overflowPunct/>
        <w:topLinePunct w:val="0"/>
        <w:autoSpaceDE/>
        <w:autoSpaceDN/>
        <w:bidi w:val="0"/>
        <w:adjustRightInd/>
        <w:snapToGrid/>
        <w:spacing w:before="157" w:beforeLines="50" w:line="480" w:lineRule="auto"/>
        <w:jc w:val="both"/>
        <w:textAlignment w:val="auto"/>
        <w:outlineLvl w:val="0"/>
        <w:rPr>
          <w:rStyle w:val="29"/>
          <w:rFonts w:hint="eastAsia" w:ascii="仿宋_GB2312" w:hAnsi="仿宋_GB2312" w:eastAsia="仿宋_GB2312" w:cs="仿宋_GB2312"/>
          <w:b w:val="0"/>
          <w:bCs w:val="0"/>
          <w:sz w:val="32"/>
          <w:szCs w:val="32"/>
          <w:lang w:eastAsia="zh-CN"/>
        </w:rPr>
      </w:pPr>
      <w:r>
        <w:rPr>
          <w:rStyle w:val="29"/>
          <w:rFonts w:hint="eastAsia" w:ascii="仿宋_GB2312" w:hAnsi="仿宋_GB2312" w:eastAsia="仿宋_GB2312" w:cs="仿宋_GB2312"/>
          <w:b w:val="0"/>
          <w:bCs w:val="0"/>
          <w:sz w:val="32"/>
          <w:szCs w:val="32"/>
          <w:lang w:eastAsia="zh-CN"/>
        </w:rPr>
        <w:t>注：以上附表详见《五通桥区发展和改革局2024年单位决算公开表》</w:t>
      </w:r>
    </w:p>
    <w:p/>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auto"/>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EndPr>
                            <w:rPr>
                              <w:rFonts w:hint="eastAsia" w:ascii="宋体" w:hAnsi="宋体" w:eastAsia="宋体" w:cs="宋体"/>
                              <w:sz w:val="32"/>
                              <w:szCs w:val="32"/>
                            </w:rPr>
                          </w:sdtEndPr>
                          <w:sdtContent>
                            <w:p>
                              <w:pPr>
                                <w:pStyle w:val="10"/>
                                <w:jc w:val="center"/>
                                <w:rPr>
                                  <w:rFonts w:hint="eastAsia" w:ascii="宋体" w:hAnsi="宋体" w:eastAsia="宋体" w:cs="宋体"/>
                                  <w:sz w:val="32"/>
                                  <w:szCs w:val="32"/>
                                </w:rPr>
                              </w:pPr>
                            </w:p>
                          </w:sdtContent>
                        </w:sdt>
                        <w:p>
                          <w:pPr>
                            <w:pStyle w:val="2"/>
                            <w:rPr>
                              <w:rFonts w:hint="eastAsia" w:ascii="宋体" w:hAnsi="宋体" w:eastAsia="宋体" w:cs="宋体"/>
                              <w:sz w:val="32"/>
                              <w:szCs w:val="32"/>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sdt>
                    <w:sdtPr>
                      <w:id w:val="-1"/>
                    </w:sdtPr>
                    <w:sdtEndPr>
                      <w:rPr>
                        <w:rFonts w:hint="eastAsia" w:ascii="宋体" w:hAnsi="宋体" w:eastAsia="宋体" w:cs="宋体"/>
                        <w:sz w:val="32"/>
                        <w:szCs w:val="32"/>
                      </w:rPr>
                    </w:sdtEndPr>
                    <w:sdtContent>
                      <w:p>
                        <w:pPr>
                          <w:pStyle w:val="10"/>
                          <w:jc w:val="center"/>
                          <w:rPr>
                            <w:rFonts w:hint="eastAsia" w:ascii="宋体" w:hAnsi="宋体" w:eastAsia="宋体" w:cs="宋体"/>
                            <w:sz w:val="32"/>
                            <w:szCs w:val="32"/>
                          </w:rPr>
                        </w:pPr>
                      </w:p>
                    </w:sdtContent>
                  </w:sdt>
                  <w:p>
                    <w:pPr>
                      <w:pStyle w:val="2"/>
                      <w:rPr>
                        <w:rFonts w:hint="eastAsia" w:ascii="宋体" w:hAnsi="宋体" w:eastAsia="宋体" w:cs="宋体"/>
                        <w:sz w:val="32"/>
                        <w:szCs w:val="32"/>
                      </w:rPr>
                    </w:pPr>
                  </w:p>
                </w:txbxContent>
              </v:textbox>
            </v:shape>
          </w:pict>
        </mc:Fallback>
      </mc:AlternateContent>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EndPr>
                            <w:rPr>
                              <w:rFonts w:hint="eastAsia" w:ascii="宋体" w:hAnsi="宋体" w:eastAsia="宋体" w:cs="宋体"/>
                              <w:sz w:val="28"/>
                              <w:szCs w:val="28"/>
                            </w:rPr>
                          </w:sdtEndPr>
                          <w:sdtContent>
                            <w:p>
                              <w:pPr>
                                <w:pStyle w:val="10"/>
                                <w:jc w:val="center"/>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15</w:t>
                              </w:r>
                              <w:r>
                                <w:rPr>
                                  <w:rFonts w:hint="eastAsia" w:ascii="宋体" w:hAnsi="宋体" w:eastAsia="宋体" w:cs="宋体"/>
                                  <w:sz w:val="28"/>
                                  <w:szCs w:val="28"/>
                                </w:rPr>
                                <w:fldChar w:fldCharType="end"/>
                              </w:r>
                            </w:p>
                          </w:sdtContent>
                        </w:sdt>
                        <w:p>
                          <w:pPr>
                            <w:pStyle w:val="2"/>
                            <w:rPr>
                              <w:rFonts w:hint="eastAsia" w:ascii="宋体" w:hAnsi="宋体" w:eastAsia="宋体" w:cs="宋体"/>
                              <w:sz w:val="32"/>
                              <w:szCs w:val="32"/>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sdt>
                    <w:sdtPr>
                      <w:id w:val="-1"/>
                    </w:sdtPr>
                    <w:sdtEndPr>
                      <w:rPr>
                        <w:rFonts w:hint="eastAsia" w:ascii="宋体" w:hAnsi="宋体" w:eastAsia="宋体" w:cs="宋体"/>
                        <w:sz w:val="28"/>
                        <w:szCs w:val="28"/>
                      </w:rPr>
                    </w:sdtEndPr>
                    <w:sdtContent>
                      <w:p>
                        <w:pPr>
                          <w:pStyle w:val="10"/>
                          <w:jc w:val="center"/>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15</w:t>
                        </w:r>
                        <w:r>
                          <w:rPr>
                            <w:rFonts w:hint="eastAsia" w:ascii="宋体" w:hAnsi="宋体" w:eastAsia="宋体" w:cs="宋体"/>
                            <w:sz w:val="28"/>
                            <w:szCs w:val="28"/>
                          </w:rPr>
                          <w:fldChar w:fldCharType="end"/>
                        </w:r>
                      </w:p>
                    </w:sdtContent>
                  </w:sdt>
                  <w:p>
                    <w:pPr>
                      <w:pStyle w:val="2"/>
                      <w:rPr>
                        <w:rFonts w:hint="eastAsia" w:ascii="宋体" w:hAnsi="宋体" w:eastAsia="宋体" w:cs="宋体"/>
                        <w:sz w:val="32"/>
                        <w:szCs w:val="32"/>
                      </w:rPr>
                    </w:pPr>
                  </w:p>
                </w:txbxContent>
              </v:textbox>
            </v:shape>
          </w:pict>
        </mc:Fallback>
      </mc:AlternateContent>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10"/>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8756C1"/>
    <w:multiLevelType w:val="singleLevel"/>
    <w:tmpl w:val="E28756C1"/>
    <w:lvl w:ilvl="0" w:tentative="0">
      <w:start w:val="1"/>
      <w:numFmt w:val="decimal"/>
      <w:lvlText w:val="%1."/>
      <w:lvlJc w:val="left"/>
      <w:pPr>
        <w:tabs>
          <w:tab w:val="left" w:pos="312"/>
        </w:tabs>
      </w:p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18A09A"/>
    <w:multiLevelType w:val="singleLevel"/>
    <w:tmpl w:val="3818A09A"/>
    <w:lvl w:ilvl="0" w:tentative="0">
      <w:start w:val="1"/>
      <w:numFmt w:val="chineseCounting"/>
      <w:suff w:val="nothing"/>
      <w:lvlText w:val="%1、"/>
      <w:lvlJc w:val="left"/>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N2FkNWE1ZmE1ZDZiZmU5NTNkMjNlMWFiMjE4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2E26FA"/>
    <w:rsid w:val="03DC2831"/>
    <w:rsid w:val="05EF765E"/>
    <w:rsid w:val="081B5E94"/>
    <w:rsid w:val="0A2032A3"/>
    <w:rsid w:val="0A962282"/>
    <w:rsid w:val="0AC653B1"/>
    <w:rsid w:val="0B8A37D8"/>
    <w:rsid w:val="0F5FFB2F"/>
    <w:rsid w:val="0F823AC5"/>
    <w:rsid w:val="0FFFCF60"/>
    <w:rsid w:val="10C055FF"/>
    <w:rsid w:val="10EA2E78"/>
    <w:rsid w:val="118107EC"/>
    <w:rsid w:val="11900CCC"/>
    <w:rsid w:val="11DD6519"/>
    <w:rsid w:val="124D1C69"/>
    <w:rsid w:val="14860365"/>
    <w:rsid w:val="16BB723D"/>
    <w:rsid w:val="18015F3F"/>
    <w:rsid w:val="1BE8440E"/>
    <w:rsid w:val="1D155CEE"/>
    <w:rsid w:val="1F721349"/>
    <w:rsid w:val="1FDBBF84"/>
    <w:rsid w:val="204061C1"/>
    <w:rsid w:val="20AB2986"/>
    <w:rsid w:val="20F57F95"/>
    <w:rsid w:val="23DC4AE4"/>
    <w:rsid w:val="240371BF"/>
    <w:rsid w:val="256220AA"/>
    <w:rsid w:val="25711CC6"/>
    <w:rsid w:val="25C741E6"/>
    <w:rsid w:val="276F80C0"/>
    <w:rsid w:val="27842671"/>
    <w:rsid w:val="29FD04D3"/>
    <w:rsid w:val="2ABE7A3E"/>
    <w:rsid w:val="2AFF09B6"/>
    <w:rsid w:val="2CA234A8"/>
    <w:rsid w:val="2EAF05D7"/>
    <w:rsid w:val="2EFA178C"/>
    <w:rsid w:val="2EFDF86C"/>
    <w:rsid w:val="2F9D17E1"/>
    <w:rsid w:val="2FAF6F5F"/>
    <w:rsid w:val="30826819"/>
    <w:rsid w:val="30B46D73"/>
    <w:rsid w:val="319F7F4E"/>
    <w:rsid w:val="33385D47"/>
    <w:rsid w:val="33A74C3B"/>
    <w:rsid w:val="345708B9"/>
    <w:rsid w:val="35022D3B"/>
    <w:rsid w:val="356A28F1"/>
    <w:rsid w:val="357C035A"/>
    <w:rsid w:val="368E000D"/>
    <w:rsid w:val="383D272C"/>
    <w:rsid w:val="38635C83"/>
    <w:rsid w:val="39AE70AB"/>
    <w:rsid w:val="3A4DCE41"/>
    <w:rsid w:val="3A5C5117"/>
    <w:rsid w:val="3A61152C"/>
    <w:rsid w:val="3A6C5F49"/>
    <w:rsid w:val="3BCB56FA"/>
    <w:rsid w:val="3C0C0783"/>
    <w:rsid w:val="3CAA05F4"/>
    <w:rsid w:val="3EE7C2F4"/>
    <w:rsid w:val="3F371B56"/>
    <w:rsid w:val="3F792ED8"/>
    <w:rsid w:val="3F9F3A96"/>
    <w:rsid w:val="3FECA4B2"/>
    <w:rsid w:val="3FF58C48"/>
    <w:rsid w:val="42FF6694"/>
    <w:rsid w:val="435603F3"/>
    <w:rsid w:val="444866E6"/>
    <w:rsid w:val="46C03B0E"/>
    <w:rsid w:val="470F610F"/>
    <w:rsid w:val="48BF60AB"/>
    <w:rsid w:val="493C27E9"/>
    <w:rsid w:val="496F39ED"/>
    <w:rsid w:val="49885925"/>
    <w:rsid w:val="49FF41D3"/>
    <w:rsid w:val="4B61087C"/>
    <w:rsid w:val="4BE068DB"/>
    <w:rsid w:val="4BF6002B"/>
    <w:rsid w:val="4BFFC6BE"/>
    <w:rsid w:val="4ECE2238"/>
    <w:rsid w:val="51DB4B86"/>
    <w:rsid w:val="51F64DB0"/>
    <w:rsid w:val="535B2ABE"/>
    <w:rsid w:val="55333C3E"/>
    <w:rsid w:val="556311B2"/>
    <w:rsid w:val="5D1F53F9"/>
    <w:rsid w:val="5F67802D"/>
    <w:rsid w:val="5F7DC4F2"/>
    <w:rsid w:val="5FB36814"/>
    <w:rsid w:val="5FBB8E56"/>
    <w:rsid w:val="5FFB5535"/>
    <w:rsid w:val="604C5401"/>
    <w:rsid w:val="619453FE"/>
    <w:rsid w:val="61BC0D8B"/>
    <w:rsid w:val="63FD614D"/>
    <w:rsid w:val="64CA39A1"/>
    <w:rsid w:val="66643C79"/>
    <w:rsid w:val="69630ADE"/>
    <w:rsid w:val="69A17E26"/>
    <w:rsid w:val="69BD5F13"/>
    <w:rsid w:val="69FB0B4B"/>
    <w:rsid w:val="6BEF46A9"/>
    <w:rsid w:val="6BFFE1FB"/>
    <w:rsid w:val="6C4A05C8"/>
    <w:rsid w:val="6C531699"/>
    <w:rsid w:val="6D3B1A89"/>
    <w:rsid w:val="6DB7D8A3"/>
    <w:rsid w:val="6EC78701"/>
    <w:rsid w:val="6F3D1479"/>
    <w:rsid w:val="6F7A5481"/>
    <w:rsid w:val="6FFE07A9"/>
    <w:rsid w:val="71BF4EC2"/>
    <w:rsid w:val="72734D90"/>
    <w:rsid w:val="73E0405A"/>
    <w:rsid w:val="73E75B71"/>
    <w:rsid w:val="73EF8946"/>
    <w:rsid w:val="7412278C"/>
    <w:rsid w:val="75DDCDA9"/>
    <w:rsid w:val="75FF44B1"/>
    <w:rsid w:val="77670518"/>
    <w:rsid w:val="777FA627"/>
    <w:rsid w:val="77DF1B5F"/>
    <w:rsid w:val="77EE4651"/>
    <w:rsid w:val="77EF2D9D"/>
    <w:rsid w:val="79E7B28D"/>
    <w:rsid w:val="7ACFF0C2"/>
    <w:rsid w:val="7AFB9108"/>
    <w:rsid w:val="7BD5340C"/>
    <w:rsid w:val="7BFB19D2"/>
    <w:rsid w:val="7BFD0396"/>
    <w:rsid w:val="7BFD1750"/>
    <w:rsid w:val="7BFDAA1B"/>
    <w:rsid w:val="7CDF9A82"/>
    <w:rsid w:val="7CFFA1BD"/>
    <w:rsid w:val="7D2E3F7A"/>
    <w:rsid w:val="7DED9490"/>
    <w:rsid w:val="7DFF4872"/>
    <w:rsid w:val="7E7487E6"/>
    <w:rsid w:val="7E7C2A54"/>
    <w:rsid w:val="7EEEFD72"/>
    <w:rsid w:val="7F1D517C"/>
    <w:rsid w:val="7F5DA057"/>
    <w:rsid w:val="7F6C2237"/>
    <w:rsid w:val="7F75D7A5"/>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CFFF183F"/>
    <w:rsid w:val="D5DA60B3"/>
    <w:rsid w:val="D7C6F579"/>
    <w:rsid w:val="D8FECA92"/>
    <w:rsid w:val="DAFFBE66"/>
    <w:rsid w:val="DCAF650F"/>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6E438F"/>
    <w:rsid w:val="EEF73F60"/>
    <w:rsid w:val="EFED9E42"/>
    <w:rsid w:val="EFFFB194"/>
    <w:rsid w:val="F2E1F9D4"/>
    <w:rsid w:val="F5FF7449"/>
    <w:rsid w:val="F7880819"/>
    <w:rsid w:val="F7AF180D"/>
    <w:rsid w:val="F7BDBFA7"/>
    <w:rsid w:val="F7FAD68F"/>
    <w:rsid w:val="F7FB14CF"/>
    <w:rsid w:val="F9FB1846"/>
    <w:rsid w:val="FB3FC69C"/>
    <w:rsid w:val="FBDFF225"/>
    <w:rsid w:val="FBF7AB63"/>
    <w:rsid w:val="FC2F3373"/>
    <w:rsid w:val="FCF51535"/>
    <w:rsid w:val="FD77F6B8"/>
    <w:rsid w:val="FD7D63D3"/>
    <w:rsid w:val="FDCF6873"/>
    <w:rsid w:val="FDD69328"/>
    <w:rsid w:val="FDDFEC0E"/>
    <w:rsid w:val="FDE58BDD"/>
    <w:rsid w:val="FDEC7001"/>
    <w:rsid w:val="FEDFE87F"/>
    <w:rsid w:val="FEF1D25B"/>
    <w:rsid w:val="FF3EF90F"/>
    <w:rsid w:val="FF7A5392"/>
    <w:rsid w:val="FFAF6081"/>
    <w:rsid w:val="FFECCD8C"/>
    <w:rsid w:val="FFED60BD"/>
    <w:rsid w:val="FFEE08F0"/>
    <w:rsid w:val="FFEE7F9F"/>
    <w:rsid w:val="FFEF8E3C"/>
    <w:rsid w:val="FFFF3197"/>
    <w:rsid w:val="FFFFF9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3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2"/>
    <w:qFormat/>
    <w:uiPriority w:val="0"/>
    <w:pPr>
      <w:spacing w:after="120"/>
      <w:ind w:left="200" w:leftChars="200"/>
    </w:pPr>
    <w:rPr>
      <w:rFonts w:ascii="仿宋_GB2312"/>
      <w:szCs w:val="32"/>
    </w:rPr>
  </w:style>
  <w:style w:type="paragraph" w:styleId="4">
    <w:name w:val="Body Text"/>
    <w:basedOn w:val="1"/>
    <w:link w:val="25"/>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字符"/>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字符"/>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字符"/>
    <w:link w:val="4"/>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字符"/>
    <w:basedOn w:val="16"/>
    <w:link w:val="5"/>
    <w:qFormat/>
    <w:uiPriority w:val="9"/>
    <w:rPr>
      <w:rFonts w:ascii="Times New Roman" w:hAnsi="Times New Roman"/>
      <w:b/>
      <w:bCs/>
      <w:kern w:val="44"/>
      <w:sz w:val="44"/>
      <w:szCs w:val="44"/>
    </w:rPr>
  </w:style>
  <w:style w:type="character" w:customStyle="1" w:styleId="29">
    <w:name w:val="标题 2 字符"/>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16"/>
    <w:link w:val="9"/>
    <w:semiHidden/>
    <w:qFormat/>
    <w:uiPriority w:val="99"/>
    <w:rPr>
      <w:rFonts w:ascii="Times New Roman" w:hAnsi="Times New Roman"/>
      <w:kern w:val="2"/>
      <w:sz w:val="18"/>
      <w:szCs w:val="18"/>
    </w:rPr>
  </w:style>
  <w:style w:type="character" w:customStyle="1" w:styleId="32">
    <w:name w:val="标题 3 字符"/>
    <w:basedOn w:val="16"/>
    <w:link w:val="7"/>
    <w:qFormat/>
    <w:uiPriority w:val="9"/>
    <w:rPr>
      <w:rFonts w:ascii="Times New Roman" w:hAnsi="Times New Roman"/>
      <w:b/>
      <w:bCs/>
      <w:kern w:val="2"/>
      <w:sz w:val="32"/>
      <w:szCs w:val="32"/>
    </w:rPr>
  </w:style>
  <w:style w:type="paragraph" w:customStyle="1" w:styleId="33">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WPSOffice手动目录 1"/>
    <w:qFormat/>
    <w:uiPriority w:val="0"/>
    <w:pPr>
      <w:ind w:leftChars="0"/>
    </w:pPr>
    <w:rPr>
      <w:rFonts w:asciiTheme="minorHAnsi" w:hAnsiTheme="minorHAnsi" w:eastAsiaTheme="minorEastAsia" w:cstheme="minorBidi"/>
      <w:sz w:val="20"/>
      <w:szCs w:val="20"/>
    </w:rPr>
  </w:style>
  <w:style w:type="paragraph" w:customStyle="1" w:styleId="35">
    <w:name w:val="WPSOffice手动目录 2"/>
    <w:qFormat/>
    <w:uiPriority w:val="0"/>
    <w:pPr>
      <w:ind w:leftChars="200"/>
    </w:pPr>
    <w:rPr>
      <w:rFonts w:asciiTheme="minorHAnsi" w:hAnsiTheme="minorHAnsi" w:eastAsiaTheme="minorEastAsia" w:cstheme="minorBidi"/>
      <w:sz w:val="20"/>
      <w:szCs w:val="20"/>
    </w:rPr>
  </w:style>
  <w:style w:type="character" w:customStyle="1" w:styleId="36">
    <w:name w:val="标题 2 Char"/>
    <w:basedOn w:val="16"/>
    <w:link w:val="6"/>
    <w:qFormat/>
    <w:uiPriority w:val="9"/>
    <w:rPr>
      <w:rFonts w:ascii="Calibri Light" w:hAnsi="Calibri Light" w:eastAsia="宋体" w:cs="Times New Roman"/>
      <w:b/>
      <w:bCs/>
      <w:sz w:val="32"/>
      <w:szCs w:val="32"/>
    </w:rPr>
  </w:style>
  <w:style w:type="character" w:customStyle="1" w:styleId="37">
    <w:name w:val="标题 1 Char"/>
    <w:basedOn w:val="16"/>
    <w:link w:val="5"/>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22</Pages>
  <Words>7029</Words>
  <Characters>7824</Characters>
  <Lines>54</Lines>
  <Paragraphs>15</Paragraphs>
  <TotalTime>20</TotalTime>
  <ScaleCrop>false</ScaleCrop>
  <LinksUpToDate>false</LinksUpToDate>
  <CharactersWithSpaces>7951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2020-08-09T17:49:00Z</dcterms:created>
  <dc:creator>曹颖</dc:creator>
  <cp:lastModifiedBy>fgj4</cp:lastModifiedBy>
  <cp:lastPrinted>2023-08-04T18:35:00Z</cp:lastPrinted>
  <dcterms:modified xsi:type="dcterms:W3CDTF">2025-10-29T09:50:59Z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08811B5DCB9E4F70A64D876DA0BAF821_12</vt:lpwstr>
  </property>
</Properties>
</file>