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szCs w:val="21"/>
        </w:rPr>
      </w:pPr>
      <w:bookmarkStart w:id="0" w:name="_Toc15306267"/>
    </w:p>
    <w:p>
      <w:pPr>
        <w:pStyle w:val="2"/>
        <w:spacing w:before="93"/>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193"/>
      <w:bookmarkStart w:id="2" w:name="_Toc15396475"/>
      <w:bookmarkStart w:id="3" w:name="_Toc15396597"/>
      <w:bookmarkStart w:id="4" w:name="_Toc15377425"/>
      <w:bookmarkStart w:id="5" w:name="_Toc15378441"/>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4</w:t>
      </w:r>
      <w:r>
        <w:rPr>
          <w:rFonts w:hint="eastAsia" w:ascii="方正小标宋简体" w:hAnsi="方正小标宋简体" w:eastAsia="方正小标宋简体" w:cs="方正小标宋简体"/>
          <w:sz w:val="72"/>
          <w:szCs w:val="72"/>
        </w:rPr>
        <w:t>年度</w:t>
      </w:r>
      <w:bookmarkEnd w:id="1"/>
      <w:bookmarkEnd w:id="2"/>
      <w:bookmarkEnd w:id="3"/>
      <w:bookmarkEnd w:id="4"/>
      <w:bookmarkEnd w:id="5"/>
    </w:p>
    <w:bookmarkEnd w:id="0"/>
    <w:p>
      <w:pPr>
        <w:adjustRightInd w:val="0"/>
        <w:snapToGrid w:val="0"/>
        <w:spacing w:line="360" w:lineRule="auto"/>
        <w:jc w:val="center"/>
        <w:outlineLvl w:val="0"/>
        <w:rPr>
          <w:rFonts w:hint="eastAsia" w:ascii="方正小标宋简体" w:hAnsi="宋体" w:eastAsia="方正小标宋简体"/>
          <w:sz w:val="48"/>
          <w:szCs w:val="48"/>
        </w:rPr>
      </w:pPr>
      <w:bookmarkStart w:id="6" w:name="_Toc15377426"/>
      <w:bookmarkStart w:id="7" w:name="_Toc15396598"/>
      <w:bookmarkStart w:id="8" w:name="_Toc15306268"/>
      <w:bookmarkStart w:id="9" w:name="_Toc15378442"/>
      <w:bookmarkStart w:id="10" w:name="_Toc15396476"/>
      <w:bookmarkStart w:id="11" w:name="_Toc15377194"/>
      <w:r>
        <w:rPr>
          <w:rFonts w:hint="eastAsia" w:ascii="方正小标宋简体" w:hAnsi="宋体" w:eastAsia="方正小标宋简体"/>
          <w:sz w:val="48"/>
          <w:szCs w:val="48"/>
          <w:lang w:val="en-US" w:eastAsia="zh-CN"/>
        </w:rPr>
        <w:t>乐山市五通桥区风景园林所</w:t>
      </w:r>
      <w:r>
        <w:rPr>
          <w:rFonts w:hint="eastAsia" w:ascii="方正小标宋简体" w:hAnsi="宋体" w:eastAsia="方正小标宋简体"/>
          <w:sz w:val="48"/>
          <w:szCs w:val="48"/>
        </w:rPr>
        <w:t>单位决算</w:t>
      </w:r>
      <w:bookmarkEnd w:id="6"/>
      <w:bookmarkEnd w:id="7"/>
      <w:bookmarkEnd w:id="8"/>
      <w:bookmarkEnd w:id="9"/>
      <w:bookmarkEnd w:id="10"/>
      <w:bookmarkEnd w:id="11"/>
    </w:p>
    <w:p>
      <w:pPr>
        <w:adjustRightInd w:val="0"/>
        <w:snapToGrid w:val="0"/>
        <w:spacing w:line="360" w:lineRule="auto"/>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rPr>
        <w:t>(单位公开范本)</w:t>
      </w: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1"/>
      </w:pPr>
      <w:r>
        <w:rPr>
          <w:rFonts w:hint="eastAsia"/>
        </w:rPr>
        <w:t>公开时间：2023年9月6日</w:t>
      </w:r>
    </w:p>
    <w:p/>
    <w:p>
      <w:pPr>
        <w:pStyle w:val="11"/>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2"/>
        <w:adjustRightInd w:val="0"/>
        <w:snapToGrid w:val="0"/>
        <w:spacing w:line="440" w:lineRule="exact"/>
        <w:jc w:val="left"/>
        <w:rPr>
          <w:rFonts w:hint="default" w:eastAsia="宋体"/>
          <w:sz w:val="24"/>
          <w:lang w:val="en-US" w:eastAsia="zh-CN"/>
        </w:rPr>
      </w:pPr>
      <w:r>
        <w:rPr>
          <w:rFonts w:hint="eastAsia"/>
          <w:sz w:val="24"/>
        </w:rPr>
        <w:t>一、主要职责</w:t>
      </w:r>
      <w:r>
        <w:rPr>
          <w:rFonts w:hint="eastAsia"/>
          <w:sz w:val="24"/>
          <w:lang w:val="en-US" w:eastAsia="zh-CN"/>
        </w:rPr>
        <w:t>----------------------------------------------------------------------4</w:t>
      </w:r>
    </w:p>
    <w:p>
      <w:pPr>
        <w:pStyle w:val="12"/>
        <w:adjustRightInd w:val="0"/>
        <w:snapToGrid w:val="0"/>
        <w:spacing w:line="440" w:lineRule="exact"/>
        <w:jc w:val="left"/>
        <w:rPr>
          <w:rFonts w:hint="default" w:eastAsia="宋体"/>
          <w:lang w:val="en-US" w:eastAsia="zh-CN"/>
        </w:rPr>
      </w:pPr>
      <w:r>
        <w:rPr>
          <w:rFonts w:hint="eastAsia"/>
          <w:sz w:val="24"/>
        </w:rPr>
        <w:t>二、机构设置</w:t>
      </w:r>
      <w:r>
        <w:rPr>
          <w:rFonts w:hint="eastAsia"/>
          <w:sz w:val="24"/>
          <w:lang w:val="en-US" w:eastAsia="zh-CN"/>
        </w:rPr>
        <w:t>----------------------------------------------------------------------5</w:t>
      </w:r>
    </w:p>
    <w:p>
      <w:pPr>
        <w:pStyle w:val="11"/>
        <w:adjustRightInd w:val="0"/>
        <w:snapToGrid w:val="0"/>
        <w:spacing w:before="0" w:line="440" w:lineRule="exact"/>
        <w:jc w:val="left"/>
        <w:rPr>
          <w:sz w:val="24"/>
          <w:szCs w:val="24"/>
        </w:rPr>
      </w:pPr>
      <w:r>
        <w:rPr>
          <w:rFonts w:hint="eastAsia"/>
          <w:sz w:val="24"/>
        </w:rPr>
        <w:t>第二部分 2023年度单位决算情况说明</w:t>
      </w:r>
    </w:p>
    <w:p>
      <w:pPr>
        <w:pStyle w:val="12"/>
        <w:adjustRightInd w:val="0"/>
        <w:snapToGrid w:val="0"/>
        <w:spacing w:line="440" w:lineRule="exact"/>
        <w:jc w:val="left"/>
        <w:rPr>
          <w:rFonts w:hint="default" w:ascii="仿宋" w:hAnsi="仿宋" w:eastAsia="宋体" w:cstheme="minorBidi"/>
          <w:sz w:val="24"/>
          <w:lang w:val="en-US" w:eastAsia="zh-CN"/>
        </w:rPr>
      </w:pPr>
      <w:r>
        <w:rPr>
          <w:rFonts w:hint="eastAsia"/>
          <w:sz w:val="24"/>
        </w:rPr>
        <w:t>一、收入支出决算总体情况说明</w:t>
      </w:r>
      <w:r>
        <w:rPr>
          <w:rFonts w:hint="eastAsia"/>
          <w:sz w:val="24"/>
          <w:lang w:val="en-US" w:eastAsia="zh-CN"/>
        </w:rPr>
        <w:t>----------------------------------------------6-7</w:t>
      </w:r>
    </w:p>
    <w:p>
      <w:pPr>
        <w:pStyle w:val="12"/>
        <w:adjustRightInd w:val="0"/>
        <w:snapToGrid w:val="0"/>
        <w:spacing w:line="440" w:lineRule="exact"/>
        <w:jc w:val="left"/>
        <w:rPr>
          <w:rFonts w:hint="default" w:ascii="仿宋" w:hAnsi="仿宋" w:eastAsia="宋体" w:cstheme="minorBidi"/>
          <w:sz w:val="24"/>
          <w:lang w:val="en-US" w:eastAsia="zh-CN"/>
        </w:rPr>
      </w:pPr>
      <w:r>
        <w:rPr>
          <w:rFonts w:hint="eastAsia"/>
          <w:sz w:val="24"/>
        </w:rPr>
        <w:t>二、收入决算情况说明</w:t>
      </w:r>
      <w:r>
        <w:rPr>
          <w:rFonts w:hint="eastAsia"/>
          <w:sz w:val="24"/>
          <w:lang w:val="en-US" w:eastAsia="zh-CN"/>
        </w:rPr>
        <w:t>----------------------------------------------------------7</w:t>
      </w:r>
    </w:p>
    <w:p>
      <w:pPr>
        <w:pStyle w:val="12"/>
        <w:adjustRightInd w:val="0"/>
        <w:snapToGrid w:val="0"/>
        <w:spacing w:line="440" w:lineRule="exact"/>
        <w:jc w:val="left"/>
        <w:rPr>
          <w:rFonts w:hint="default" w:ascii="仿宋" w:hAnsi="仿宋" w:eastAsia="宋体" w:cstheme="minorBidi"/>
          <w:sz w:val="24"/>
          <w:lang w:val="en-US" w:eastAsia="zh-CN"/>
        </w:rPr>
      </w:pPr>
      <w:r>
        <w:rPr>
          <w:rFonts w:hint="eastAsia"/>
          <w:sz w:val="24"/>
        </w:rPr>
        <w:t>三、支出决算情况说明</w:t>
      </w:r>
      <w:r>
        <w:rPr>
          <w:rFonts w:hint="eastAsia"/>
          <w:sz w:val="24"/>
          <w:lang w:val="en-US" w:eastAsia="zh-CN"/>
        </w:rPr>
        <w:t>----------------------------------------------------------8</w:t>
      </w:r>
    </w:p>
    <w:p>
      <w:pPr>
        <w:pStyle w:val="12"/>
        <w:adjustRightInd w:val="0"/>
        <w:snapToGrid w:val="0"/>
        <w:spacing w:line="440" w:lineRule="exact"/>
        <w:jc w:val="left"/>
        <w:rPr>
          <w:rFonts w:hint="default" w:ascii="仿宋" w:hAnsi="仿宋" w:eastAsia="宋体" w:cstheme="minorBidi"/>
          <w:sz w:val="24"/>
          <w:lang w:val="en-US" w:eastAsia="zh-CN"/>
        </w:rPr>
      </w:pPr>
      <w:r>
        <w:rPr>
          <w:rFonts w:hint="eastAsia"/>
          <w:sz w:val="24"/>
        </w:rPr>
        <w:t>四、财政拨款收入支出决算总体情况说明</w:t>
      </w:r>
      <w:r>
        <w:rPr>
          <w:rFonts w:hint="eastAsia"/>
          <w:sz w:val="24"/>
          <w:lang w:val="en-US" w:eastAsia="zh-CN"/>
        </w:rPr>
        <w:t>----------------------------------8</w:t>
      </w:r>
    </w:p>
    <w:p>
      <w:pPr>
        <w:pStyle w:val="12"/>
        <w:adjustRightInd w:val="0"/>
        <w:snapToGrid w:val="0"/>
        <w:spacing w:line="440" w:lineRule="exact"/>
        <w:jc w:val="left"/>
        <w:rPr>
          <w:rFonts w:hint="default" w:ascii="仿宋" w:hAnsi="仿宋" w:eastAsia="宋体" w:cstheme="minorBidi"/>
          <w:sz w:val="24"/>
          <w:lang w:val="en-US" w:eastAsia="zh-CN"/>
        </w:rPr>
      </w:pPr>
      <w:r>
        <w:rPr>
          <w:rFonts w:hint="eastAsia"/>
          <w:sz w:val="24"/>
        </w:rPr>
        <w:t>五、一般公共预算财政拨款支出决算情况说明</w:t>
      </w:r>
      <w:r>
        <w:rPr>
          <w:rFonts w:hint="eastAsia"/>
          <w:sz w:val="24"/>
          <w:lang w:val="en-US" w:eastAsia="zh-CN"/>
        </w:rPr>
        <w:t>----------------------------9-11</w:t>
      </w:r>
    </w:p>
    <w:p>
      <w:pPr>
        <w:pStyle w:val="12"/>
        <w:adjustRightInd w:val="0"/>
        <w:snapToGrid w:val="0"/>
        <w:spacing w:line="440" w:lineRule="exact"/>
        <w:jc w:val="left"/>
        <w:rPr>
          <w:rFonts w:hint="default" w:ascii="仿宋" w:hAnsi="仿宋" w:eastAsia="宋体" w:cstheme="minorBidi"/>
          <w:sz w:val="24"/>
          <w:lang w:val="en-US" w:eastAsia="zh-CN"/>
        </w:rPr>
      </w:pPr>
      <w:r>
        <w:rPr>
          <w:rFonts w:hint="eastAsia"/>
          <w:sz w:val="24"/>
        </w:rPr>
        <w:t>六、一般公共预算财政拨款基本支出决算情况说</w:t>
      </w:r>
      <w:r>
        <w:rPr>
          <w:rFonts w:hint="eastAsia"/>
          <w:sz w:val="24"/>
          <w:lang w:val="en-US" w:eastAsia="zh-CN"/>
        </w:rPr>
        <w:t>明----------------------12</w:t>
      </w:r>
    </w:p>
    <w:p>
      <w:pPr>
        <w:pStyle w:val="12"/>
        <w:adjustRightInd w:val="0"/>
        <w:snapToGrid w:val="0"/>
        <w:spacing w:line="440" w:lineRule="exact"/>
        <w:jc w:val="left"/>
        <w:rPr>
          <w:rFonts w:hint="default"/>
          <w:sz w:val="24"/>
          <w:lang w:val="en-US" w:eastAsia="zh-CN"/>
        </w:rPr>
      </w:pPr>
      <w:r>
        <w:rPr>
          <w:rFonts w:hint="eastAsia"/>
          <w:sz w:val="24"/>
        </w:rPr>
        <w:t>七、财政拨款“三公”经费支出决算情况说明</w:t>
      </w:r>
      <w:r>
        <w:rPr>
          <w:rFonts w:hint="eastAsia"/>
          <w:sz w:val="24"/>
          <w:lang w:val="en-US" w:eastAsia="zh-CN"/>
        </w:rPr>
        <w:t>----------------------------12-13</w:t>
      </w:r>
    </w:p>
    <w:p>
      <w:pPr>
        <w:pStyle w:val="12"/>
        <w:adjustRightInd w:val="0"/>
        <w:snapToGrid w:val="0"/>
        <w:spacing w:line="440" w:lineRule="exact"/>
        <w:jc w:val="left"/>
        <w:rPr>
          <w:rFonts w:hint="default" w:ascii="仿宋" w:hAnsi="仿宋" w:eastAsia="宋体" w:cstheme="minorBidi"/>
          <w:sz w:val="24"/>
          <w:lang w:val="en-US" w:eastAsia="zh-CN"/>
        </w:rPr>
      </w:pPr>
      <w:r>
        <w:rPr>
          <w:rFonts w:hint="eastAsia"/>
          <w:sz w:val="24"/>
        </w:rPr>
        <w:t>八、政府性基金预算支出决算情况说明</w:t>
      </w:r>
      <w:r>
        <w:rPr>
          <w:rFonts w:hint="eastAsia"/>
          <w:sz w:val="24"/>
          <w:lang w:val="en-US" w:eastAsia="zh-CN"/>
        </w:rPr>
        <w:t>-------------------------------------11-14</w:t>
      </w:r>
    </w:p>
    <w:p>
      <w:pPr>
        <w:pStyle w:val="12"/>
        <w:adjustRightInd w:val="0"/>
        <w:snapToGrid w:val="0"/>
        <w:spacing w:line="440" w:lineRule="exact"/>
        <w:jc w:val="left"/>
        <w:rPr>
          <w:rFonts w:hint="default" w:eastAsia="宋体"/>
          <w:sz w:val="24"/>
          <w:lang w:val="en-US" w:eastAsia="zh-CN"/>
        </w:rPr>
      </w:pPr>
      <w:r>
        <w:rPr>
          <w:rFonts w:hint="eastAsia"/>
          <w:sz w:val="24"/>
        </w:rPr>
        <w:t>九、国有资本经营预算支出决算情况说明</w:t>
      </w:r>
      <w:r>
        <w:rPr>
          <w:rFonts w:hint="eastAsia"/>
          <w:sz w:val="24"/>
          <w:lang w:val="en-US" w:eastAsia="zh-CN"/>
        </w:rPr>
        <w:t>----------------------------------15</w:t>
      </w:r>
    </w:p>
    <w:p>
      <w:pPr>
        <w:pStyle w:val="12"/>
        <w:adjustRightInd w:val="0"/>
        <w:snapToGrid w:val="0"/>
        <w:spacing w:line="440" w:lineRule="exact"/>
        <w:jc w:val="left"/>
        <w:rPr>
          <w:rFonts w:hint="default" w:eastAsia="宋体"/>
          <w:sz w:val="24"/>
          <w:lang w:val="en-US" w:eastAsia="zh-CN"/>
        </w:rPr>
      </w:pPr>
      <w:r>
        <w:rPr>
          <w:rFonts w:hint="eastAsia"/>
          <w:sz w:val="24"/>
        </w:rPr>
        <w:t>十、其他重要事项的情况说明</w:t>
      </w:r>
      <w:r>
        <w:rPr>
          <w:rFonts w:hint="eastAsia"/>
          <w:sz w:val="24"/>
          <w:lang w:val="en-US" w:eastAsia="zh-CN"/>
        </w:rPr>
        <w:t>-------------------------------------------------15-16</w:t>
      </w:r>
    </w:p>
    <w:p>
      <w:pPr>
        <w:pStyle w:val="11"/>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1"/>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1"/>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2"/>
        <w:adjustRightInd w:val="0"/>
        <w:snapToGrid w:val="0"/>
        <w:spacing w:line="440" w:lineRule="exact"/>
        <w:jc w:val="left"/>
        <w:rPr>
          <w:sz w:val="24"/>
        </w:rPr>
      </w:pPr>
      <w:r>
        <w:rPr>
          <w:rFonts w:hint="eastAsia"/>
          <w:sz w:val="24"/>
        </w:rPr>
        <w:t>一、收入支出决算总表</w:t>
      </w:r>
    </w:p>
    <w:p>
      <w:pPr>
        <w:pStyle w:val="12"/>
        <w:adjustRightInd w:val="0"/>
        <w:snapToGrid w:val="0"/>
        <w:spacing w:line="440" w:lineRule="exact"/>
        <w:jc w:val="left"/>
        <w:rPr>
          <w:sz w:val="24"/>
        </w:rPr>
      </w:pPr>
      <w:r>
        <w:rPr>
          <w:rFonts w:hint="eastAsia"/>
          <w:sz w:val="24"/>
        </w:rPr>
        <w:t>二、收入决算表</w:t>
      </w:r>
    </w:p>
    <w:p>
      <w:pPr>
        <w:pStyle w:val="12"/>
        <w:adjustRightInd w:val="0"/>
        <w:snapToGrid w:val="0"/>
        <w:spacing w:line="440" w:lineRule="exact"/>
        <w:jc w:val="left"/>
        <w:rPr>
          <w:sz w:val="24"/>
        </w:rPr>
      </w:pPr>
      <w:r>
        <w:rPr>
          <w:rFonts w:hint="eastAsia"/>
          <w:sz w:val="24"/>
        </w:rPr>
        <w:t>三、支出决算表</w:t>
      </w:r>
    </w:p>
    <w:p>
      <w:pPr>
        <w:pStyle w:val="12"/>
        <w:adjustRightInd w:val="0"/>
        <w:snapToGrid w:val="0"/>
        <w:spacing w:line="440" w:lineRule="exact"/>
        <w:jc w:val="left"/>
        <w:rPr>
          <w:sz w:val="24"/>
        </w:rPr>
      </w:pPr>
      <w:r>
        <w:rPr>
          <w:rFonts w:hint="eastAsia"/>
          <w:sz w:val="24"/>
        </w:rPr>
        <w:t>四、财政拨款收入支出决算总表</w:t>
      </w:r>
    </w:p>
    <w:p>
      <w:pPr>
        <w:pStyle w:val="12"/>
        <w:adjustRightInd w:val="0"/>
        <w:snapToGrid w:val="0"/>
        <w:spacing w:line="440" w:lineRule="exact"/>
        <w:jc w:val="left"/>
        <w:rPr>
          <w:sz w:val="24"/>
        </w:rPr>
      </w:pPr>
      <w:r>
        <w:rPr>
          <w:rFonts w:hint="eastAsia"/>
          <w:sz w:val="24"/>
        </w:rPr>
        <w:t>五、财政拨款支出决算明细表</w:t>
      </w:r>
    </w:p>
    <w:p>
      <w:pPr>
        <w:pStyle w:val="12"/>
        <w:adjustRightInd w:val="0"/>
        <w:snapToGrid w:val="0"/>
        <w:spacing w:line="440" w:lineRule="exact"/>
        <w:jc w:val="left"/>
        <w:rPr>
          <w:sz w:val="24"/>
        </w:rPr>
      </w:pPr>
      <w:r>
        <w:rPr>
          <w:rFonts w:hint="eastAsia"/>
          <w:sz w:val="24"/>
        </w:rPr>
        <w:t>六、一般公共预算财政拨款支出决算表</w:t>
      </w:r>
    </w:p>
    <w:p>
      <w:pPr>
        <w:pStyle w:val="12"/>
        <w:adjustRightInd w:val="0"/>
        <w:snapToGrid w:val="0"/>
        <w:spacing w:line="440" w:lineRule="exact"/>
        <w:jc w:val="left"/>
        <w:rPr>
          <w:sz w:val="24"/>
        </w:rPr>
      </w:pPr>
      <w:r>
        <w:rPr>
          <w:rFonts w:hint="eastAsia"/>
          <w:sz w:val="24"/>
        </w:rPr>
        <w:t>七、一般公共预算财政拨款支出决算明细表</w:t>
      </w:r>
    </w:p>
    <w:p>
      <w:pPr>
        <w:pStyle w:val="12"/>
        <w:adjustRightInd w:val="0"/>
        <w:snapToGrid w:val="0"/>
        <w:spacing w:line="440" w:lineRule="exact"/>
        <w:jc w:val="left"/>
        <w:rPr>
          <w:sz w:val="24"/>
        </w:rPr>
      </w:pPr>
      <w:r>
        <w:rPr>
          <w:rFonts w:hint="eastAsia"/>
          <w:sz w:val="24"/>
        </w:rPr>
        <w:t>八、一般公共预算财政拨款基本支出决算明细表</w:t>
      </w:r>
    </w:p>
    <w:p>
      <w:pPr>
        <w:pStyle w:val="12"/>
        <w:adjustRightInd w:val="0"/>
        <w:snapToGrid w:val="0"/>
        <w:spacing w:line="440" w:lineRule="exact"/>
        <w:jc w:val="left"/>
        <w:rPr>
          <w:sz w:val="24"/>
        </w:rPr>
      </w:pPr>
      <w:r>
        <w:rPr>
          <w:rFonts w:hint="eastAsia"/>
          <w:sz w:val="24"/>
        </w:rPr>
        <w:t>九、一般公共预算财政拨款项目支出决算表</w:t>
      </w:r>
    </w:p>
    <w:p>
      <w:pPr>
        <w:pStyle w:val="12"/>
        <w:adjustRightInd w:val="0"/>
        <w:snapToGrid w:val="0"/>
        <w:spacing w:line="440" w:lineRule="exact"/>
        <w:jc w:val="left"/>
        <w:rPr>
          <w:sz w:val="24"/>
        </w:rPr>
      </w:pPr>
      <w:r>
        <w:rPr>
          <w:rFonts w:hint="eastAsia"/>
          <w:sz w:val="24"/>
        </w:rPr>
        <w:t>十、政府性基金预算财政拨款收入支出决算表</w:t>
      </w:r>
    </w:p>
    <w:p>
      <w:pPr>
        <w:pStyle w:val="12"/>
        <w:adjustRightInd w:val="0"/>
        <w:snapToGrid w:val="0"/>
        <w:spacing w:line="440" w:lineRule="exact"/>
        <w:jc w:val="left"/>
        <w:rPr>
          <w:sz w:val="24"/>
        </w:rPr>
      </w:pPr>
      <w:r>
        <w:rPr>
          <w:rFonts w:hint="eastAsia"/>
          <w:sz w:val="24"/>
        </w:rPr>
        <w:t>十一、国有资本经营预算财政拨款收入支出决算表</w:t>
      </w:r>
    </w:p>
    <w:p>
      <w:pPr>
        <w:pStyle w:val="12"/>
        <w:adjustRightInd w:val="0"/>
        <w:snapToGrid w:val="0"/>
        <w:spacing w:line="440" w:lineRule="exact"/>
        <w:jc w:val="left"/>
        <w:rPr>
          <w:sz w:val="24"/>
        </w:rPr>
      </w:pPr>
      <w:r>
        <w:rPr>
          <w:rFonts w:hint="eastAsia"/>
          <w:sz w:val="24"/>
        </w:rPr>
        <w:t>十二、国有资本经营预算财政拨款支出决算表</w:t>
      </w:r>
    </w:p>
    <w:p>
      <w:pPr>
        <w:pStyle w:val="12"/>
        <w:adjustRightInd w:val="0"/>
        <w:snapToGrid w:val="0"/>
        <w:spacing w:line="440" w:lineRule="exact"/>
        <w:jc w:val="left"/>
        <w:rPr>
          <w:sz w:val="24"/>
        </w:rPr>
      </w:pPr>
      <w:r>
        <w:rPr>
          <w:rFonts w:hint="eastAsia"/>
          <w:sz w:val="24"/>
        </w:rPr>
        <w:t>十三、财政拨款“三公”经费支出决算表</w:t>
      </w:r>
    </w:p>
    <w:p>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请单位根据实际注明页码</w:t>
      </w:r>
      <w:r>
        <w:rPr>
          <w:rFonts w:ascii="仿宋" w:hAnsi="仿宋" w:eastAsia="仿宋"/>
          <w:sz w:val="24"/>
        </w:rPr>
        <w:t>)</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3"/>
        <w:jc w:val="center"/>
        <w:rPr>
          <w:rStyle w:val="27"/>
          <w:rFonts w:ascii="黑体" w:hAnsi="黑体" w:eastAsia="黑体"/>
          <w:b/>
          <w:bCs w:val="0"/>
        </w:rPr>
      </w:pPr>
      <w:r>
        <w:rPr>
          <w:rFonts w:hint="eastAsia" w:ascii="黑体" w:hAnsi="黑体" w:eastAsia="黑体"/>
          <w:b w:val="0"/>
        </w:rPr>
        <w:t>第一部分 单位</w:t>
      </w:r>
      <w:r>
        <w:rPr>
          <w:rStyle w:val="27"/>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28"/>
          <w:rFonts w:ascii="黑体" w:hAnsi="黑体" w:eastAsia="黑体"/>
          <w:b w:val="0"/>
          <w:bCs w:val="0"/>
        </w:rPr>
      </w:pPr>
      <w:bookmarkStart w:id="14" w:name="_Toc15377197"/>
      <w:bookmarkStart w:id="15" w:name="_Toc15396600"/>
      <w:r>
        <w:rPr>
          <w:rStyle w:val="28"/>
          <w:rFonts w:hint="eastAsia" w:ascii="黑体" w:hAnsi="黑体" w:eastAsia="黑体"/>
          <w:b w:val="0"/>
          <w:bCs w:val="0"/>
        </w:rPr>
        <w:t>主要职责</w:t>
      </w:r>
    </w:p>
    <w:p>
      <w:pPr>
        <w:spacing w:line="600" w:lineRule="exact"/>
        <w:ind w:firstLine="640" w:firstLineChars="200"/>
        <w:rPr>
          <w:rFonts w:hint="eastAsia" w:ascii="仿宋" w:hAnsi="仿宋" w:eastAsia="仿宋"/>
          <w:color w:val="000000"/>
          <w:sz w:val="32"/>
          <w:szCs w:val="24"/>
        </w:rPr>
      </w:pPr>
      <w:r>
        <w:rPr>
          <w:rFonts w:hint="eastAsia" w:ascii="仿宋" w:hAnsi="仿宋" w:eastAsia="仿宋"/>
          <w:color w:val="000000"/>
          <w:sz w:val="32"/>
          <w:szCs w:val="24"/>
        </w:rPr>
        <w:t>1、贯彻落实《四川省城市园林绿化管理条例》负责对五通桥区中心城区园林绿化进行管理维护。</w:t>
      </w:r>
    </w:p>
    <w:p>
      <w:pPr>
        <w:spacing w:line="600" w:lineRule="exact"/>
        <w:ind w:firstLine="640" w:firstLineChars="200"/>
        <w:rPr>
          <w:rFonts w:hint="eastAsia" w:ascii="仿宋" w:hAnsi="仿宋" w:eastAsia="仿宋"/>
          <w:color w:val="000000"/>
          <w:sz w:val="32"/>
          <w:szCs w:val="24"/>
        </w:rPr>
      </w:pPr>
      <w:r>
        <w:rPr>
          <w:rFonts w:hint="eastAsia" w:ascii="仿宋" w:hAnsi="仿宋" w:eastAsia="仿宋"/>
          <w:color w:val="000000"/>
          <w:sz w:val="32"/>
          <w:szCs w:val="24"/>
        </w:rPr>
        <w:t>2、负责协调参与乐山市中心城区五通桥中心城区园林绿化编制并组织实施。</w:t>
      </w:r>
    </w:p>
    <w:p>
      <w:pPr>
        <w:spacing w:line="600" w:lineRule="exact"/>
        <w:ind w:firstLine="640" w:firstLineChars="200"/>
        <w:rPr>
          <w:rFonts w:hint="eastAsia" w:ascii="仿宋" w:hAnsi="仿宋" w:eastAsia="仿宋"/>
          <w:color w:val="000000"/>
          <w:sz w:val="32"/>
          <w:szCs w:val="24"/>
        </w:rPr>
      </w:pPr>
      <w:r>
        <w:rPr>
          <w:rFonts w:hint="eastAsia" w:ascii="仿宋" w:hAnsi="仿宋" w:eastAsia="仿宋"/>
          <w:color w:val="000000"/>
          <w:sz w:val="32"/>
          <w:szCs w:val="24"/>
        </w:rPr>
        <w:t>3、负责对单位附属绿地的绿化规划和建设进行监督检查，并给予技术指导。</w:t>
      </w:r>
    </w:p>
    <w:p>
      <w:pPr>
        <w:spacing w:line="600" w:lineRule="exact"/>
        <w:ind w:firstLine="640" w:firstLineChars="200"/>
        <w:rPr>
          <w:rFonts w:hint="eastAsia" w:ascii="仿宋" w:hAnsi="仿宋" w:eastAsia="仿宋"/>
          <w:color w:val="000000"/>
          <w:sz w:val="32"/>
          <w:szCs w:val="24"/>
        </w:rPr>
      </w:pPr>
      <w:r>
        <w:rPr>
          <w:rFonts w:hint="eastAsia" w:ascii="仿宋" w:hAnsi="仿宋" w:eastAsia="仿宋"/>
          <w:color w:val="000000"/>
          <w:sz w:val="32"/>
          <w:szCs w:val="24"/>
        </w:rPr>
        <w:t>4、负责管理城市的公共绿地、风景林地、防护绿地、行道树及干道绿化带的绿化及设施，做好辖区内树木的搬迁移栽、修剪、整形、管理。</w:t>
      </w:r>
    </w:p>
    <w:p>
      <w:pPr>
        <w:spacing w:line="600" w:lineRule="exact"/>
        <w:ind w:firstLine="640" w:firstLineChars="200"/>
        <w:rPr>
          <w:rFonts w:hint="eastAsia" w:ascii="仿宋" w:hAnsi="仿宋" w:eastAsia="仿宋"/>
          <w:color w:val="000000"/>
          <w:sz w:val="32"/>
          <w:szCs w:val="24"/>
        </w:rPr>
      </w:pPr>
      <w:r>
        <w:rPr>
          <w:rFonts w:hint="eastAsia" w:ascii="仿宋" w:hAnsi="仿宋" w:eastAsia="仿宋"/>
          <w:color w:val="000000"/>
          <w:sz w:val="32"/>
          <w:szCs w:val="24"/>
        </w:rPr>
        <w:t>5、负责城市绿化用地、城市新建、扩建、改建工程项目和开发住宅区项目的绿化方案的审核。</w:t>
      </w:r>
    </w:p>
    <w:p>
      <w:pPr>
        <w:spacing w:line="600" w:lineRule="exact"/>
        <w:ind w:firstLine="640" w:firstLineChars="200"/>
        <w:rPr>
          <w:rFonts w:hint="eastAsia" w:ascii="仿宋" w:hAnsi="仿宋" w:eastAsia="仿宋"/>
          <w:color w:val="000000"/>
          <w:sz w:val="32"/>
          <w:szCs w:val="24"/>
        </w:rPr>
      </w:pPr>
      <w:r>
        <w:rPr>
          <w:rFonts w:hint="eastAsia" w:ascii="仿宋" w:hAnsi="仿宋" w:eastAsia="仿宋"/>
          <w:color w:val="000000"/>
          <w:sz w:val="32"/>
          <w:szCs w:val="24"/>
        </w:rPr>
        <w:t>6、负责辖区内古树名木的管理，对养护古树名木的单位及个人进行监督和技术指导；对确需修剪的古树名木进行鉴定，确定排危方案。</w:t>
      </w:r>
    </w:p>
    <w:p>
      <w:pPr>
        <w:spacing w:line="600" w:lineRule="exact"/>
        <w:ind w:firstLine="640" w:firstLineChars="200"/>
        <w:rPr>
          <w:rFonts w:hint="eastAsia" w:ascii="仿宋" w:hAnsi="仿宋" w:eastAsia="仿宋"/>
          <w:color w:val="000000"/>
          <w:sz w:val="32"/>
          <w:szCs w:val="24"/>
        </w:rPr>
      </w:pPr>
      <w:r>
        <w:rPr>
          <w:rFonts w:hint="eastAsia" w:ascii="仿宋" w:hAnsi="仿宋" w:eastAsia="仿宋"/>
          <w:color w:val="000000"/>
          <w:sz w:val="32"/>
          <w:szCs w:val="24"/>
        </w:rPr>
        <w:t>7、承办区委、区政府、区住建局交办的其它工作事项。</w:t>
      </w:r>
    </w:p>
    <w:p/>
    <w:p>
      <w:pPr>
        <w:pStyle w:val="4"/>
        <w:rPr>
          <w:rFonts w:ascii="黑体" w:hAnsi="黑体" w:eastAsia="黑体"/>
          <w:b w:val="0"/>
        </w:rPr>
      </w:pPr>
      <w:r>
        <w:rPr>
          <w:rFonts w:hint="eastAsia" w:ascii="黑体" w:hAnsi="黑体" w:eastAsia="黑体"/>
          <w:b w:val="0"/>
        </w:rPr>
        <w:t>二、机构设置</w:t>
      </w:r>
    </w:p>
    <w:bookmarkEnd w:id="14"/>
    <w:bookmarkEnd w:id="15"/>
    <w:p>
      <w:pPr>
        <w:spacing w:line="600" w:lineRule="exact"/>
        <w:ind w:firstLine="640" w:firstLineChars="200"/>
        <w:rPr>
          <w:rFonts w:hint="eastAsia" w:ascii="仿宋" w:hAnsi="仿宋" w:eastAsia="仿宋"/>
          <w:color w:val="000000"/>
          <w:sz w:val="32"/>
          <w:szCs w:val="24"/>
          <w:lang w:val="zh-CN"/>
        </w:rPr>
      </w:pPr>
      <w:r>
        <w:rPr>
          <w:rFonts w:hint="eastAsia" w:ascii="仿宋" w:hAnsi="仿宋" w:eastAsia="仿宋"/>
          <w:color w:val="000000"/>
          <w:sz w:val="32"/>
          <w:szCs w:val="24"/>
        </w:rPr>
        <w:t>机构情况：风景园林所属五通桥区住房和城乡建设局下属事业单位，单位内设办公室、城区绿化技术组、公园管理组3个职能组。</w:t>
      </w:r>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27"/>
          <w:rFonts w:ascii="黑体" w:hAnsi="黑体" w:eastAsia="黑体"/>
          <w:b w:val="0"/>
          <w:bCs/>
        </w:rPr>
      </w:pPr>
      <w:bookmarkStart w:id="16" w:name="_Toc15396602"/>
      <w:bookmarkStart w:id="17" w:name="_Toc15377204"/>
      <w:r>
        <w:rPr>
          <w:rFonts w:hint="eastAsia" w:ascii="黑体" w:hAnsi="黑体" w:eastAsia="黑体"/>
          <w:b w:val="0"/>
        </w:rPr>
        <w:t>第二部分 202</w:t>
      </w:r>
      <w:r>
        <w:rPr>
          <w:rFonts w:hint="eastAsia" w:ascii="黑体" w:hAnsi="黑体" w:eastAsia="黑体"/>
          <w:b w:val="0"/>
          <w:lang w:val="en-US" w:eastAsia="zh-CN"/>
        </w:rPr>
        <w:t>4</w:t>
      </w:r>
      <w:r>
        <w:rPr>
          <w:rFonts w:hint="eastAsia" w:ascii="黑体" w:hAnsi="黑体" w:eastAsia="黑体"/>
          <w:b w:val="0"/>
        </w:rPr>
        <w:t>年度</w:t>
      </w:r>
      <w:r>
        <w:rPr>
          <w:rStyle w:val="27"/>
          <w:rFonts w:hint="eastAsia" w:ascii="黑体" w:hAnsi="黑体" w:eastAsia="黑体"/>
          <w:b w:val="0"/>
          <w:bCs/>
        </w:rPr>
        <w:t>单位决算情况说明</w:t>
      </w:r>
      <w:bookmarkEnd w:id="16"/>
      <w:bookmarkEnd w:id="17"/>
    </w:p>
    <w:p/>
    <w:p>
      <w:pPr>
        <w:pStyle w:val="26"/>
        <w:numPr>
          <w:ilvl w:val="0"/>
          <w:numId w:val="2"/>
        </w:numPr>
        <w:spacing w:line="600" w:lineRule="exact"/>
        <w:ind w:firstLineChars="0"/>
        <w:outlineLvl w:val="1"/>
        <w:rPr>
          <w:rStyle w:val="28"/>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28"/>
          <w:rFonts w:hint="eastAsia" w:ascii="黑体" w:hAnsi="黑体" w:eastAsia="黑体"/>
          <w:b w:val="0"/>
        </w:rPr>
        <w:t>入支出决算总体情况说明</w:t>
      </w:r>
      <w:bookmarkEnd w:id="18"/>
      <w:bookmarkEnd w:id="19"/>
    </w:p>
    <w:p>
      <w:pPr>
        <w:spacing w:line="60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年度收、支总计均为</w:t>
      </w:r>
      <w:r>
        <w:rPr>
          <w:rFonts w:hint="eastAsia" w:ascii="仿宋_GB2312" w:hAnsi="仿宋_GB2312" w:eastAsia="仿宋_GB2312" w:cs="仿宋_GB2312"/>
          <w:sz w:val="32"/>
          <w:szCs w:val="32"/>
        </w:rPr>
        <w:t>468.06</w:t>
      </w:r>
      <w:r>
        <w:rPr>
          <w:rFonts w:hint="eastAsia" w:ascii="仿宋" w:hAnsi="仿宋" w:eastAsia="仿宋"/>
          <w:sz w:val="32"/>
          <w:szCs w:val="32"/>
        </w:rPr>
        <w:t>万元。与202</w:t>
      </w:r>
      <w:r>
        <w:rPr>
          <w:rFonts w:hint="eastAsia" w:ascii="仿宋" w:hAnsi="仿宋" w:eastAsia="仿宋"/>
          <w:sz w:val="32"/>
          <w:szCs w:val="32"/>
          <w:lang w:val="en-US" w:eastAsia="zh-CN"/>
        </w:rPr>
        <w:t>3</w:t>
      </w:r>
      <w:r>
        <w:rPr>
          <w:rFonts w:hint="eastAsia" w:ascii="仿宋" w:hAnsi="仿宋" w:eastAsia="仿宋"/>
          <w:sz w:val="32"/>
          <w:szCs w:val="32"/>
        </w:rPr>
        <w:t>年度相比，收、支总计各减少</w:t>
      </w:r>
      <w:r>
        <w:rPr>
          <w:rFonts w:hint="eastAsia" w:ascii="仿宋" w:hAnsi="仿宋" w:eastAsia="仿宋"/>
          <w:sz w:val="32"/>
          <w:szCs w:val="32"/>
          <w:lang w:val="en-US" w:eastAsia="zh-CN"/>
        </w:rPr>
        <w:t>382.46</w:t>
      </w:r>
      <w:r>
        <w:rPr>
          <w:rFonts w:hint="eastAsia" w:ascii="仿宋" w:hAnsi="仿宋" w:eastAsia="仿宋"/>
          <w:sz w:val="32"/>
          <w:szCs w:val="32"/>
        </w:rPr>
        <w:t>万元，下降</w:t>
      </w:r>
      <w:r>
        <w:rPr>
          <w:rFonts w:hint="eastAsia" w:ascii="仿宋" w:hAnsi="仿宋" w:eastAsia="仿宋"/>
          <w:sz w:val="32"/>
          <w:szCs w:val="32"/>
          <w:lang w:val="en-US" w:eastAsia="zh-CN"/>
        </w:rPr>
        <w:t>45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项目支出减少</w:t>
      </w:r>
      <w:r>
        <w:rPr>
          <w:rFonts w:hint="eastAsia" w:ascii="仿宋" w:hAnsi="仿宋" w:eastAsia="仿宋"/>
          <w:sz w:val="32"/>
          <w:szCs w:val="32"/>
        </w:rPr>
        <w:t>。</w:t>
      </w:r>
    </w:p>
    <w:p>
      <w:pPr>
        <w:spacing w:line="600" w:lineRule="exact"/>
        <w:ind w:firstLine="640" w:firstLineChars="200"/>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pStyle w:val="2"/>
        <w:rPr>
          <w:rFonts w:hint="eastAsia"/>
          <w:lang w:val="en-US" w:eastAsia="zh-CN"/>
        </w:rPr>
      </w:pPr>
      <w:r>
        <w:rPr>
          <w:rFonts w:hint="eastAsia"/>
          <w:lang w:val="en-US" w:eastAsia="zh-CN"/>
        </w:rPr>
        <w:t xml:space="preserve">   </w:t>
      </w:r>
      <w:r>
        <w:drawing>
          <wp:inline distT="0" distB="0" distL="114300" distR="114300">
            <wp:extent cx="4572000" cy="2743200"/>
            <wp:effectExtent l="4445" t="4445" r="1460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6"/>
        <w:numPr>
          <w:ilvl w:val="0"/>
          <w:numId w:val="2"/>
        </w:numPr>
        <w:spacing w:line="600" w:lineRule="exact"/>
        <w:ind w:firstLineChars="0"/>
        <w:outlineLvl w:val="1"/>
        <w:rPr>
          <w:rStyle w:val="28"/>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8"/>
          <w:rFonts w:hint="eastAsia" w:ascii="黑体" w:hAnsi="黑体" w:eastAsia="黑体"/>
          <w:b w:val="0"/>
        </w:rPr>
        <w:t>入决算情况说明</w:t>
      </w:r>
      <w:bookmarkEnd w:id="20"/>
      <w:bookmarkEnd w:id="21"/>
    </w:p>
    <w:p>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年度本年收入合计</w:t>
      </w:r>
      <w:r>
        <w:rPr>
          <w:rFonts w:hint="eastAsia" w:ascii="仿宋_GB2312" w:hAnsi="仿宋_GB2312" w:eastAsia="仿宋_GB2312" w:cs="仿宋_GB2312"/>
          <w:sz w:val="32"/>
          <w:szCs w:val="32"/>
        </w:rPr>
        <w:t>468.06</w:t>
      </w:r>
      <w:r>
        <w:rPr>
          <w:rFonts w:hint="eastAsia" w:ascii="仿宋" w:hAnsi="仿宋" w:eastAsia="仿宋"/>
          <w:sz w:val="32"/>
          <w:szCs w:val="32"/>
        </w:rPr>
        <w:t>万元，其中：一般公共预算财政拨款收入</w:t>
      </w:r>
      <w:r>
        <w:rPr>
          <w:rFonts w:hint="eastAsia" w:ascii="仿宋_GB2312" w:hAnsi="仿宋_GB2312" w:eastAsia="仿宋_GB2312" w:cs="仿宋_GB2312"/>
          <w:sz w:val="32"/>
          <w:szCs w:val="32"/>
        </w:rPr>
        <w:t>468.06</w:t>
      </w:r>
      <w:r>
        <w:rPr>
          <w:rFonts w:hint="eastAsia" w:ascii="仿宋" w:hAnsi="仿宋" w:eastAsia="仿宋"/>
          <w:sz w:val="32"/>
          <w:szCs w:val="32"/>
        </w:rPr>
        <w:t>万元，占</w:t>
      </w:r>
      <w:r>
        <w:rPr>
          <w:rFonts w:hint="eastAsia" w:ascii="仿宋" w:hAnsi="仿宋" w:eastAsia="仿宋"/>
          <w:b/>
          <w:sz w:val="32"/>
          <w:szCs w:val="32"/>
          <w:lang w:val="en-US" w:eastAsia="zh-CN"/>
        </w:rPr>
        <w:t>100</w:t>
      </w:r>
      <w:r>
        <w:rPr>
          <w:rFonts w:ascii="仿宋" w:hAnsi="仿宋" w:eastAsia="仿宋"/>
          <w:b/>
          <w:sz w:val="32"/>
          <w:szCs w:val="32"/>
        </w:rPr>
        <w:t>%</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0.02</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spacing w:line="600" w:lineRule="exact"/>
        <w:ind w:firstLine="640" w:firstLineChars="200"/>
        <w:outlineLvl w:val="1"/>
        <w:rPr>
          <w:rFonts w:ascii="仿宋" w:hAnsi="仿宋" w:eastAsia="仿宋"/>
          <w:sz w:val="32"/>
          <w:szCs w:val="32"/>
        </w:rPr>
      </w:pP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（图2：收入决算结构图）（饼状图）</w:t>
      </w:r>
    </w:p>
    <w:p>
      <w:pPr>
        <w:pStyle w:val="2"/>
        <w:rPr>
          <w:rFonts w:ascii="仿宋_GB2312" w:eastAsia="仿宋_GB2312"/>
          <w:sz w:val="32"/>
          <w:szCs w:val="32"/>
        </w:rPr>
      </w:pPr>
      <w:r>
        <w:drawing>
          <wp:inline distT="0" distB="0" distL="114300" distR="114300">
            <wp:extent cx="4572000" cy="2743200"/>
            <wp:effectExtent l="4445" t="4445" r="14605" b="14605"/>
            <wp:docPr id="15"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6"/>
        <w:numPr>
          <w:ilvl w:val="0"/>
          <w:numId w:val="2"/>
        </w:numPr>
        <w:spacing w:line="600" w:lineRule="exact"/>
        <w:ind w:firstLineChars="0"/>
        <w:outlineLvl w:val="1"/>
        <w:rPr>
          <w:rStyle w:val="28"/>
          <w:rFonts w:ascii="黑体" w:hAnsi="黑体" w:eastAsia="黑体"/>
          <w:b w:val="0"/>
        </w:rPr>
      </w:pPr>
      <w:bookmarkStart w:id="22" w:name="_Toc15377207"/>
      <w:bookmarkStart w:id="23" w:name="_Toc15396605"/>
      <w:r>
        <w:rPr>
          <w:rFonts w:hint="eastAsia" w:ascii="黑体" w:hAnsi="黑体" w:eastAsia="黑体"/>
          <w:sz w:val="32"/>
          <w:szCs w:val="32"/>
        </w:rPr>
        <w:t>支</w:t>
      </w:r>
      <w:r>
        <w:rPr>
          <w:rStyle w:val="28"/>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年度本年支出合计</w:t>
      </w:r>
      <w:r>
        <w:rPr>
          <w:rFonts w:hint="eastAsia" w:ascii="仿宋_GB2312" w:hAnsi="仿宋_GB2312" w:eastAsia="仿宋_GB2312" w:cs="仿宋_GB2312"/>
          <w:sz w:val="32"/>
          <w:szCs w:val="32"/>
        </w:rPr>
        <w:t>468.06</w:t>
      </w:r>
      <w:r>
        <w:rPr>
          <w:rFonts w:hint="eastAsia" w:ascii="仿宋" w:hAnsi="仿宋" w:eastAsia="仿宋"/>
          <w:sz w:val="32"/>
          <w:szCs w:val="32"/>
        </w:rPr>
        <w:t>万元，其中：基本支出</w:t>
      </w:r>
      <w:r>
        <w:rPr>
          <w:rFonts w:hint="eastAsia" w:ascii="仿宋_GB2312" w:hAnsi="仿宋_GB2312" w:eastAsia="仿宋_GB2312" w:cs="仿宋_GB2312"/>
          <w:sz w:val="32"/>
          <w:szCs w:val="32"/>
        </w:rPr>
        <w:t>358.17</w:t>
      </w:r>
      <w:r>
        <w:rPr>
          <w:rFonts w:hint="eastAsia" w:ascii="仿宋" w:hAnsi="仿宋" w:eastAsia="仿宋"/>
          <w:sz w:val="32"/>
          <w:szCs w:val="32"/>
        </w:rPr>
        <w:t>万元，占</w:t>
      </w:r>
      <w:r>
        <w:rPr>
          <w:rFonts w:hint="eastAsia" w:ascii="仿宋_GB2312" w:hAnsi="仿宋_GB2312" w:eastAsia="仿宋_GB2312" w:cs="仿宋_GB2312"/>
          <w:sz w:val="32"/>
          <w:szCs w:val="32"/>
        </w:rPr>
        <w:t>76.52</w:t>
      </w:r>
      <w:r>
        <w:rPr>
          <w:rFonts w:hint="eastAsia" w:ascii="仿宋_GB2312" w:hAnsi="仿宋_GB2312" w:eastAsia="仿宋_GB2312" w:cs="仿宋_GB2312"/>
          <w:color w:val="auto"/>
          <w:sz w:val="32"/>
          <w:szCs w:val="32"/>
          <w:highlight w:val="none"/>
          <w:lang w:eastAsia="zh-CN"/>
        </w:rPr>
        <w:t>%</w:t>
      </w:r>
      <w:r>
        <w:rPr>
          <w:rFonts w:hint="eastAsia" w:ascii="仿宋" w:hAnsi="仿宋" w:eastAsia="仿宋"/>
          <w:sz w:val="32"/>
          <w:szCs w:val="32"/>
        </w:rPr>
        <w:t>；项目支出</w:t>
      </w:r>
      <w:r>
        <w:rPr>
          <w:rFonts w:hint="eastAsia" w:ascii="仿宋_GB2312" w:hAnsi="仿宋_GB2312" w:eastAsia="仿宋_GB2312" w:cs="仿宋_GB2312"/>
          <w:sz w:val="32"/>
          <w:szCs w:val="32"/>
        </w:rPr>
        <w:t>109.89</w:t>
      </w:r>
      <w:r>
        <w:rPr>
          <w:rFonts w:hint="eastAsia" w:ascii="仿宋_GB2312" w:hAnsi="仿宋_GB2312" w:eastAsia="仿宋_GB2312" w:cs="仿宋_GB2312"/>
          <w:color w:val="auto"/>
          <w:sz w:val="32"/>
          <w:szCs w:val="32"/>
          <w:highlight w:val="none"/>
          <w:lang w:eastAsia="zh-CN"/>
        </w:rPr>
        <w:t>万</w:t>
      </w:r>
      <w:r>
        <w:rPr>
          <w:rFonts w:hint="eastAsia" w:ascii="仿宋" w:hAnsi="仿宋" w:eastAsia="仿宋"/>
          <w:sz w:val="32"/>
          <w:szCs w:val="32"/>
        </w:rPr>
        <w:t>元，占</w:t>
      </w:r>
      <w:r>
        <w:rPr>
          <w:rFonts w:hint="eastAsia" w:ascii="仿宋_GB2312" w:hAnsi="仿宋_GB2312" w:eastAsia="仿宋_GB2312" w:cs="仿宋_GB2312"/>
          <w:sz w:val="32"/>
          <w:szCs w:val="32"/>
        </w:rPr>
        <w:t>23.47</w:t>
      </w:r>
      <w:r>
        <w:rPr>
          <w:rFonts w:hint="eastAsia" w:ascii="仿宋_GB2312" w:hAnsi="仿宋_GB2312" w:eastAsia="仿宋_GB2312" w:cs="仿宋_GB2312"/>
          <w:color w:val="auto"/>
          <w:sz w:val="32"/>
          <w:szCs w:val="32"/>
          <w:highlight w:val="none"/>
          <w:lang w:eastAsia="zh-CN"/>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1"/>
        <w:rPr>
          <w:rFonts w:ascii="仿宋" w:hAnsi="仿宋" w:eastAsia="仿宋"/>
          <w:sz w:val="32"/>
          <w:szCs w:val="32"/>
          <w:shd w:val="pct10" w:color="auto" w:fill="FFFFFF"/>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（图3：支出决算结构图）（饼状图）</w:t>
      </w:r>
    </w:p>
    <w:p>
      <w:pPr>
        <w:pStyle w:val="2"/>
        <w:rPr>
          <w:rFonts w:ascii="仿宋_GB2312" w:eastAsia="仿宋_GB2312"/>
          <w:sz w:val="32"/>
          <w:szCs w:val="32"/>
        </w:rPr>
      </w:pPr>
      <w:r>
        <w:drawing>
          <wp:inline distT="0" distB="0" distL="114300" distR="114300">
            <wp:extent cx="4943475" cy="2762250"/>
            <wp:effectExtent l="4445" t="4445" r="5080" b="1460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rPr>
          <w:rFonts w:ascii="仿宋_GB2312" w:eastAsia="仿宋_GB2312"/>
          <w:sz w:val="32"/>
          <w:szCs w:val="32"/>
        </w:rPr>
      </w:pPr>
    </w:p>
    <w:p>
      <w:pPr>
        <w:spacing w:line="600" w:lineRule="exact"/>
        <w:ind w:firstLine="640" w:firstLineChars="200"/>
        <w:outlineLvl w:val="1"/>
        <w:rPr>
          <w:rStyle w:val="28"/>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28"/>
          <w:rFonts w:hint="eastAsia" w:ascii="黑体" w:hAnsi="黑体" w:eastAsia="黑体"/>
          <w:b w:val="0"/>
        </w:rPr>
        <w:t>政拨款收入支出决算总体情况说明</w:t>
      </w:r>
      <w:bookmarkEnd w:id="24"/>
      <w:bookmarkEnd w:id="25"/>
    </w:p>
    <w:p>
      <w:pPr>
        <w:spacing w:line="600" w:lineRule="exact"/>
        <w:ind w:firstLine="640"/>
        <w:rPr>
          <w:rFonts w:hint="default" w:ascii="仿宋" w:hAnsi="仿宋" w:eastAsia="仿宋"/>
          <w:sz w:val="32"/>
          <w:szCs w:val="32"/>
          <w:lang w:val="en-US"/>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年度财政拨款收、支总计均为</w:t>
      </w:r>
      <w:r>
        <w:rPr>
          <w:rFonts w:hint="eastAsia" w:ascii="仿宋_GB2312" w:hAnsi="仿宋_GB2312" w:eastAsia="仿宋_GB2312" w:cs="仿宋_GB2312"/>
          <w:sz w:val="32"/>
          <w:szCs w:val="32"/>
        </w:rPr>
        <w:t>468.06</w:t>
      </w:r>
      <w:r>
        <w:rPr>
          <w:rFonts w:hint="eastAsia" w:ascii="仿宋" w:hAnsi="仿宋" w:eastAsia="仿宋"/>
          <w:sz w:val="32"/>
          <w:szCs w:val="32"/>
        </w:rPr>
        <w:t>万元。与202</w:t>
      </w:r>
      <w:r>
        <w:rPr>
          <w:rFonts w:hint="eastAsia" w:ascii="仿宋" w:hAnsi="仿宋" w:eastAsia="仿宋"/>
          <w:sz w:val="32"/>
          <w:szCs w:val="32"/>
          <w:lang w:val="en-US" w:eastAsia="zh-CN"/>
        </w:rPr>
        <w:t>3</w:t>
      </w:r>
      <w:r>
        <w:rPr>
          <w:rFonts w:hint="eastAsia" w:ascii="仿宋" w:hAnsi="仿宋" w:eastAsia="仿宋"/>
          <w:sz w:val="32"/>
          <w:szCs w:val="32"/>
        </w:rPr>
        <w:t>年度相比，财政拨款收、支总计各减少</w:t>
      </w:r>
      <w:r>
        <w:rPr>
          <w:rFonts w:hint="eastAsia" w:ascii="仿宋" w:hAnsi="仿宋" w:eastAsia="仿宋"/>
          <w:sz w:val="32"/>
          <w:szCs w:val="32"/>
          <w:lang w:val="en-US" w:eastAsia="zh-CN"/>
        </w:rPr>
        <w:t>382.46</w:t>
      </w:r>
      <w:r>
        <w:rPr>
          <w:rFonts w:hint="eastAsia" w:ascii="仿宋" w:hAnsi="仿宋" w:eastAsia="仿宋"/>
          <w:sz w:val="32"/>
          <w:szCs w:val="32"/>
        </w:rPr>
        <w:t>万元，下降</w:t>
      </w:r>
      <w:r>
        <w:rPr>
          <w:rFonts w:hint="eastAsia" w:ascii="仿宋" w:hAnsi="仿宋" w:eastAsia="仿宋"/>
          <w:sz w:val="32"/>
          <w:szCs w:val="32"/>
          <w:lang w:val="en-US" w:eastAsia="zh-CN"/>
        </w:rPr>
        <w:t>45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项目支出减少。</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pPr>
        <w:spacing w:line="600" w:lineRule="exact"/>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pPr>
        <w:pStyle w:val="2"/>
        <w:rPr>
          <w:rFonts w:ascii="仿宋" w:hAnsi="仿宋" w:eastAsia="仿宋"/>
          <w:b/>
          <w:sz w:val="32"/>
          <w:szCs w:val="32"/>
        </w:rPr>
      </w:pPr>
      <w:r>
        <w:rPr>
          <w:rFonts w:hint="eastAsia"/>
          <w:lang w:val="en-US" w:eastAsia="zh-CN"/>
        </w:rPr>
        <w:t xml:space="preserve">     </w:t>
      </w:r>
      <w:r>
        <w:drawing>
          <wp:inline distT="0" distB="0" distL="114300" distR="114300">
            <wp:extent cx="4229100" cy="2400300"/>
            <wp:effectExtent l="4445" t="4445" r="14605" b="1460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28"/>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28"/>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hint="default" w:ascii="仿宋" w:hAnsi="仿宋" w:eastAsia="仿宋"/>
          <w:sz w:val="32"/>
          <w:szCs w:val="32"/>
          <w:lang w:val="en-US"/>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hint="eastAsia" w:ascii="仿宋_GB2312" w:hAnsi="仿宋_GB2312" w:eastAsia="仿宋_GB2312" w:cs="仿宋_GB2312"/>
          <w:sz w:val="32"/>
          <w:szCs w:val="32"/>
        </w:rPr>
        <w:t>468.06</w:t>
      </w:r>
      <w:r>
        <w:rPr>
          <w:rFonts w:hint="eastAsia" w:ascii="仿宋" w:hAnsi="仿宋" w:eastAsia="仿宋"/>
          <w:sz w:val="32"/>
          <w:szCs w:val="32"/>
        </w:rPr>
        <w:t>万元，占本年支出合计的</w:t>
      </w:r>
      <w:r>
        <w:rPr>
          <w:rFonts w:ascii="仿宋" w:hAnsi="仿宋" w:eastAsia="仿宋"/>
          <w:b/>
          <w:sz w:val="32"/>
          <w:szCs w:val="32"/>
        </w:rPr>
        <w:t>100</w:t>
      </w:r>
      <w:r>
        <w:rPr>
          <w:rFonts w:ascii="仿宋" w:hAnsi="仿宋" w:eastAsia="仿宋"/>
          <w:sz w:val="32"/>
          <w:szCs w:val="32"/>
        </w:rPr>
        <w:t>%</w:t>
      </w:r>
      <w:r>
        <w:rPr>
          <w:rFonts w:hint="eastAsia" w:ascii="仿宋" w:hAnsi="仿宋" w:eastAsia="仿宋"/>
          <w:sz w:val="32"/>
          <w:szCs w:val="32"/>
        </w:rPr>
        <w:t>。与202</w:t>
      </w:r>
      <w:r>
        <w:rPr>
          <w:rFonts w:hint="eastAsia" w:ascii="仿宋" w:hAnsi="仿宋" w:eastAsia="仿宋"/>
          <w:sz w:val="32"/>
          <w:szCs w:val="32"/>
          <w:lang w:val="en-US" w:eastAsia="zh-CN"/>
        </w:rPr>
        <w:t>3</w:t>
      </w:r>
      <w:r>
        <w:rPr>
          <w:rFonts w:hint="eastAsia" w:ascii="仿宋" w:hAnsi="仿宋" w:eastAsia="仿宋"/>
          <w:sz w:val="32"/>
          <w:szCs w:val="32"/>
        </w:rPr>
        <w:t>年度相比，一般公共预算财政拨款支出减少</w:t>
      </w:r>
      <w:r>
        <w:rPr>
          <w:rFonts w:hint="eastAsia" w:ascii="仿宋" w:hAnsi="仿宋" w:eastAsia="仿宋"/>
          <w:sz w:val="32"/>
          <w:szCs w:val="32"/>
          <w:lang w:val="en-US" w:eastAsia="zh-CN"/>
        </w:rPr>
        <w:t>382.46</w:t>
      </w:r>
      <w:r>
        <w:rPr>
          <w:rFonts w:hint="eastAsia" w:ascii="仿宋" w:hAnsi="仿宋" w:eastAsia="仿宋"/>
          <w:sz w:val="32"/>
          <w:szCs w:val="32"/>
        </w:rPr>
        <w:t>万元，下降</w:t>
      </w:r>
      <w:r>
        <w:rPr>
          <w:rFonts w:hint="eastAsia" w:ascii="仿宋" w:hAnsi="仿宋" w:eastAsia="仿宋"/>
          <w:sz w:val="32"/>
          <w:szCs w:val="32"/>
          <w:lang w:val="en-US" w:eastAsia="zh-CN"/>
        </w:rPr>
        <w:t>45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项目支减少。</w:t>
      </w:r>
    </w:p>
    <w:p>
      <w:pPr>
        <w:spacing w:line="600" w:lineRule="exact"/>
        <w:ind w:firstLine="640" w:firstLineChars="200"/>
        <w:rPr>
          <w:rFonts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（图5：一般公共预算财政拨款支出决算变动情况）（柱状图）</w:t>
      </w:r>
    </w:p>
    <w:p>
      <w:pPr>
        <w:pStyle w:val="2"/>
        <w:rPr>
          <w:rFonts w:hint="eastAsia"/>
          <w:lang w:val="en-US" w:eastAsia="zh-CN"/>
        </w:rPr>
      </w:pPr>
      <w:r>
        <w:rPr>
          <w:rFonts w:hint="eastAsia"/>
          <w:lang w:val="en-US" w:eastAsia="zh-CN"/>
        </w:rPr>
        <w:t xml:space="preserve">    </w:t>
      </w:r>
      <w:r>
        <w:drawing>
          <wp:inline distT="0" distB="0" distL="114300" distR="114300">
            <wp:extent cx="4572000" cy="2743200"/>
            <wp:effectExtent l="4445" t="4445" r="14605" b="14605"/>
            <wp:docPr id="2"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hint="eastAsia" w:ascii="仿宋" w:hAnsi="仿宋" w:eastAsia="仿宋" w:cs="仿宋"/>
          <w:b/>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hint="eastAsia" w:ascii="仿宋_GB2312" w:hAnsi="仿宋_GB2312" w:eastAsia="仿宋_GB2312" w:cs="仿宋_GB2312"/>
          <w:sz w:val="32"/>
          <w:szCs w:val="32"/>
        </w:rPr>
        <w:t>468.06</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w:t>
      </w:r>
      <w:r>
        <w:rPr>
          <w:rFonts w:hint="eastAsia" w:ascii="仿宋" w:hAnsi="仿宋" w:eastAsia="仿宋"/>
          <w:b/>
          <w:bCs/>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95.40</w:t>
      </w:r>
      <w:r>
        <w:rPr>
          <w:rFonts w:hint="eastAsia" w:ascii="仿宋" w:hAnsi="仿宋" w:eastAsia="仿宋"/>
          <w:sz w:val="32"/>
          <w:szCs w:val="32"/>
        </w:rPr>
        <w:t>万元，占</w:t>
      </w:r>
      <w:r>
        <w:rPr>
          <w:rFonts w:hint="eastAsia" w:ascii="仿宋" w:hAnsi="仿宋" w:eastAsia="仿宋"/>
          <w:sz w:val="32"/>
          <w:szCs w:val="32"/>
          <w:lang w:val="en-US" w:eastAsia="zh-CN"/>
        </w:rPr>
        <w:t>20.38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13.93</w:t>
      </w:r>
      <w:r>
        <w:rPr>
          <w:rFonts w:hint="eastAsia" w:ascii="仿宋" w:hAnsi="仿宋" w:eastAsia="仿宋"/>
          <w:sz w:val="32"/>
          <w:szCs w:val="32"/>
        </w:rPr>
        <w:t>万元，占</w:t>
      </w:r>
      <w:r>
        <w:rPr>
          <w:rFonts w:hint="eastAsia" w:ascii="仿宋" w:hAnsi="仿宋" w:eastAsia="仿宋"/>
          <w:sz w:val="32"/>
          <w:szCs w:val="32"/>
          <w:lang w:val="en-US" w:eastAsia="zh-CN"/>
        </w:rPr>
        <w:t>2.99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20.56</w:t>
      </w:r>
      <w:r>
        <w:rPr>
          <w:rFonts w:hint="eastAsia" w:ascii="仿宋" w:hAnsi="仿宋" w:eastAsia="仿宋"/>
          <w:sz w:val="32"/>
          <w:szCs w:val="32"/>
        </w:rPr>
        <w:t>万元，占</w:t>
      </w:r>
      <w:r>
        <w:rPr>
          <w:rFonts w:hint="eastAsia" w:ascii="仿宋" w:hAnsi="仿宋" w:eastAsia="仿宋"/>
          <w:sz w:val="32"/>
          <w:szCs w:val="32"/>
          <w:lang w:val="en-US" w:eastAsia="zh-CN"/>
        </w:rPr>
        <w:t>4.39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cs="仿宋"/>
          <w:b/>
          <w:bCs/>
          <w:color w:val="000000"/>
          <w:kern w:val="2"/>
          <w:sz w:val="32"/>
          <w:szCs w:val="24"/>
          <w:lang w:val="zh-CN"/>
        </w:rPr>
        <w:t>城乡社区支出</w:t>
      </w:r>
      <w:r>
        <w:rPr>
          <w:rFonts w:hint="eastAsia" w:ascii="仿宋" w:hAnsi="仿宋" w:eastAsia="仿宋" w:cs="仿宋"/>
          <w:color w:val="000000"/>
          <w:kern w:val="2"/>
          <w:sz w:val="32"/>
          <w:szCs w:val="24"/>
          <w:lang w:val="en-US" w:eastAsia="zh-CN"/>
        </w:rPr>
        <w:t>338.17</w:t>
      </w:r>
      <w:r>
        <w:rPr>
          <w:rFonts w:hint="eastAsia" w:ascii="仿宋" w:hAnsi="仿宋" w:eastAsia="仿宋" w:cs="仿宋"/>
          <w:color w:val="000000"/>
          <w:kern w:val="2"/>
          <w:sz w:val="32"/>
          <w:szCs w:val="24"/>
          <w:lang w:val="zh-CN"/>
        </w:rPr>
        <w:t>万元，占</w:t>
      </w:r>
      <w:r>
        <w:rPr>
          <w:rFonts w:hint="eastAsia" w:ascii="仿宋" w:hAnsi="仿宋" w:eastAsia="仿宋" w:cs="仿宋"/>
          <w:color w:val="000000"/>
          <w:kern w:val="2"/>
          <w:sz w:val="32"/>
          <w:szCs w:val="24"/>
          <w:lang w:val="en-US" w:eastAsia="zh-CN"/>
        </w:rPr>
        <w:t>72.24</w:t>
      </w:r>
      <w:r>
        <w:rPr>
          <w:rFonts w:hint="eastAsia" w:ascii="仿宋" w:hAnsi="仿宋" w:eastAsia="仿宋" w:cs="仿宋"/>
          <w:color w:val="000000"/>
          <w:kern w:val="2"/>
          <w:sz w:val="32"/>
          <w:szCs w:val="24"/>
          <w:lang w:val="zh-CN"/>
        </w:rPr>
        <w:t>%</w:t>
      </w:r>
      <w:r>
        <w:rPr>
          <w:rFonts w:hint="eastAsia" w:ascii="仿宋" w:hAnsi="仿宋" w:eastAsia="仿宋" w:cs="仿宋"/>
          <w:sz w:val="32"/>
          <w:szCs w:val="32"/>
        </w:rPr>
        <w:t>。</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spacing w:line="600" w:lineRule="exact"/>
        <w:ind w:firstLine="64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pPr>
        <w:pStyle w:val="2"/>
        <w:rPr>
          <w:rFonts w:ascii="仿宋" w:hAnsi="仿宋" w:eastAsia="仿宋"/>
          <w:sz w:val="32"/>
          <w:szCs w:val="32"/>
        </w:rPr>
      </w:pPr>
      <w:r>
        <w:rPr>
          <w:rFonts w:hint="eastAsia"/>
          <w:lang w:val="en-US" w:eastAsia="zh-CN"/>
        </w:rPr>
        <w:t xml:space="preserve">     </w:t>
      </w:r>
      <w:r>
        <w:drawing>
          <wp:inline distT="0" distB="0" distL="114300" distR="114300">
            <wp:extent cx="4572000" cy="2743200"/>
            <wp:effectExtent l="4445" t="4445" r="14605" b="14605"/>
            <wp:docPr id="3"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Style w:val="16"/>
          <w:rFonts w:hint="eastAsia" w:ascii="仿宋" w:hAnsi="仿宋" w:eastAsia="仿宋"/>
          <w:bCs/>
          <w:sz w:val="32"/>
          <w:szCs w:val="32"/>
        </w:rPr>
      </w:pPr>
      <w:bookmarkStart w:id="31" w:name="_Toc15378460"/>
      <w:bookmarkStart w:id="32" w:name="_Toc15377213"/>
      <w:bookmarkStart w:id="33" w:name="_Toc15377444"/>
      <w:r>
        <w:rPr>
          <w:rFonts w:hint="eastAsia" w:ascii="仿宋" w:hAnsi="仿宋" w:eastAsia="仿宋"/>
          <w:b/>
          <w:sz w:val="32"/>
          <w:szCs w:val="32"/>
        </w:rPr>
        <w:t>202</w:t>
      </w:r>
      <w:r>
        <w:rPr>
          <w:rFonts w:hint="eastAsia" w:ascii="仿宋" w:hAnsi="仿宋" w:eastAsia="仿宋"/>
          <w:b/>
          <w:sz w:val="32"/>
          <w:szCs w:val="32"/>
          <w:lang w:val="en-US" w:eastAsia="zh-CN"/>
        </w:rPr>
        <w:t>4</w:t>
      </w:r>
      <w:r>
        <w:rPr>
          <w:rFonts w:hint="eastAsia" w:ascii="仿宋" w:hAnsi="仿宋" w:eastAsia="仿宋"/>
          <w:b/>
          <w:sz w:val="32"/>
          <w:szCs w:val="32"/>
        </w:rPr>
        <w:t>年度一般公共预算支出决算数为</w:t>
      </w:r>
      <w:r>
        <w:rPr>
          <w:rFonts w:hint="eastAsia" w:ascii="仿宋_GB2312" w:hAnsi="仿宋_GB2312" w:eastAsia="仿宋_GB2312" w:cs="仿宋_GB2312"/>
          <w:sz w:val="32"/>
          <w:szCs w:val="32"/>
        </w:rPr>
        <w:t>468.06</w:t>
      </w:r>
      <w:r>
        <w:rPr>
          <w:rFonts w:hint="eastAsia" w:ascii="仿宋_GB2312" w:hAnsi="仿宋_GB2312" w:eastAsia="仿宋_GB2312" w:cs="仿宋_GB2312"/>
          <w:sz w:val="32"/>
          <w:szCs w:val="32"/>
          <w:lang w:val="en-US" w:eastAsia="zh-CN"/>
        </w:rPr>
        <w:t>万元</w:t>
      </w:r>
      <w:r>
        <w:rPr>
          <w:rFonts w:hint="eastAsia" w:ascii="仿宋" w:hAnsi="仿宋" w:eastAsia="仿宋"/>
          <w:sz w:val="32"/>
          <w:szCs w:val="32"/>
        </w:rPr>
        <w:t>，</w:t>
      </w:r>
      <w:r>
        <w:rPr>
          <w:rStyle w:val="16"/>
          <w:rFonts w:hint="eastAsia" w:ascii="仿宋" w:hAnsi="仿宋" w:eastAsia="仿宋"/>
          <w:bCs/>
          <w:sz w:val="32"/>
          <w:szCs w:val="32"/>
        </w:rPr>
        <w:t>完成预算</w:t>
      </w:r>
      <w:r>
        <w:rPr>
          <w:rStyle w:val="16"/>
          <w:rFonts w:hint="eastAsia" w:ascii="仿宋" w:hAnsi="仿宋" w:eastAsia="仿宋"/>
          <w:bCs/>
          <w:sz w:val="32"/>
          <w:szCs w:val="32"/>
          <w:lang w:val="en-US" w:eastAsia="zh-CN"/>
        </w:rPr>
        <w:t>100</w:t>
      </w:r>
      <w:r>
        <w:rPr>
          <w:rStyle w:val="16"/>
          <w:rFonts w:ascii="仿宋" w:hAnsi="仿宋" w:eastAsia="仿宋"/>
          <w:bCs/>
          <w:sz w:val="32"/>
          <w:szCs w:val="32"/>
        </w:rPr>
        <w:t>%</w:t>
      </w:r>
      <w:r>
        <w:rPr>
          <w:rStyle w:val="16"/>
          <w:rFonts w:hint="eastAsia" w:ascii="仿宋" w:hAnsi="仿宋" w:eastAsia="仿宋"/>
          <w:bCs/>
          <w:sz w:val="32"/>
          <w:szCs w:val="32"/>
        </w:rPr>
        <w:t>。其中：</w:t>
      </w:r>
      <w:bookmarkEnd w:id="31"/>
      <w:bookmarkEnd w:id="32"/>
      <w:bookmarkEnd w:id="33"/>
    </w:p>
    <w:p>
      <w:pPr>
        <w:numPr>
          <w:ilvl w:val="0"/>
          <w:numId w:val="3"/>
        </w:numPr>
        <w:spacing w:line="600" w:lineRule="exact"/>
        <w:ind w:firstLine="643" w:firstLineChars="200"/>
        <w:outlineLvl w:val="2"/>
        <w:rPr>
          <w:rFonts w:hint="eastAsia" w:ascii="仿宋" w:hAnsi="仿宋" w:eastAsia="仿宋"/>
          <w:color w:val="auto"/>
          <w:kern w:val="2"/>
          <w:sz w:val="32"/>
          <w:szCs w:val="24"/>
          <w:lang w:val="en-US"/>
        </w:rPr>
      </w:pPr>
      <w:r>
        <w:rPr>
          <w:rFonts w:hint="eastAsia" w:ascii="仿宋_GB2312" w:hAnsi="仿宋_GB2312" w:eastAsia="仿宋_GB2312"/>
          <w:b/>
          <w:color w:val="000000"/>
          <w:kern w:val="2"/>
          <w:sz w:val="32"/>
          <w:szCs w:val="24"/>
          <w:lang w:val="en-US"/>
        </w:rPr>
        <w:t>社会保障和就业支出（类）</w:t>
      </w:r>
      <w:r>
        <w:rPr>
          <w:rFonts w:hint="eastAsia" w:ascii="仿宋_GB2312" w:hAnsi="仿宋_GB2312" w:eastAsia="仿宋_GB2312"/>
          <w:b/>
          <w:color w:val="000000"/>
          <w:kern w:val="2"/>
          <w:sz w:val="32"/>
          <w:szCs w:val="24"/>
          <w:lang w:val="en-US" w:eastAsia="zh-CN"/>
        </w:rPr>
        <w:t>行政事业单位养老支出</w:t>
      </w:r>
      <w:r>
        <w:rPr>
          <w:rFonts w:hint="eastAsia" w:ascii="仿宋_GB2312" w:hAnsi="仿宋_GB2312" w:eastAsia="仿宋_GB2312"/>
          <w:b/>
          <w:color w:val="000000"/>
          <w:kern w:val="2"/>
          <w:sz w:val="32"/>
          <w:szCs w:val="24"/>
          <w:lang w:val="en-US"/>
        </w:rPr>
        <w:t>（款）</w:t>
      </w:r>
      <w:r>
        <w:rPr>
          <w:rFonts w:hint="eastAsia" w:ascii="仿宋_GB2312" w:hAnsi="仿宋_GB2312" w:eastAsia="仿宋_GB2312"/>
          <w:b/>
          <w:color w:val="000000"/>
          <w:kern w:val="2"/>
          <w:sz w:val="32"/>
          <w:szCs w:val="24"/>
          <w:lang w:val="en-US" w:eastAsia="zh-CN"/>
        </w:rPr>
        <w:t>机关事业单位基本养老保险缴费支出</w:t>
      </w:r>
      <w:r>
        <w:rPr>
          <w:rFonts w:hint="eastAsia" w:ascii="仿宋_GB2312" w:hAnsi="仿宋_GB2312" w:eastAsia="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24.70</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numPr>
          <w:ilvl w:val="0"/>
          <w:numId w:val="3"/>
        </w:numPr>
        <w:spacing w:line="600" w:lineRule="exact"/>
        <w:ind w:firstLine="643" w:firstLineChars="200"/>
        <w:outlineLvl w:val="2"/>
        <w:rPr>
          <w:rFonts w:hint="eastAsia" w:ascii="仿宋" w:hAnsi="仿宋" w:eastAsia="仿宋"/>
          <w:color w:val="auto"/>
          <w:kern w:val="2"/>
          <w:sz w:val="32"/>
          <w:szCs w:val="24"/>
          <w:lang w:val="en-US"/>
        </w:rPr>
      </w:pPr>
      <w:r>
        <w:rPr>
          <w:rFonts w:hint="eastAsia" w:ascii="仿宋_GB2312" w:hAnsi="仿宋_GB2312" w:eastAsia="仿宋_GB2312"/>
          <w:b/>
          <w:color w:val="000000"/>
          <w:kern w:val="2"/>
          <w:sz w:val="32"/>
          <w:szCs w:val="24"/>
          <w:lang w:val="en-US" w:eastAsia="zh-CN"/>
        </w:rPr>
        <w:t>2.</w:t>
      </w:r>
      <w:r>
        <w:rPr>
          <w:rFonts w:hint="eastAsia" w:ascii="仿宋_GB2312" w:hAnsi="仿宋_GB2312" w:eastAsia="仿宋_GB2312"/>
          <w:b/>
          <w:color w:val="000000"/>
          <w:kern w:val="2"/>
          <w:sz w:val="32"/>
          <w:szCs w:val="24"/>
          <w:lang w:val="en-US"/>
        </w:rPr>
        <w:t>社会保障和就业支出（类）</w:t>
      </w:r>
      <w:r>
        <w:rPr>
          <w:rFonts w:hint="eastAsia" w:ascii="仿宋_GB2312" w:hAnsi="仿宋_GB2312" w:eastAsia="仿宋_GB2312"/>
          <w:b/>
          <w:color w:val="000000"/>
          <w:kern w:val="2"/>
          <w:sz w:val="32"/>
          <w:szCs w:val="24"/>
          <w:lang w:val="en-US" w:eastAsia="zh-CN"/>
        </w:rPr>
        <w:t>行政事业单位养老支出</w:t>
      </w:r>
      <w:r>
        <w:rPr>
          <w:rFonts w:hint="eastAsia" w:ascii="仿宋_GB2312" w:hAnsi="仿宋_GB2312" w:eastAsia="仿宋_GB2312"/>
          <w:b/>
          <w:color w:val="000000"/>
          <w:kern w:val="2"/>
          <w:sz w:val="32"/>
          <w:szCs w:val="24"/>
          <w:lang w:val="en-US"/>
        </w:rPr>
        <w:t>（款）</w:t>
      </w:r>
      <w:r>
        <w:rPr>
          <w:rFonts w:hint="eastAsia" w:ascii="仿宋_GB2312" w:hAnsi="仿宋_GB2312" w:eastAsia="仿宋_GB2312"/>
          <w:b/>
          <w:color w:val="000000"/>
          <w:kern w:val="2"/>
          <w:sz w:val="32"/>
          <w:szCs w:val="24"/>
          <w:lang w:val="en-US" w:eastAsia="zh-CN"/>
        </w:rPr>
        <w:t>机关事业单位职业年金缴费支出</w:t>
      </w:r>
      <w:r>
        <w:rPr>
          <w:rFonts w:hint="eastAsia" w:ascii="仿宋_GB2312" w:hAnsi="仿宋_GB2312" w:eastAsia="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000000"/>
          <w:kern w:val="2"/>
          <w:sz w:val="32"/>
          <w:szCs w:val="24"/>
          <w:lang w:val="en-US" w:eastAsia="zh-CN"/>
        </w:rPr>
        <w:t>20.09</w:t>
      </w:r>
      <w:r>
        <w:rPr>
          <w:rFonts w:hint="eastAsia" w:ascii="仿宋" w:hAnsi="仿宋" w:eastAsia="仿宋"/>
          <w:color w:val="000000"/>
          <w:kern w:val="2"/>
          <w:sz w:val="32"/>
          <w:szCs w:val="24"/>
          <w:lang w:val="en-US"/>
        </w:rPr>
        <w:t>万元，完成预算</w:t>
      </w:r>
      <w:r>
        <w:rPr>
          <w:rFonts w:hint="eastAsia" w:ascii="仿宋" w:hAnsi="仿宋" w:eastAsia="仿宋"/>
          <w:color w:val="000000"/>
          <w:kern w:val="2"/>
          <w:sz w:val="32"/>
          <w:szCs w:val="24"/>
          <w:lang w:val="en-US" w:eastAsia="zh-CN"/>
        </w:rPr>
        <w:t>100</w:t>
      </w:r>
      <w:r>
        <w:rPr>
          <w:rFonts w:hint="eastAsia" w:ascii="仿宋" w:hAnsi="仿宋" w:eastAsia="仿宋"/>
          <w:color w:val="000000"/>
          <w:kern w:val="2"/>
          <w:sz w:val="32"/>
          <w:szCs w:val="24"/>
          <w:lang w:val="en-US"/>
        </w:rPr>
        <w:t>%，决算数等于预算数。</w:t>
      </w:r>
    </w:p>
    <w:p>
      <w:pPr>
        <w:numPr>
          <w:numId w:val="0"/>
        </w:numPr>
        <w:spacing w:line="600" w:lineRule="exact"/>
        <w:ind w:firstLine="643" w:firstLineChars="200"/>
        <w:outlineLvl w:val="2"/>
        <w:rPr>
          <w:rFonts w:hint="eastAsia" w:ascii="仿宋" w:hAnsi="仿宋" w:eastAsia="仿宋"/>
          <w:color w:val="000000"/>
          <w:kern w:val="2"/>
          <w:sz w:val="32"/>
          <w:szCs w:val="24"/>
          <w:lang w:val="en-US"/>
        </w:rPr>
      </w:pPr>
      <w:r>
        <w:rPr>
          <w:rFonts w:hint="eastAsia" w:ascii="仿宋_GB2312" w:hAnsi="仿宋_GB2312" w:eastAsia="仿宋_GB2312"/>
          <w:b/>
          <w:color w:val="000000"/>
          <w:kern w:val="2"/>
          <w:sz w:val="32"/>
          <w:szCs w:val="24"/>
          <w:lang w:val="en-US" w:eastAsia="zh-CN"/>
        </w:rPr>
        <w:t>3.</w:t>
      </w:r>
      <w:r>
        <w:rPr>
          <w:rFonts w:hint="eastAsia" w:ascii="仿宋_GB2312" w:hAnsi="仿宋_GB2312" w:eastAsia="仿宋_GB2312"/>
          <w:b/>
          <w:color w:val="000000"/>
          <w:kern w:val="2"/>
          <w:sz w:val="32"/>
          <w:szCs w:val="24"/>
          <w:lang w:val="en-US"/>
        </w:rPr>
        <w:t>社会保障和就业支出（类）</w:t>
      </w:r>
      <w:r>
        <w:rPr>
          <w:rFonts w:hint="eastAsia" w:ascii="仿宋_GB2312" w:hAnsi="仿宋_GB2312" w:eastAsia="仿宋_GB2312"/>
          <w:b/>
          <w:color w:val="000000"/>
          <w:kern w:val="2"/>
          <w:sz w:val="32"/>
          <w:szCs w:val="24"/>
          <w:lang w:val="en-US" w:eastAsia="zh-CN"/>
        </w:rPr>
        <w:t>行政事业单位养老支出</w:t>
      </w:r>
      <w:r>
        <w:rPr>
          <w:rFonts w:hint="eastAsia" w:ascii="仿宋_GB2312" w:hAnsi="仿宋_GB2312" w:eastAsia="仿宋_GB2312"/>
          <w:b/>
          <w:color w:val="000000"/>
          <w:kern w:val="2"/>
          <w:sz w:val="32"/>
          <w:szCs w:val="24"/>
          <w:lang w:val="en-US"/>
        </w:rPr>
        <w:t>（款）</w:t>
      </w:r>
      <w:r>
        <w:rPr>
          <w:rFonts w:hint="eastAsia" w:ascii="仿宋_GB2312" w:hAnsi="仿宋_GB2312" w:eastAsia="仿宋_GB2312"/>
          <w:b/>
          <w:color w:val="000000"/>
          <w:kern w:val="2"/>
          <w:sz w:val="32"/>
          <w:szCs w:val="24"/>
          <w:lang w:val="en-US" w:eastAsia="zh-CN"/>
        </w:rPr>
        <w:t>其他行政事业单位养老支出</w:t>
      </w:r>
      <w:r>
        <w:rPr>
          <w:rFonts w:hint="eastAsia" w:ascii="仿宋_GB2312" w:hAnsi="仿宋_GB2312" w:eastAsia="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42.66</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numPr>
          <w:ilvl w:val="0"/>
          <w:numId w:val="3"/>
        </w:numPr>
        <w:spacing w:line="600" w:lineRule="exact"/>
        <w:ind w:firstLine="640" w:firstLineChars="200"/>
        <w:outlineLvl w:val="2"/>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eastAsia="zh-CN"/>
        </w:rPr>
        <w:t>4.</w:t>
      </w:r>
      <w:r>
        <w:rPr>
          <w:rFonts w:hint="eastAsia" w:hAnsi="仿宋_GB2312"/>
          <w:b/>
          <w:color w:val="000000"/>
          <w:kern w:val="2"/>
          <w:sz w:val="32"/>
          <w:szCs w:val="24"/>
          <w:lang w:val="en-US"/>
        </w:rPr>
        <w:t>社会保障和就业支出（类）</w:t>
      </w:r>
      <w:r>
        <w:rPr>
          <w:rFonts w:hint="eastAsia" w:hAnsi="仿宋_GB2312"/>
          <w:b/>
          <w:color w:val="000000"/>
          <w:kern w:val="2"/>
          <w:sz w:val="32"/>
          <w:szCs w:val="24"/>
          <w:lang w:val="en-US" w:eastAsia="zh-CN"/>
        </w:rPr>
        <w:t>抚恤</w:t>
      </w:r>
      <w:r>
        <w:rPr>
          <w:rFonts w:hint="eastAsia" w:hAnsi="仿宋_GB2312"/>
          <w:b/>
          <w:color w:val="000000"/>
          <w:kern w:val="2"/>
          <w:sz w:val="32"/>
          <w:szCs w:val="24"/>
          <w:lang w:val="en-US"/>
        </w:rPr>
        <w:t>（款）</w:t>
      </w:r>
      <w:r>
        <w:rPr>
          <w:rFonts w:hint="eastAsia" w:hAnsi="仿宋_GB2312"/>
          <w:b/>
          <w:color w:val="000000"/>
          <w:kern w:val="2"/>
          <w:sz w:val="32"/>
          <w:szCs w:val="24"/>
          <w:lang w:val="en-US" w:eastAsia="zh-CN"/>
        </w:rPr>
        <w:t>死亡抚恤</w:t>
      </w:r>
      <w:r>
        <w:rPr>
          <w:rFonts w:hint="eastAsia" w:hAnsi="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6.06</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numPr>
          <w:numId w:val="0"/>
        </w:numPr>
        <w:spacing w:line="600" w:lineRule="exact"/>
        <w:ind w:firstLine="640" w:firstLineChars="200"/>
        <w:outlineLvl w:val="2"/>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eastAsia="zh-CN"/>
        </w:rPr>
        <w:t>5.</w:t>
      </w:r>
      <w:r>
        <w:rPr>
          <w:rFonts w:hint="eastAsia" w:ascii="仿宋_GB2312" w:hAnsi="仿宋_GB2312" w:eastAsia="仿宋_GB2312"/>
          <w:b/>
          <w:color w:val="000000"/>
          <w:kern w:val="2"/>
          <w:sz w:val="32"/>
          <w:szCs w:val="24"/>
          <w:lang w:val="en-US"/>
        </w:rPr>
        <w:t>社会保障和就业支出（类）</w:t>
      </w:r>
      <w:r>
        <w:rPr>
          <w:rFonts w:hint="eastAsia" w:ascii="仿宋_GB2312" w:hAnsi="仿宋_GB2312" w:eastAsia="仿宋_GB2312"/>
          <w:b/>
          <w:color w:val="000000"/>
          <w:kern w:val="2"/>
          <w:sz w:val="32"/>
          <w:szCs w:val="24"/>
          <w:lang w:val="en-US" w:eastAsia="zh-CN"/>
        </w:rPr>
        <w:t>其他社会保障和就业支出</w:t>
      </w:r>
      <w:r>
        <w:rPr>
          <w:rFonts w:hint="eastAsia" w:ascii="仿宋_GB2312" w:hAnsi="仿宋_GB2312" w:eastAsia="仿宋_GB2312"/>
          <w:b/>
          <w:color w:val="000000"/>
          <w:kern w:val="2"/>
          <w:sz w:val="32"/>
          <w:szCs w:val="24"/>
          <w:lang w:val="en-US"/>
        </w:rPr>
        <w:t>（款）</w:t>
      </w:r>
      <w:r>
        <w:rPr>
          <w:rFonts w:hint="eastAsia" w:ascii="仿宋_GB2312" w:hAnsi="仿宋_GB2312" w:eastAsia="仿宋_GB2312"/>
          <w:b/>
          <w:color w:val="000000"/>
          <w:kern w:val="2"/>
          <w:sz w:val="32"/>
          <w:szCs w:val="24"/>
          <w:lang w:val="en-US" w:eastAsia="zh-CN"/>
        </w:rPr>
        <w:t>其他社会保障和就业支出</w:t>
      </w:r>
      <w:r>
        <w:rPr>
          <w:rFonts w:hint="eastAsia" w:ascii="仿宋_GB2312" w:hAnsi="仿宋_GB2312" w:eastAsia="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1.88</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pStyle w:val="2"/>
        <w:spacing w:line="360" w:lineRule="auto"/>
        <w:ind w:firstLine="640"/>
        <w:rPr>
          <w:rFonts w:hint="eastAsia" w:ascii="仿宋" w:hAnsi="仿宋" w:eastAsia="仿宋"/>
          <w:color w:val="auto"/>
          <w:kern w:val="2"/>
          <w:sz w:val="32"/>
          <w:szCs w:val="24"/>
          <w:lang w:val="en-US"/>
        </w:rPr>
      </w:pPr>
      <w:r>
        <w:rPr>
          <w:rFonts w:hint="eastAsia" w:hAnsi="仿宋_GB2312"/>
          <w:b/>
          <w:color w:val="000000"/>
          <w:kern w:val="2"/>
          <w:sz w:val="32"/>
          <w:szCs w:val="24"/>
          <w:lang w:val="en-US" w:eastAsia="zh-CN"/>
        </w:rPr>
        <w:t>6</w:t>
      </w:r>
      <w:r>
        <w:rPr>
          <w:rFonts w:hint="eastAsia" w:hAnsi="仿宋_GB2312"/>
          <w:b/>
          <w:color w:val="000000"/>
          <w:kern w:val="2"/>
          <w:sz w:val="32"/>
          <w:szCs w:val="24"/>
          <w:lang w:val="en-US"/>
        </w:rPr>
        <w:t>.卫生健康支出（类）</w:t>
      </w:r>
      <w:r>
        <w:rPr>
          <w:rFonts w:hint="eastAsia" w:hAnsi="仿宋_GB2312"/>
          <w:b/>
          <w:color w:val="000000"/>
          <w:kern w:val="2"/>
          <w:sz w:val="32"/>
          <w:szCs w:val="24"/>
          <w:lang w:val="en-US" w:eastAsia="zh-CN"/>
        </w:rPr>
        <w:t>行政事业单位医疗</w:t>
      </w:r>
      <w:r>
        <w:rPr>
          <w:rFonts w:hint="eastAsia" w:hAnsi="仿宋_GB2312"/>
          <w:b/>
          <w:color w:val="000000"/>
          <w:kern w:val="2"/>
          <w:sz w:val="32"/>
          <w:szCs w:val="24"/>
          <w:lang w:val="en-US"/>
        </w:rPr>
        <w:t>（款）</w:t>
      </w:r>
      <w:r>
        <w:rPr>
          <w:rFonts w:hint="eastAsia" w:hAnsi="仿宋_GB2312"/>
          <w:b/>
          <w:color w:val="000000"/>
          <w:kern w:val="2"/>
          <w:sz w:val="32"/>
          <w:szCs w:val="24"/>
          <w:lang w:val="en-US" w:eastAsia="zh-CN"/>
        </w:rPr>
        <w:t>事业单位医疗</w:t>
      </w:r>
      <w:r>
        <w:rPr>
          <w:rFonts w:hint="eastAsia" w:hAnsi="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7.73</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pStyle w:val="2"/>
        <w:spacing w:line="360" w:lineRule="auto"/>
        <w:ind w:firstLine="640"/>
        <w:rPr>
          <w:rFonts w:hint="eastAsia" w:ascii="仿宋" w:hAnsi="仿宋" w:eastAsia="仿宋"/>
          <w:color w:val="auto"/>
          <w:kern w:val="2"/>
          <w:sz w:val="32"/>
          <w:szCs w:val="24"/>
          <w:lang w:val="en-US" w:eastAsia="zh-CN"/>
        </w:rPr>
      </w:pPr>
      <w:r>
        <w:rPr>
          <w:rFonts w:hint="eastAsia" w:hAnsi="仿宋_GB2312"/>
          <w:b/>
          <w:color w:val="000000"/>
          <w:kern w:val="2"/>
          <w:sz w:val="32"/>
          <w:szCs w:val="24"/>
          <w:lang w:val="en-US" w:eastAsia="zh-CN"/>
        </w:rPr>
        <w:t>7</w:t>
      </w:r>
      <w:r>
        <w:rPr>
          <w:rFonts w:hint="eastAsia" w:hAnsi="仿宋_GB2312"/>
          <w:b/>
          <w:color w:val="000000"/>
          <w:kern w:val="2"/>
          <w:sz w:val="32"/>
          <w:szCs w:val="24"/>
          <w:lang w:val="en-US"/>
        </w:rPr>
        <w:t>.卫生健康支出（类）</w:t>
      </w:r>
      <w:r>
        <w:rPr>
          <w:rFonts w:hint="eastAsia" w:hAnsi="仿宋_GB2312"/>
          <w:b/>
          <w:color w:val="000000"/>
          <w:kern w:val="2"/>
          <w:sz w:val="32"/>
          <w:szCs w:val="24"/>
          <w:lang w:val="en-US" w:eastAsia="zh-CN"/>
        </w:rPr>
        <w:t>行政事业单位医疗</w:t>
      </w:r>
      <w:r>
        <w:rPr>
          <w:rFonts w:hint="eastAsia" w:hAnsi="仿宋_GB2312"/>
          <w:b/>
          <w:color w:val="000000"/>
          <w:kern w:val="2"/>
          <w:sz w:val="32"/>
          <w:szCs w:val="24"/>
          <w:lang w:val="en-US"/>
        </w:rPr>
        <w:t>（款）</w:t>
      </w:r>
      <w:r>
        <w:rPr>
          <w:rFonts w:hint="eastAsia" w:hAnsi="仿宋_GB2312"/>
          <w:b/>
          <w:color w:val="000000"/>
          <w:kern w:val="2"/>
          <w:sz w:val="32"/>
          <w:szCs w:val="24"/>
          <w:lang w:val="en-US" w:eastAsia="zh-CN"/>
        </w:rPr>
        <w:t>公务员医疗补助</w:t>
      </w:r>
      <w:r>
        <w:rPr>
          <w:rFonts w:hint="eastAsia" w:hAnsi="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6.20</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r>
        <w:rPr>
          <w:rFonts w:hint="eastAsia" w:ascii="仿宋" w:hAnsi="仿宋" w:eastAsia="仿宋"/>
          <w:color w:val="auto"/>
          <w:kern w:val="2"/>
          <w:sz w:val="32"/>
          <w:szCs w:val="24"/>
          <w:lang w:val="en-US" w:eastAsia="zh-CN"/>
        </w:rPr>
        <w:t>。</w:t>
      </w:r>
    </w:p>
    <w:p>
      <w:pPr>
        <w:pStyle w:val="2"/>
        <w:spacing w:line="360" w:lineRule="auto"/>
        <w:ind w:firstLine="640"/>
        <w:rPr>
          <w:rFonts w:hint="eastAsia" w:ascii="仿宋" w:hAnsi="仿宋" w:eastAsia="仿宋"/>
          <w:color w:val="auto"/>
          <w:kern w:val="2"/>
          <w:sz w:val="32"/>
          <w:szCs w:val="24"/>
          <w:lang w:val="en-US" w:eastAsia="zh-CN"/>
        </w:rPr>
      </w:pPr>
      <w:r>
        <w:rPr>
          <w:rFonts w:hint="eastAsia" w:hAnsi="仿宋_GB2312"/>
          <w:b/>
          <w:color w:val="000000"/>
          <w:kern w:val="2"/>
          <w:sz w:val="32"/>
          <w:szCs w:val="24"/>
          <w:lang w:val="en-US" w:eastAsia="zh-CN"/>
        </w:rPr>
        <w:t>8.城乡社区支出</w:t>
      </w:r>
      <w:r>
        <w:rPr>
          <w:rFonts w:hint="eastAsia" w:hAnsi="仿宋_GB2312"/>
          <w:b/>
          <w:color w:val="000000"/>
          <w:kern w:val="2"/>
          <w:sz w:val="32"/>
          <w:szCs w:val="24"/>
          <w:lang w:val="en-US"/>
        </w:rPr>
        <w:t>（类）</w:t>
      </w:r>
      <w:r>
        <w:rPr>
          <w:rFonts w:hint="eastAsia" w:hAnsi="仿宋_GB2312"/>
          <w:b/>
          <w:color w:val="000000"/>
          <w:kern w:val="2"/>
          <w:sz w:val="32"/>
          <w:szCs w:val="24"/>
          <w:lang w:val="en-US" w:eastAsia="zh-CN"/>
        </w:rPr>
        <w:t>城乡社区管理事务</w:t>
      </w:r>
      <w:r>
        <w:rPr>
          <w:rFonts w:hint="eastAsia" w:hAnsi="仿宋_GB2312"/>
          <w:b/>
          <w:color w:val="000000"/>
          <w:kern w:val="2"/>
          <w:sz w:val="32"/>
          <w:szCs w:val="24"/>
          <w:lang w:val="en-US"/>
        </w:rPr>
        <w:t>（款）</w:t>
      </w:r>
      <w:r>
        <w:rPr>
          <w:rFonts w:hint="eastAsia" w:hAnsi="仿宋_GB2312"/>
          <w:b/>
          <w:color w:val="000000"/>
          <w:kern w:val="2"/>
          <w:sz w:val="32"/>
          <w:szCs w:val="24"/>
          <w:lang w:val="en-US" w:eastAsia="zh-CN"/>
        </w:rPr>
        <w:t>城乡社区环境卫生</w:t>
      </w:r>
      <w:r>
        <w:rPr>
          <w:rFonts w:hint="eastAsia" w:hAnsi="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109.89</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pStyle w:val="2"/>
        <w:spacing w:line="360" w:lineRule="auto"/>
        <w:ind w:firstLine="640"/>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eastAsia="zh-CN"/>
        </w:rPr>
        <w:t>9.</w:t>
      </w:r>
      <w:r>
        <w:rPr>
          <w:rFonts w:hint="eastAsia" w:hAnsi="仿宋_GB2312"/>
          <w:b/>
          <w:color w:val="000000"/>
          <w:kern w:val="2"/>
          <w:sz w:val="32"/>
          <w:szCs w:val="24"/>
          <w:lang w:val="en-US" w:eastAsia="zh-CN"/>
        </w:rPr>
        <w:t>城乡社区支出</w:t>
      </w:r>
      <w:r>
        <w:rPr>
          <w:rFonts w:hint="eastAsia" w:hAnsi="仿宋_GB2312"/>
          <w:b/>
          <w:color w:val="000000"/>
          <w:kern w:val="2"/>
          <w:sz w:val="32"/>
          <w:szCs w:val="24"/>
          <w:lang w:val="en-US"/>
        </w:rPr>
        <w:t>（类）</w:t>
      </w:r>
      <w:r>
        <w:rPr>
          <w:rFonts w:hint="eastAsia" w:hAnsi="仿宋_GB2312"/>
          <w:b/>
          <w:color w:val="000000"/>
          <w:kern w:val="2"/>
          <w:sz w:val="32"/>
          <w:szCs w:val="24"/>
          <w:lang w:val="en-US" w:eastAsia="zh-CN"/>
        </w:rPr>
        <w:t>城乡社区管理事务</w:t>
      </w:r>
      <w:r>
        <w:rPr>
          <w:rFonts w:hint="eastAsia" w:hAnsi="仿宋_GB2312"/>
          <w:b/>
          <w:color w:val="000000"/>
          <w:kern w:val="2"/>
          <w:sz w:val="32"/>
          <w:szCs w:val="24"/>
          <w:lang w:val="en-US"/>
        </w:rPr>
        <w:t>（款）</w:t>
      </w:r>
      <w:r>
        <w:rPr>
          <w:rFonts w:hint="eastAsia" w:hAnsi="仿宋_GB2312"/>
          <w:b/>
          <w:color w:val="000000"/>
          <w:kern w:val="2"/>
          <w:sz w:val="32"/>
          <w:szCs w:val="24"/>
          <w:lang w:val="en-US" w:eastAsia="zh-CN"/>
        </w:rPr>
        <w:t>其他城乡社区管理事务支出</w:t>
      </w:r>
      <w:r>
        <w:rPr>
          <w:rFonts w:hint="eastAsia" w:hAnsi="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228.28</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keepNext/>
        <w:keepLines/>
        <w:spacing w:line="576" w:lineRule="exact"/>
        <w:ind w:firstLine="640" w:firstLineChars="200"/>
        <w:jc w:val="both"/>
        <w:rPr>
          <w:rFonts w:hint="eastAsia" w:ascii="仿宋" w:hAnsi="仿宋" w:eastAsia="仿宋"/>
          <w:color w:val="auto"/>
          <w:kern w:val="2"/>
          <w:sz w:val="32"/>
          <w:szCs w:val="24"/>
          <w:lang w:val="en-US"/>
        </w:rPr>
      </w:pPr>
      <w:r>
        <w:rPr>
          <w:rFonts w:hint="eastAsia" w:ascii="仿宋" w:hAnsi="仿宋" w:eastAsia="仿宋"/>
          <w:color w:val="auto"/>
          <w:kern w:val="2"/>
          <w:sz w:val="32"/>
          <w:szCs w:val="24"/>
          <w:lang w:val="en-US" w:eastAsia="zh-CN"/>
        </w:rPr>
        <w:t>10.</w:t>
      </w:r>
      <w:r>
        <w:rPr>
          <w:rFonts w:hint="eastAsia" w:ascii="仿宋_GB2312" w:hAnsi="仿宋_GB2312" w:eastAsia="仿宋_GB2312"/>
          <w:b/>
          <w:color w:val="000000"/>
          <w:kern w:val="2"/>
          <w:sz w:val="32"/>
          <w:szCs w:val="24"/>
          <w:lang w:val="en-US" w:eastAsia="zh-CN"/>
        </w:rPr>
        <w:t>住房保障支出出</w:t>
      </w:r>
      <w:r>
        <w:rPr>
          <w:rFonts w:hint="eastAsia" w:ascii="仿宋_GB2312" w:hAnsi="仿宋_GB2312" w:eastAsia="仿宋_GB2312"/>
          <w:b/>
          <w:color w:val="000000"/>
          <w:kern w:val="2"/>
          <w:sz w:val="32"/>
          <w:szCs w:val="24"/>
          <w:lang w:val="en-US"/>
        </w:rPr>
        <w:t>（类）</w:t>
      </w:r>
      <w:r>
        <w:rPr>
          <w:rFonts w:hint="eastAsia" w:ascii="仿宋_GB2312" w:hAnsi="仿宋_GB2312" w:eastAsia="仿宋_GB2312"/>
          <w:b/>
          <w:color w:val="000000"/>
          <w:kern w:val="2"/>
          <w:sz w:val="32"/>
          <w:szCs w:val="24"/>
          <w:lang w:val="en-US" w:eastAsia="zh-CN"/>
        </w:rPr>
        <w:t>住房改革支出</w:t>
      </w:r>
      <w:r>
        <w:rPr>
          <w:rFonts w:hint="eastAsia" w:ascii="仿宋_GB2312" w:hAnsi="仿宋_GB2312" w:eastAsia="仿宋_GB2312"/>
          <w:b/>
          <w:color w:val="000000"/>
          <w:kern w:val="2"/>
          <w:sz w:val="32"/>
          <w:szCs w:val="24"/>
          <w:lang w:val="en-US"/>
        </w:rPr>
        <w:t>（款）</w:t>
      </w:r>
      <w:r>
        <w:rPr>
          <w:rFonts w:hint="eastAsia" w:ascii="仿宋_GB2312" w:hAnsi="仿宋_GB2312" w:eastAsia="仿宋_GB2312"/>
          <w:b/>
          <w:color w:val="000000"/>
          <w:kern w:val="2"/>
          <w:sz w:val="32"/>
          <w:szCs w:val="24"/>
          <w:lang w:val="en-US" w:eastAsia="zh-CN"/>
        </w:rPr>
        <w:t>住房公积金</w:t>
      </w:r>
      <w:r>
        <w:rPr>
          <w:rFonts w:hint="eastAsia" w:ascii="仿宋_GB2312" w:hAnsi="仿宋_GB2312" w:eastAsia="仿宋_GB2312"/>
          <w:b/>
          <w:color w:val="000000"/>
          <w:kern w:val="2"/>
          <w:sz w:val="32"/>
          <w:szCs w:val="24"/>
          <w:lang w:val="en-US"/>
        </w:rPr>
        <w:t>（项）:</w:t>
      </w:r>
      <w:r>
        <w:rPr>
          <w:rFonts w:hint="eastAsia" w:ascii="仿宋" w:hAnsi="仿宋" w:eastAsia="仿宋"/>
          <w:color w:val="auto"/>
          <w:kern w:val="2"/>
          <w:sz w:val="32"/>
          <w:szCs w:val="24"/>
          <w:lang w:val="en-US"/>
        </w:rPr>
        <w:t>支出决算为</w:t>
      </w:r>
      <w:r>
        <w:rPr>
          <w:rFonts w:hint="eastAsia" w:ascii="仿宋" w:hAnsi="仿宋" w:eastAsia="仿宋"/>
          <w:color w:val="auto"/>
          <w:kern w:val="2"/>
          <w:sz w:val="32"/>
          <w:szCs w:val="24"/>
          <w:lang w:val="en-US" w:eastAsia="zh-CN"/>
        </w:rPr>
        <w:t>20.56</w:t>
      </w:r>
      <w:r>
        <w:rPr>
          <w:rFonts w:hint="eastAsia" w:ascii="仿宋" w:hAnsi="仿宋" w:eastAsia="仿宋"/>
          <w:color w:val="auto"/>
          <w:kern w:val="2"/>
          <w:sz w:val="32"/>
          <w:szCs w:val="24"/>
          <w:lang w:val="en-US"/>
        </w:rPr>
        <w:t>万元，完成预算</w:t>
      </w:r>
      <w:r>
        <w:rPr>
          <w:rFonts w:hint="eastAsia" w:ascii="仿宋" w:hAnsi="仿宋" w:eastAsia="仿宋"/>
          <w:color w:val="auto"/>
          <w:kern w:val="2"/>
          <w:sz w:val="32"/>
          <w:szCs w:val="24"/>
          <w:lang w:val="en-US" w:eastAsia="zh-CN"/>
        </w:rPr>
        <w:t>100</w:t>
      </w:r>
      <w:r>
        <w:rPr>
          <w:rFonts w:hint="eastAsia" w:ascii="仿宋" w:hAnsi="仿宋" w:eastAsia="仿宋"/>
          <w:color w:val="auto"/>
          <w:kern w:val="2"/>
          <w:sz w:val="32"/>
          <w:szCs w:val="24"/>
          <w:lang w:val="en-US"/>
        </w:rPr>
        <w:t>%，决算数等于预算数。</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8"/>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8"/>
          <w:rFonts w:hint="eastAsia" w:ascii="黑体" w:hAnsi="黑体" w:eastAsia="黑体"/>
          <w:b w:val="0"/>
        </w:rPr>
        <w:t>般公共预算财政拨款基本支出决算情况说明</w:t>
      </w:r>
      <w:bookmarkEnd w:id="34"/>
      <w:bookmarkEnd w:id="35"/>
      <w:r>
        <w:rPr>
          <w:rStyle w:val="28"/>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年度一般公共预算财政拨款基本支出</w:t>
      </w:r>
      <w:r>
        <w:rPr>
          <w:rFonts w:hint="eastAsia" w:ascii="仿宋_GB2312" w:hAnsi="仿宋_GB2312" w:eastAsia="仿宋_GB2312" w:cs="仿宋_GB2312"/>
          <w:sz w:val="32"/>
          <w:szCs w:val="32"/>
        </w:rPr>
        <w:t>358.17</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_GB2312" w:hAnsi="仿宋_GB2312" w:eastAsia="仿宋_GB2312" w:cs="仿宋_GB2312"/>
          <w:sz w:val="32"/>
          <w:szCs w:val="32"/>
        </w:rPr>
        <w:t>334.28</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_GB2312" w:hAnsi="仿宋_GB2312" w:eastAsia="仿宋_GB2312" w:cs="仿宋_GB2312"/>
          <w:sz w:val="32"/>
          <w:szCs w:val="32"/>
        </w:rPr>
        <w:t>23.89</w:t>
      </w:r>
      <w:r>
        <w:rPr>
          <w:rFonts w:hint="eastAsia" w:ascii="仿宋_GB2312" w:hAnsi="仿宋_GB2312" w:eastAsia="仿宋_GB2312" w:cs="仿宋_GB2312"/>
          <w:color w:val="auto"/>
          <w:kern w:val="2"/>
          <w:sz w:val="32"/>
          <w:szCs w:val="32"/>
          <w:highlight w:val="none"/>
          <w:lang w:val="en-US" w:eastAsia="zh-CN" w:bidi="ar-SA"/>
        </w:rPr>
        <w:t>万</w:t>
      </w:r>
      <w:r>
        <w:rPr>
          <w:rFonts w:hint="eastAsia" w:ascii="仿宋" w:hAnsi="仿宋" w:eastAsia="仿宋"/>
          <w:sz w:val="32"/>
          <w:szCs w:val="32"/>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spacing w:line="600" w:lineRule="exact"/>
        <w:ind w:firstLine="640"/>
        <w:rPr>
          <w:rFonts w:ascii="仿宋" w:hAnsi="仿宋" w:eastAsia="仿宋"/>
          <w:b/>
          <w:sz w:val="32"/>
          <w:szCs w:val="32"/>
        </w:rPr>
      </w:pPr>
    </w:p>
    <w:p>
      <w:pPr>
        <w:spacing w:line="600" w:lineRule="exact"/>
        <w:ind w:firstLine="640"/>
        <w:outlineLvl w:val="1"/>
        <w:rPr>
          <w:rStyle w:val="28"/>
          <w:rFonts w:ascii="黑体" w:hAnsi="黑体" w:eastAsia="黑体"/>
          <w:b w:val="0"/>
        </w:rPr>
      </w:pPr>
      <w:bookmarkStart w:id="36" w:name="_Toc15396609"/>
      <w:bookmarkStart w:id="37" w:name="_Toc15377215"/>
      <w:r>
        <w:rPr>
          <w:rFonts w:hint="eastAsia" w:ascii="黑体" w:eastAsia="黑体"/>
          <w:sz w:val="32"/>
          <w:szCs w:val="32"/>
        </w:rPr>
        <w:t>七、</w:t>
      </w:r>
      <w:r>
        <w:rPr>
          <w:rStyle w:val="28"/>
          <w:rFonts w:hint="eastAsia" w:ascii="黑体" w:hAnsi="黑体" w:eastAsia="黑体"/>
          <w:b w:val="0"/>
        </w:rPr>
        <w:t>财政拨款</w:t>
      </w:r>
      <w:r>
        <w:rPr>
          <w:rStyle w:val="28"/>
          <w:rFonts w:hint="eastAsia" w:ascii="黑体" w:hAnsi="黑体" w:eastAsia="黑体"/>
        </w:rPr>
        <w:t>“</w:t>
      </w:r>
      <w:r>
        <w:rPr>
          <w:rStyle w:val="28"/>
          <w:rFonts w:hint="eastAsia" w:ascii="黑体" w:hAnsi="黑体" w:eastAsia="黑体"/>
          <w:b w:val="0"/>
        </w:rPr>
        <w:t>三公”经费支出决算情况说明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w:t>
      </w:r>
    </w:p>
    <w:p>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pPr>
        <w:pStyle w:val="2"/>
        <w:rPr>
          <w:rFonts w:hint="eastAsia" w:ascii="仿宋" w:hAnsi="仿宋" w:eastAsia="仿宋"/>
          <w:sz w:val="32"/>
          <w:szCs w:val="32"/>
          <w:lang w:val="en-US" w:eastAsia="zh-CN"/>
        </w:rPr>
      </w:pPr>
      <w:r>
        <w:rPr>
          <w:rFonts w:hint="eastAsia"/>
          <w:lang w:val="en-US" w:eastAsia="zh-CN"/>
        </w:rPr>
        <w:t xml:space="preserve">   </w:t>
      </w:r>
      <w:r>
        <w:drawing>
          <wp:inline distT="0" distB="0" distL="114300" distR="114300">
            <wp:extent cx="4752975" cy="2818765"/>
            <wp:effectExtent l="4445" t="4445" r="5080" b="15240"/>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_GB2312" w:eastAsia="仿宋_GB2312"/>
          <w:b/>
          <w:sz w:val="32"/>
          <w:szCs w:val="32"/>
        </w:rPr>
      </w:pPr>
      <w:bookmarkStart w:id="40" w:name="_Toc15396610"/>
      <w:bookmarkStart w:id="41"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Cs/>
          <w:sz w:val="32"/>
          <w:szCs w:val="32"/>
        </w:rPr>
        <w:t>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p>
    <w:p>
      <w:pPr>
        <w:spacing w:line="600" w:lineRule="exact"/>
        <w:ind w:firstLine="640"/>
        <w:rPr>
          <w:rFonts w:ascii="仿宋_GB2312" w:eastAsia="仿宋_GB2312"/>
          <w:sz w:val="32"/>
          <w:szCs w:val="32"/>
        </w:rPr>
      </w:pPr>
      <w:r>
        <w:rPr>
          <w:rFonts w:hint="eastAsia" w:ascii="仿宋_GB2312" w:eastAsia="仿宋_GB2312"/>
          <w:sz w:val="32"/>
          <w:szCs w:val="32"/>
        </w:rPr>
        <w:t>开支内容包括：…（团组名称、出访地点、取得成效）等。</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Cs/>
          <w:sz w:val="32"/>
          <w:szCs w:val="32"/>
        </w:rPr>
        <w:t>0</w:t>
      </w:r>
      <w:r>
        <w:rPr>
          <w:rStyle w:val="16"/>
          <w:rFonts w:ascii="仿宋" w:hAnsi="仿宋" w:eastAsia="仿宋"/>
          <w:b w:val="0"/>
          <w:bCs/>
          <w:sz w:val="32"/>
          <w:szCs w:val="32"/>
        </w:rPr>
        <w:t>%</w:t>
      </w:r>
      <w:r>
        <w:rPr>
          <w:rStyle w:val="16"/>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万元，主要用于…。截至2023年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（具体工作）等所需的公务用车燃料费、维修费、过路过桥费、保险费等支出。</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6"/>
          <w:rFonts w:hint="eastAsia" w:ascii="仿宋" w:hAnsi="仿宋" w:eastAsia="仿宋"/>
          <w:b w:val="0"/>
          <w:bCs/>
          <w:sz w:val="32"/>
          <w:szCs w:val="32"/>
        </w:rPr>
        <w:t>完成预算</w:t>
      </w:r>
      <w:r>
        <w:rPr>
          <w:rStyle w:val="16"/>
          <w:rFonts w:ascii="仿宋" w:hAnsi="仿宋" w:eastAsia="仿宋"/>
          <w:b w:val="0"/>
          <w:bCs/>
          <w:sz w:val="32"/>
          <w:szCs w:val="32"/>
        </w:rPr>
        <w:t>0%</w:t>
      </w:r>
      <w:r>
        <w:rPr>
          <w:rStyle w:val="16"/>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万元，主要用于……(执行公务、开展业务活动开支的交通费、住宿费、用餐费等)。国内公务接待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万元，具体内容包括：…（接待具体项目、金额）。</w:t>
      </w:r>
    </w:p>
    <w:p>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outlineLvl w:val="1"/>
        <w:rPr>
          <w:rFonts w:ascii="黑体" w:eastAsia="黑体"/>
          <w:sz w:val="32"/>
          <w:szCs w:val="32"/>
        </w:rPr>
      </w:pPr>
    </w:p>
    <w:p>
      <w:pPr>
        <w:spacing w:line="600" w:lineRule="exact"/>
        <w:ind w:firstLine="640"/>
        <w:outlineLvl w:val="1"/>
        <w:rPr>
          <w:rStyle w:val="28"/>
          <w:rFonts w:ascii="黑体" w:hAnsi="黑体" w:eastAsia="黑体"/>
        </w:rPr>
      </w:pPr>
      <w:r>
        <w:rPr>
          <w:rFonts w:hint="eastAsia" w:ascii="黑体" w:eastAsia="黑体"/>
          <w:sz w:val="32"/>
          <w:szCs w:val="32"/>
        </w:rPr>
        <w:t>八、</w:t>
      </w:r>
      <w:r>
        <w:rPr>
          <w:rStyle w:val="28"/>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年度政府性基金预算财政拨款支出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4"/>
        </w:numPr>
        <w:spacing w:line="600" w:lineRule="exact"/>
        <w:ind w:firstLine="640"/>
        <w:outlineLvl w:val="1"/>
        <w:rPr>
          <w:rStyle w:val="28"/>
          <w:rFonts w:ascii="黑体" w:hAnsi="黑体" w:eastAsia="黑体"/>
          <w:b w:val="0"/>
        </w:rPr>
      </w:pPr>
      <w:bookmarkStart w:id="42" w:name="_Toc15377219"/>
      <w:bookmarkStart w:id="43" w:name="_Toc15396611"/>
      <w:r>
        <w:rPr>
          <w:rStyle w:val="28"/>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spacing w:line="580" w:lineRule="exact"/>
        <w:jc w:val="center"/>
        <w:rPr>
          <w:rFonts w:ascii="方正小标宋简体" w:hAnsi="方正小标宋简体" w:eastAsia="方正小标宋简体" w:cs="方正小标宋简体"/>
          <w:sz w:val="44"/>
          <w:szCs w:val="44"/>
        </w:rPr>
      </w:pPr>
    </w:p>
    <w:p>
      <w:pPr>
        <w:numPr>
          <w:ilvl w:val="0"/>
          <w:numId w:val="4"/>
        </w:numPr>
        <w:spacing w:line="600" w:lineRule="exact"/>
        <w:ind w:firstLine="640"/>
        <w:outlineLvl w:val="1"/>
        <w:rPr>
          <w:rStyle w:val="28"/>
          <w:rFonts w:ascii="黑体" w:hAnsi="黑体" w:eastAsia="黑体"/>
          <w:b w:val="0"/>
        </w:rPr>
      </w:pPr>
      <w:bookmarkStart w:id="44" w:name="_Toc15377221"/>
      <w:bookmarkStart w:id="45" w:name="_Toc15396612"/>
      <w:r>
        <w:rPr>
          <w:rStyle w:val="28"/>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w:t>
      </w:r>
      <w:r>
        <w:rPr>
          <w:rFonts w:ascii="仿宋_GB2312" w:eastAsia="仿宋_GB2312"/>
          <w:b/>
          <w:sz w:val="32"/>
          <w:szCs w:val="32"/>
        </w:rPr>
        <w:t>五通桥区住房和城乡建设局风景园林所</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w:t>
      </w:r>
      <w:r>
        <w:rPr>
          <w:rFonts w:hint="eastAsia" w:ascii="仿宋_GB2312" w:eastAsia="仿宋_GB2312"/>
          <w:sz w:val="32"/>
          <w:szCs w:val="32"/>
          <w:lang w:val="en-US" w:eastAsia="zh-CN"/>
        </w:rPr>
        <w:t>3</w:t>
      </w:r>
      <w:r>
        <w:rPr>
          <w:rFonts w:hint="eastAsia" w:ascii="仿宋_GB2312" w:eastAsia="仿宋_GB2312"/>
          <w:sz w:val="32"/>
          <w:szCs w:val="32"/>
        </w:rPr>
        <w:t>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（或与2022年度决算数持平）。主要原因是……。</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w:t>
      </w:r>
      <w:r>
        <w:rPr>
          <w:rFonts w:ascii="仿宋_GB2312" w:eastAsia="仿宋_GB2312"/>
          <w:b/>
          <w:sz w:val="32"/>
          <w:szCs w:val="32"/>
        </w:rPr>
        <w:t>五通桥区住房和城乡建设局风景园林所</w:t>
      </w:r>
      <w:r>
        <w:rPr>
          <w:rFonts w:hint="eastAsia" w:ascii="仿宋_GB2312" w:eastAsia="仿宋_GB2312"/>
          <w:sz w:val="32"/>
          <w:szCs w:val="32"/>
        </w:rPr>
        <w:t>政府采购支出总额</w:t>
      </w:r>
      <w:r>
        <w:rPr>
          <w:rFonts w:hint="eastAsia" w:ascii="仿宋_GB2312" w:hAnsi="仿宋_GB2312" w:eastAsia="仿宋_GB2312" w:cs="仿宋_GB2312"/>
          <w:sz w:val="32"/>
          <w:szCs w:val="32"/>
        </w:rPr>
        <w:t>90.89</w:t>
      </w:r>
      <w:r>
        <w:rPr>
          <w:rFonts w:hint="eastAsia" w:ascii="仿宋_GB2312" w:eastAsia="仿宋_GB2312"/>
          <w:sz w:val="32"/>
          <w:szCs w:val="32"/>
        </w:rPr>
        <w:t>万元，其中：政府采购货物支出</w:t>
      </w:r>
      <w:r>
        <w:rPr>
          <w:rFonts w:hint="eastAsia" w:ascii="仿宋_GB2312" w:hAnsi="仿宋_GB2312" w:eastAsia="仿宋_GB2312" w:cs="仿宋_GB2312"/>
          <w:sz w:val="32"/>
          <w:szCs w:val="32"/>
        </w:rPr>
        <w:t>90.89</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hint="eastAsia" w:ascii="仿宋_GB2312" w:hAnsi="仿宋_GB2312" w:eastAsia="仿宋_GB2312" w:cs="仿宋_GB2312"/>
          <w:sz w:val="32"/>
          <w:szCs w:val="32"/>
        </w:rPr>
        <w:t>90.89</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10</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w:t>
      </w:r>
      <w:r>
        <w:rPr>
          <w:rFonts w:hint="eastAsia" w:ascii="仿宋_GB2312" w:eastAsia="仿宋_GB2312"/>
          <w:sz w:val="32"/>
          <w:szCs w:val="32"/>
          <w:lang w:val="en-US" w:eastAsia="zh-CN"/>
        </w:rPr>
        <w:t>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五通桥区住房和城乡建设局风景园林所</w:t>
      </w:r>
      <w:r>
        <w:rPr>
          <w:rFonts w:hint="eastAsia" w:ascii="仿宋_GB2312" w:eastAsia="仿宋_GB2312"/>
          <w:sz w:val="32"/>
          <w:szCs w:val="32"/>
        </w:rPr>
        <w:t>共有车辆</w:t>
      </w:r>
      <w:r>
        <w:rPr>
          <w:rFonts w:hint="eastAsia" w:ascii="仿宋_GB2312" w:eastAsia="仿宋_GB2312"/>
          <w:b/>
          <w:sz w:val="32"/>
          <w:szCs w:val="32"/>
          <w:lang w:val="en-US" w:eastAsia="zh-CN"/>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AFAFA"/>
        <w:spacing w:before="0" w:beforeAutospacing="0" w:after="0" w:afterAutospacing="0"/>
        <w:ind w:left="0" w:right="0" w:firstLine="960" w:firstLineChars="300"/>
        <w:jc w:val="left"/>
        <w:rPr>
          <w:rFonts w:hint="eastAsia" w:ascii="仿宋" w:hAnsi="仿宋" w:eastAsia="仿宋" w:cs="仿宋"/>
          <w:sz w:val="32"/>
          <w:szCs w:val="32"/>
        </w:rPr>
      </w:pPr>
      <w:r>
        <w:rPr>
          <w:rFonts w:hint="eastAsia" w:ascii="仿宋_GB2312" w:eastAsia="仿宋_GB2312"/>
          <w:sz w:val="32"/>
          <w:szCs w:val="32"/>
        </w:rPr>
        <w:t>根据预算绩效管理要求，本单位在202</w:t>
      </w:r>
      <w:r>
        <w:rPr>
          <w:rFonts w:hint="eastAsia" w:ascii="仿宋_GB2312" w:eastAsia="仿宋_GB2312"/>
          <w:sz w:val="32"/>
          <w:szCs w:val="32"/>
          <w:lang w:val="en-US" w:eastAsia="zh-CN"/>
        </w:rPr>
        <w:t>4</w:t>
      </w:r>
      <w:r>
        <w:rPr>
          <w:rFonts w:hint="eastAsia" w:ascii="仿宋_GB2312" w:eastAsia="仿宋_GB2312"/>
          <w:sz w:val="32"/>
          <w:szCs w:val="32"/>
        </w:rPr>
        <w:t>年度预算编制阶段，</w:t>
      </w:r>
      <w:r>
        <w:rPr>
          <w:rFonts w:hint="eastAsia" w:ascii="仿宋_GB2312" w:eastAsia="仿宋_GB2312"/>
          <w:sz w:val="32"/>
          <w:szCs w:val="32"/>
          <w:lang w:val="en-US" w:eastAsia="zh-CN"/>
        </w:rPr>
        <w:t>特种设备车运行维护费、</w:t>
      </w:r>
      <w:r>
        <w:rPr>
          <w:rFonts w:hint="eastAsia" w:ascii="仿宋" w:hAnsi="仿宋" w:eastAsia="仿宋" w:cs="仿宋"/>
          <w:i w:val="0"/>
          <w:iCs w:val="0"/>
          <w:caps w:val="0"/>
          <w:color w:val="000000"/>
          <w:spacing w:val="0"/>
          <w:sz w:val="32"/>
          <w:szCs w:val="32"/>
          <w:shd w:val="clear" w:fill="FAFAFA"/>
        </w:rPr>
        <w:t>森林防火防控设施配置经费</w:t>
      </w:r>
      <w:r>
        <w:rPr>
          <w:rFonts w:hint="eastAsia" w:ascii="仿宋" w:hAnsi="仿宋" w:eastAsia="仿宋" w:cs="仿宋"/>
          <w:i w:val="0"/>
          <w:iCs w:val="0"/>
          <w:caps w:val="0"/>
          <w:color w:val="000000"/>
          <w:spacing w:val="0"/>
          <w:sz w:val="32"/>
          <w:szCs w:val="32"/>
          <w:shd w:val="clear" w:fill="FAFAFA"/>
          <w:lang w:eastAsia="zh-CN"/>
        </w:rPr>
        <w:t>、</w:t>
      </w:r>
      <w:r>
        <w:rPr>
          <w:rFonts w:hint="eastAsia" w:ascii="仿宋" w:hAnsi="仿宋" w:eastAsia="仿宋" w:cs="仿宋"/>
          <w:i w:val="0"/>
          <w:iCs w:val="0"/>
          <w:caps w:val="0"/>
          <w:color w:val="000000"/>
          <w:spacing w:val="0"/>
          <w:sz w:val="32"/>
          <w:szCs w:val="32"/>
          <w:shd w:val="clear" w:fill="FFFFFF"/>
        </w:rPr>
        <w:t>古树名木保护管理</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i w:val="0"/>
          <w:iCs w:val="0"/>
          <w:caps w:val="0"/>
          <w:color w:val="000000"/>
          <w:spacing w:val="0"/>
          <w:sz w:val="32"/>
          <w:szCs w:val="32"/>
          <w:shd w:val="clear" w:fill="FFFFFF"/>
        </w:rPr>
        <w:t>节假日鲜花栽植</w:t>
      </w:r>
      <w:r>
        <w:rPr>
          <w:rFonts w:hint="eastAsia" w:ascii="仿宋" w:hAnsi="仿宋" w:eastAsia="仿宋" w:cs="仿宋"/>
          <w:i w:val="0"/>
          <w:iCs w:val="0"/>
          <w:caps w:val="0"/>
          <w:color w:val="000000"/>
          <w:spacing w:val="0"/>
          <w:sz w:val="32"/>
          <w:szCs w:val="32"/>
          <w:shd w:val="clear" w:fill="FFFFFF"/>
          <w:lang w:eastAsia="zh-CN"/>
        </w:rPr>
        <w:t>、</w:t>
      </w:r>
      <w:r>
        <w:rPr>
          <w:rFonts w:hint="eastAsia" w:ascii="仿宋" w:hAnsi="仿宋" w:eastAsia="仿宋" w:cs="仿宋"/>
          <w:i w:val="0"/>
          <w:iCs w:val="0"/>
          <w:caps w:val="0"/>
          <w:color w:val="000000"/>
          <w:spacing w:val="0"/>
          <w:sz w:val="32"/>
          <w:szCs w:val="32"/>
          <w:shd w:val="clear" w:fill="FFFFFF"/>
        </w:rPr>
        <w:t>城区绿化维护管理</w:t>
      </w:r>
      <w:r>
        <w:rPr>
          <w:rFonts w:hint="eastAsia" w:ascii="仿宋" w:hAnsi="仿宋" w:eastAsia="仿宋" w:cs="仿宋"/>
          <w:sz w:val="32"/>
          <w:szCs w:val="32"/>
        </w:rPr>
        <w:t>等</w:t>
      </w:r>
      <w:r>
        <w:rPr>
          <w:rFonts w:hint="eastAsia" w:ascii="仿宋" w:hAnsi="仿宋" w:eastAsia="仿宋" w:cs="仿宋"/>
          <w:sz w:val="32"/>
          <w:szCs w:val="32"/>
          <w:lang w:val="en-US" w:eastAsia="zh-CN"/>
        </w:rPr>
        <w:t>5</w:t>
      </w:r>
      <w:r>
        <w:rPr>
          <w:rFonts w:hint="eastAsia" w:ascii="仿宋" w:hAnsi="仿宋" w:eastAsia="仿宋" w:cs="仿宋"/>
          <w:sz w:val="32"/>
          <w:szCs w:val="32"/>
        </w:rPr>
        <w:t>个项目开展了预算事前绩效评估，对</w:t>
      </w:r>
      <w:r>
        <w:rPr>
          <w:rFonts w:hint="eastAsia" w:ascii="仿宋" w:hAnsi="仿宋" w:eastAsia="仿宋" w:cs="仿宋"/>
          <w:sz w:val="32"/>
          <w:szCs w:val="32"/>
          <w:lang w:val="en-US" w:eastAsia="zh-CN"/>
        </w:rPr>
        <w:t>5</w:t>
      </w:r>
      <w:r>
        <w:rPr>
          <w:rFonts w:hint="eastAsia" w:ascii="仿宋" w:hAnsi="仿宋" w:eastAsia="仿宋" w:cs="仿宋"/>
          <w:sz w:val="32"/>
          <w:szCs w:val="32"/>
        </w:rPr>
        <w:t>个项目编制了绩效目标，预算执行过程中，选取</w:t>
      </w:r>
      <w:r>
        <w:rPr>
          <w:rFonts w:hint="eastAsia" w:ascii="仿宋" w:hAnsi="仿宋" w:eastAsia="仿宋" w:cs="仿宋"/>
          <w:sz w:val="32"/>
          <w:szCs w:val="32"/>
          <w:lang w:val="en-US" w:eastAsia="zh-CN"/>
        </w:rPr>
        <w:t>5</w:t>
      </w:r>
      <w:r>
        <w:rPr>
          <w:rFonts w:hint="eastAsia" w:ascii="仿宋" w:hAnsi="仿宋" w:eastAsia="仿宋" w:cs="仿宋"/>
          <w:sz w:val="32"/>
          <w:szCs w:val="32"/>
        </w:rPr>
        <w:t>个项目开展绩效监控，组织对</w:t>
      </w:r>
      <w:r>
        <w:rPr>
          <w:rFonts w:hint="eastAsia" w:ascii="仿宋" w:hAnsi="仿宋" w:eastAsia="仿宋" w:cs="仿宋"/>
          <w:sz w:val="32"/>
          <w:szCs w:val="32"/>
          <w:lang w:val="en-US" w:eastAsia="zh-CN"/>
        </w:rPr>
        <w:t>5</w:t>
      </w:r>
      <w:r>
        <w:rPr>
          <w:rFonts w:hint="eastAsia" w:ascii="仿宋" w:hAnsi="仿宋" w:eastAsia="仿宋" w:cs="仿宋"/>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5"/>
        </w:numPr>
        <w:spacing w:line="600" w:lineRule="exact"/>
        <w:ind w:firstLine="660" w:firstLineChars="150"/>
        <w:jc w:val="center"/>
        <w:outlineLvl w:val="0"/>
        <w:rPr>
          <w:rStyle w:val="27"/>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7"/>
          <w:rFonts w:hint="eastAsia" w:ascii="黑体" w:hAnsi="黑体" w:eastAsia="黑体"/>
          <w:b w:val="0"/>
        </w:rPr>
        <w:t>词解释</w:t>
      </w:r>
      <w:bookmarkEnd w:id="49"/>
      <w:bookmarkEnd w:id="50"/>
    </w:p>
    <w:p>
      <w:pPr>
        <w:spacing w:line="600" w:lineRule="exact"/>
        <w:jc w:val="left"/>
        <w:rPr>
          <w:rFonts w:ascii="宋体"/>
          <w:b/>
          <w:sz w:val="44"/>
          <w:szCs w:val="44"/>
        </w:rPr>
      </w:pP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事业收入：指事业单位开展专业业务活动及辅助活动取得的收入。如…（二级预算单位事业收入情况）等。</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经营收入：指事业单位在专业业务活动及其辅助活动之外开展非独立核算经营活动取得的收入。如…（二级预算单位经营收入情况）等。</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其他收入：指单位取得的除上述收入以外的各项收入。主要是…（收入类型）等。</w:t>
      </w:r>
      <w:r>
        <w:rPr>
          <w:rFonts w:ascii="仿宋_GB2312" w:eastAsia="仿宋_GB2312"/>
          <w:color w:val="auto"/>
          <w:sz w:val="32"/>
          <w:szCs w:val="32"/>
        </w:rPr>
        <w:t xml:space="preserve"> </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一般公共服务（类）…（款）…（项）：指……。</w:t>
      </w:r>
    </w:p>
    <w:p>
      <w:pPr>
        <w:ind w:firstLine="640" w:firstLineChars="200"/>
        <w:rPr>
          <w:rFonts w:ascii="仿宋_GB2312" w:eastAsia="仿宋_GB2312"/>
          <w:sz w:val="32"/>
          <w:szCs w:val="32"/>
        </w:rPr>
      </w:pPr>
      <w:r>
        <w:rPr>
          <w:rFonts w:ascii="仿宋_GB2312" w:eastAsia="仿宋_GB2312"/>
          <w:sz w:val="32"/>
          <w:szCs w:val="32"/>
        </w:rPr>
        <w:t>10.</w:t>
      </w:r>
      <w:r>
        <w:rPr>
          <w:rFonts w:hint="eastAsia" w:ascii="仿宋_GB2312" w:eastAsia="仿宋_GB2312"/>
          <w:sz w:val="32"/>
          <w:szCs w:val="32"/>
        </w:rPr>
        <w:t>外交（类）…（款）…（项）：指……。</w:t>
      </w:r>
    </w:p>
    <w:p>
      <w:pPr>
        <w:ind w:firstLine="640" w:firstLineChars="200"/>
        <w:rPr>
          <w:rFonts w:ascii="仿宋_GB2312" w:eastAsia="仿宋_GB2312"/>
          <w:sz w:val="32"/>
          <w:szCs w:val="32"/>
        </w:rPr>
      </w:pPr>
      <w:r>
        <w:rPr>
          <w:rFonts w:ascii="仿宋_GB2312" w:eastAsia="仿宋_GB2312"/>
          <w:sz w:val="32"/>
          <w:szCs w:val="32"/>
        </w:rPr>
        <w:t>11.</w:t>
      </w:r>
      <w:r>
        <w:rPr>
          <w:rFonts w:hint="eastAsia" w:ascii="仿宋_GB2312" w:eastAsia="仿宋_GB2312"/>
          <w:sz w:val="32"/>
          <w:szCs w:val="32"/>
        </w:rPr>
        <w:t>公共安全（类）…（款）…（项）：指……。</w:t>
      </w:r>
    </w:p>
    <w:p>
      <w:pPr>
        <w:ind w:firstLine="640" w:firstLineChars="200"/>
        <w:rPr>
          <w:rFonts w:ascii="仿宋_GB2312" w:eastAsia="仿宋_GB2312"/>
          <w:sz w:val="32"/>
          <w:szCs w:val="32"/>
        </w:rPr>
      </w:pPr>
      <w:r>
        <w:rPr>
          <w:rFonts w:ascii="仿宋_GB2312" w:eastAsia="仿宋_GB2312"/>
          <w:sz w:val="32"/>
          <w:szCs w:val="32"/>
        </w:rPr>
        <w:t>12.</w:t>
      </w:r>
      <w:r>
        <w:rPr>
          <w:rFonts w:hint="eastAsia" w:ascii="仿宋_GB2312" w:eastAsia="仿宋_GB2312"/>
          <w:sz w:val="32"/>
          <w:szCs w:val="32"/>
        </w:rPr>
        <w:t>教育（类）…（款）…（项）：指……。</w:t>
      </w:r>
    </w:p>
    <w:p>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科学技术（类）…（款）…（项）：指……。</w:t>
      </w:r>
    </w:p>
    <w:p>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文化旅游体育与传媒（类）…（款）…（项）：指……。</w:t>
      </w:r>
    </w:p>
    <w:p>
      <w:pPr>
        <w:ind w:firstLine="640" w:firstLineChars="200"/>
        <w:rPr>
          <w:rFonts w:ascii="仿宋_GB2312" w:eastAsia="仿宋_GB2312"/>
          <w:sz w:val="32"/>
          <w:szCs w:val="32"/>
        </w:rPr>
      </w:pPr>
      <w:r>
        <w:rPr>
          <w:rFonts w:ascii="仿宋_GB2312" w:eastAsia="仿宋_GB2312"/>
          <w:sz w:val="32"/>
          <w:szCs w:val="32"/>
        </w:rPr>
        <w:t>15.</w:t>
      </w:r>
      <w:r>
        <w:rPr>
          <w:rFonts w:hint="eastAsia" w:ascii="仿宋_GB2312" w:eastAsia="仿宋_GB2312"/>
          <w:sz w:val="32"/>
          <w:szCs w:val="32"/>
        </w:rPr>
        <w:t>社会保障和就业（类）…（款）…（项）：指……。</w:t>
      </w:r>
    </w:p>
    <w:p>
      <w:pPr>
        <w:ind w:firstLine="640" w:firstLineChars="200"/>
        <w:rPr>
          <w:rFonts w:ascii="仿宋_GB2312" w:eastAsia="仿宋_GB2312"/>
          <w:sz w:val="32"/>
          <w:szCs w:val="32"/>
        </w:rPr>
      </w:pPr>
      <w:r>
        <w:rPr>
          <w:rFonts w:ascii="仿宋_GB2312" w:eastAsia="仿宋_GB2312"/>
          <w:sz w:val="32"/>
          <w:szCs w:val="32"/>
        </w:rPr>
        <w:t>16.</w:t>
      </w:r>
      <w:r>
        <w:rPr>
          <w:rFonts w:hint="eastAsia" w:ascii="仿宋_GB2312" w:eastAsia="仿宋_GB2312"/>
          <w:sz w:val="32"/>
          <w:szCs w:val="32"/>
        </w:rPr>
        <w:t>卫生健康（类）…（款）…（项）：指……。</w:t>
      </w:r>
    </w:p>
    <w:p>
      <w:pPr>
        <w:ind w:firstLine="640" w:firstLineChars="200"/>
        <w:rPr>
          <w:rFonts w:ascii="仿宋_GB2312" w:eastAsia="仿宋_GB2312"/>
          <w:sz w:val="32"/>
          <w:szCs w:val="32"/>
        </w:rPr>
      </w:pPr>
      <w:r>
        <w:rPr>
          <w:rFonts w:ascii="仿宋_GB2312" w:eastAsia="仿宋_GB2312"/>
          <w:sz w:val="32"/>
          <w:szCs w:val="32"/>
        </w:rPr>
        <w:t>17.</w:t>
      </w:r>
      <w:r>
        <w:rPr>
          <w:rFonts w:hint="eastAsia" w:ascii="仿宋_GB2312" w:eastAsia="仿宋_GB2312"/>
          <w:sz w:val="32"/>
          <w:szCs w:val="32"/>
        </w:rPr>
        <w:t>节能环保（类）…（款）…（项）：指……。</w:t>
      </w:r>
    </w:p>
    <w:p>
      <w:pPr>
        <w:ind w:firstLine="640" w:firstLineChars="200"/>
        <w:rPr>
          <w:rFonts w:ascii="仿宋_GB2312" w:eastAsia="仿宋_GB2312"/>
          <w:sz w:val="32"/>
          <w:szCs w:val="32"/>
        </w:rPr>
      </w:pPr>
      <w:r>
        <w:rPr>
          <w:rFonts w:ascii="仿宋_GB2312" w:eastAsia="仿宋_GB2312"/>
          <w:sz w:val="32"/>
          <w:szCs w:val="32"/>
        </w:rPr>
        <w:t>18.</w:t>
      </w:r>
      <w:r>
        <w:rPr>
          <w:rFonts w:hint="eastAsia" w:ascii="仿宋_GB2312" w:eastAsia="仿宋_GB2312"/>
          <w:sz w:val="32"/>
          <w:szCs w:val="32"/>
        </w:rPr>
        <w:t>城乡社区（类）…（款）…（项）：指……。</w:t>
      </w:r>
    </w:p>
    <w:p>
      <w:pPr>
        <w:ind w:firstLine="640" w:firstLineChars="200"/>
        <w:rPr>
          <w:rFonts w:ascii="仿宋_GB2312" w:eastAsia="仿宋_GB2312"/>
          <w:sz w:val="32"/>
          <w:szCs w:val="32"/>
        </w:rPr>
      </w:pPr>
      <w:r>
        <w:rPr>
          <w:rFonts w:ascii="仿宋_GB2312" w:eastAsia="仿宋_GB2312"/>
          <w:sz w:val="32"/>
          <w:szCs w:val="32"/>
        </w:rPr>
        <w:t>19.</w:t>
      </w:r>
      <w:r>
        <w:rPr>
          <w:rFonts w:hint="eastAsia" w:ascii="仿宋_GB2312" w:eastAsia="仿宋_GB2312"/>
          <w:sz w:val="32"/>
          <w:szCs w:val="32"/>
        </w:rPr>
        <w:t>农林水（类）…（款）…（项）：指……。</w:t>
      </w:r>
    </w:p>
    <w:p>
      <w:pPr>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交通运输（类）…（款）…（项）：指……。</w:t>
      </w:r>
    </w:p>
    <w:p>
      <w:pPr>
        <w:ind w:firstLine="640" w:firstLineChars="200"/>
        <w:rPr>
          <w:rFonts w:ascii="仿宋_GB2312" w:eastAsia="仿宋_GB2312"/>
          <w:sz w:val="32"/>
          <w:szCs w:val="32"/>
        </w:rPr>
      </w:pPr>
      <w:r>
        <w:rPr>
          <w:rFonts w:ascii="仿宋_GB2312" w:eastAsia="仿宋_GB2312"/>
          <w:sz w:val="32"/>
          <w:szCs w:val="32"/>
        </w:rPr>
        <w:t>21.</w:t>
      </w:r>
      <w:r>
        <w:rPr>
          <w:rFonts w:hint="eastAsia" w:ascii="仿宋_GB2312" w:eastAsia="仿宋_GB2312"/>
          <w:sz w:val="32"/>
          <w:szCs w:val="32"/>
        </w:rPr>
        <w:t>资源勘探工业信息等（类）…（款）…（项）：指……。</w:t>
      </w:r>
    </w:p>
    <w:p>
      <w:pPr>
        <w:ind w:firstLine="640" w:firstLineChars="200"/>
        <w:rPr>
          <w:rFonts w:ascii="仿宋_GB2312" w:eastAsia="仿宋_GB2312"/>
          <w:sz w:val="32"/>
          <w:szCs w:val="32"/>
        </w:rPr>
      </w:pPr>
      <w:r>
        <w:rPr>
          <w:rFonts w:ascii="仿宋_GB2312" w:eastAsia="仿宋_GB2312"/>
          <w:sz w:val="32"/>
          <w:szCs w:val="32"/>
        </w:rPr>
        <w:t>22.</w:t>
      </w:r>
      <w:r>
        <w:rPr>
          <w:rFonts w:hint="eastAsia" w:ascii="仿宋_GB2312" w:eastAsia="仿宋_GB2312"/>
          <w:sz w:val="32"/>
          <w:szCs w:val="32"/>
        </w:rPr>
        <w:t>商业服务业（类）…（款）…（项）：指……。</w:t>
      </w:r>
    </w:p>
    <w:p>
      <w:pPr>
        <w:ind w:firstLine="640" w:firstLineChars="200"/>
        <w:rPr>
          <w:rFonts w:ascii="仿宋_GB2312" w:eastAsia="仿宋_GB2312"/>
          <w:sz w:val="32"/>
          <w:szCs w:val="32"/>
        </w:rPr>
      </w:pPr>
      <w:r>
        <w:rPr>
          <w:rFonts w:ascii="仿宋_GB2312" w:eastAsia="仿宋_GB2312"/>
          <w:sz w:val="32"/>
          <w:szCs w:val="32"/>
        </w:rPr>
        <w:t>23.</w:t>
      </w:r>
      <w:r>
        <w:rPr>
          <w:rFonts w:hint="eastAsia" w:ascii="仿宋_GB2312" w:eastAsia="仿宋_GB2312"/>
          <w:sz w:val="32"/>
          <w:szCs w:val="32"/>
        </w:rPr>
        <w:t>金融（类）…（款）…（项）：指……。</w:t>
      </w:r>
    </w:p>
    <w:p>
      <w:pPr>
        <w:ind w:firstLine="640" w:firstLineChars="200"/>
        <w:rPr>
          <w:rFonts w:ascii="仿宋_GB2312" w:eastAsia="仿宋_GB2312"/>
          <w:sz w:val="32"/>
          <w:szCs w:val="32"/>
        </w:rPr>
      </w:pPr>
      <w:r>
        <w:rPr>
          <w:rFonts w:ascii="仿宋_GB2312" w:eastAsia="仿宋_GB2312"/>
          <w:sz w:val="32"/>
          <w:szCs w:val="32"/>
        </w:rPr>
        <w:t>24.</w:t>
      </w:r>
      <w:r>
        <w:rPr>
          <w:rFonts w:hint="eastAsia" w:ascii="仿宋_GB2312" w:eastAsia="仿宋_GB2312"/>
          <w:sz w:val="32"/>
          <w:szCs w:val="32"/>
        </w:rPr>
        <w:t>自然资源海洋气象等（类）…（款）…（项）：指……。</w:t>
      </w:r>
    </w:p>
    <w:p>
      <w:pPr>
        <w:ind w:firstLine="640" w:firstLineChars="200"/>
        <w:rPr>
          <w:rFonts w:ascii="仿宋_GB2312" w:eastAsia="仿宋_GB2312"/>
          <w:sz w:val="32"/>
          <w:szCs w:val="32"/>
        </w:rPr>
      </w:pPr>
      <w:r>
        <w:rPr>
          <w:rFonts w:ascii="仿宋_GB2312" w:eastAsia="仿宋_GB2312"/>
          <w:sz w:val="32"/>
          <w:szCs w:val="32"/>
        </w:rPr>
        <w:t>25.</w:t>
      </w:r>
      <w:r>
        <w:rPr>
          <w:rFonts w:hint="eastAsia" w:ascii="仿宋_GB2312" w:eastAsia="仿宋_GB2312"/>
          <w:sz w:val="32"/>
          <w:szCs w:val="32"/>
        </w:rPr>
        <w:t>住房保障（类）…（款）…（项）：指……。</w:t>
      </w:r>
    </w:p>
    <w:p>
      <w:pPr>
        <w:ind w:firstLine="640" w:firstLineChars="200"/>
        <w:rPr>
          <w:rFonts w:ascii="仿宋_GB2312" w:eastAsia="仿宋_GB2312"/>
          <w:sz w:val="32"/>
          <w:szCs w:val="32"/>
        </w:rPr>
      </w:pPr>
      <w:r>
        <w:rPr>
          <w:rFonts w:ascii="仿宋_GB2312" w:eastAsia="仿宋_GB2312"/>
          <w:sz w:val="32"/>
          <w:szCs w:val="32"/>
        </w:rPr>
        <w:t>26.</w:t>
      </w:r>
      <w:r>
        <w:rPr>
          <w:rFonts w:hint="eastAsia" w:ascii="仿宋_GB2312" w:eastAsia="仿宋_GB2312"/>
          <w:sz w:val="32"/>
          <w:szCs w:val="32"/>
        </w:rPr>
        <w:t>粮油物资储备（类）…（款）…（项）：指……。</w:t>
      </w:r>
    </w:p>
    <w:p>
      <w:pPr>
        <w:ind w:firstLine="640" w:firstLineChars="200"/>
        <w:rPr>
          <w:rFonts w:ascii="仿宋_GB2312" w:eastAsia="仿宋_GB2312"/>
          <w:sz w:val="32"/>
          <w:szCs w:val="32"/>
        </w:rPr>
      </w:pP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w:t>
      </w:r>
    </w:p>
    <w:p>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（解释本单位决算报表中涉及的全部功能分类科目至项级，不涉及的科目请自行删除。请参照《202</w:t>
      </w:r>
      <w:r>
        <w:rPr>
          <w:rFonts w:hint="eastAsia" w:ascii="仿宋" w:hAnsi="仿宋" w:eastAsia="仿宋"/>
          <w:b/>
          <w:sz w:val="32"/>
          <w:szCs w:val="32"/>
          <w:lang w:val="en-US" w:eastAsia="zh-CN"/>
        </w:rPr>
        <w:t>4</w:t>
      </w:r>
      <w:r>
        <w:rPr>
          <w:rFonts w:hint="eastAsia" w:ascii="仿宋" w:hAnsi="仿宋" w:eastAsia="仿宋"/>
          <w:b/>
          <w:sz w:val="32"/>
          <w:szCs w:val="32"/>
        </w:rPr>
        <w:t>年政府收支分类科目》增减内容。）</w:t>
      </w:r>
    </w:p>
    <w:p>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bookmarkStart w:id="67" w:name="_GoBack"/>
      <w:bookmarkEnd w:id="67"/>
    </w:p>
    <w:p>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5"/>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32.</w:t>
      </w:r>
      <w:r>
        <w:rPr>
          <w:rFonts w:hint="eastAsia" w:ascii="仿宋_GB2312" w:eastAsia="仿宋_GB2312"/>
          <w:color w:val="auto"/>
          <w:sz w:val="32"/>
          <w:szCs w:val="32"/>
        </w:rPr>
        <w:t>……。</w:t>
      </w:r>
    </w:p>
    <w:p>
      <w:pPr>
        <w:pStyle w:val="25"/>
        <w:spacing w:line="560" w:lineRule="exact"/>
        <w:ind w:firstLine="640" w:firstLineChars="200"/>
        <w:rPr>
          <w:rFonts w:ascii="仿宋_GB2312" w:eastAsia="仿宋_GB2312" w:cs="黑体"/>
          <w:color w:val="auto"/>
          <w:sz w:val="32"/>
          <w:szCs w:val="32"/>
        </w:rPr>
      </w:pPr>
    </w:p>
    <w:p>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pPr>
        <w:spacing w:line="600" w:lineRule="exact"/>
        <w:jc w:val="center"/>
        <w:outlineLvl w:val="0"/>
        <w:rPr>
          <w:rStyle w:val="27"/>
          <w:rFonts w:ascii="黑体" w:hAnsi="黑体" w:eastAsia="黑体"/>
          <w:b w:val="0"/>
        </w:rPr>
      </w:pPr>
      <w:bookmarkStart w:id="51" w:name="_Toc15377226"/>
      <w:r>
        <w:rPr>
          <w:rFonts w:ascii="宋体"/>
          <w:b/>
          <w:sz w:val="44"/>
          <w:szCs w:val="44"/>
        </w:rPr>
        <w:br w:type="page"/>
      </w:r>
      <w:bookmarkStart w:id="52" w:name="_Toc15396614"/>
      <w:r>
        <w:rPr>
          <w:rFonts w:hint="eastAsia" w:ascii="黑体" w:hAnsi="黑体" w:eastAsia="黑体"/>
          <w:sz w:val="44"/>
          <w:szCs w:val="44"/>
        </w:rPr>
        <w:t>第</w:t>
      </w:r>
      <w:r>
        <w:rPr>
          <w:rStyle w:val="27"/>
          <w:rFonts w:hint="eastAsia" w:ascii="黑体" w:hAnsi="黑体" w:eastAsia="黑体"/>
          <w:b w:val="0"/>
        </w:rPr>
        <w:t>四部分 附件</w:t>
      </w:r>
      <w:bookmarkEnd w:id="52"/>
    </w:p>
    <w:p>
      <w:pPr>
        <w:spacing w:line="572" w:lineRule="exact"/>
        <w:jc w:val="left"/>
        <w:outlineLvl w:val="0"/>
        <w:rPr>
          <w:rFonts w:ascii="仿宋_GB2312" w:hAnsi="仿宋_GB2312" w:eastAsia="仿宋_GB2312" w:cs="仿宋_GB2312"/>
          <w:sz w:val="32"/>
          <w:szCs w:val="32"/>
        </w:rPr>
      </w:pPr>
    </w:p>
    <w:p>
      <w:pPr>
        <w:spacing w:line="600" w:lineRule="exact"/>
        <w:jc w:val="center"/>
        <w:outlineLvl w:val="0"/>
        <w:rPr>
          <w:rFonts w:ascii="黑体" w:hAnsi="黑体" w:eastAsia="黑体"/>
          <w:color w:val="FF0000"/>
          <w:sz w:val="44"/>
          <w:szCs w:val="44"/>
        </w:rPr>
      </w:pPr>
      <w:bookmarkStart w:id="53" w:name="_Toc15396618"/>
      <w:r>
        <w:rPr>
          <w:rFonts w:hint="eastAsia"/>
          <w:sz w:val="32"/>
          <w:szCs w:val="32"/>
        </w:rPr>
        <w:t>部门预算项目支出绩效自评表（202</w:t>
      </w:r>
      <w:r>
        <w:rPr>
          <w:rFonts w:hint="eastAsia"/>
          <w:sz w:val="32"/>
          <w:szCs w:val="32"/>
          <w:lang w:val="en-US" w:eastAsia="zh-CN"/>
        </w:rPr>
        <w:t>4</w:t>
      </w:r>
      <w:r>
        <w:rPr>
          <w:rFonts w:hint="eastAsia"/>
          <w:sz w:val="32"/>
          <w:szCs w:val="32"/>
        </w:rPr>
        <w:t>年度）</w:t>
      </w:r>
    </w:p>
    <w:p>
      <w:pPr>
        <w:pStyle w:val="13"/>
        <w:spacing w:line="560" w:lineRule="exact"/>
        <w:ind w:left="0" w:leftChars="0" w:firstLine="640"/>
        <w:rPr>
          <w:sz w:val="32"/>
        </w:rPr>
      </w:pPr>
    </w:p>
    <w:p>
      <w:pPr>
        <w:pStyle w:val="13"/>
        <w:spacing w:line="560" w:lineRule="exact"/>
        <w:ind w:left="0" w:leftChars="0" w:firstLine="640"/>
        <w:rPr>
          <w:rFonts w:hAnsi="Calibri" w:eastAsia="仿宋_GB2312" w:cs="仿宋"/>
          <w:sz w:val="32"/>
          <w:lang w:val="zh-CN"/>
        </w:rPr>
      </w:pPr>
      <w:r>
        <w:rPr>
          <w:rFonts w:hint="eastAsia" w:hAnsi="Calibri" w:eastAsia="仿宋_GB2312" w:cs="仿宋"/>
          <w:sz w:val="32"/>
        </w:rPr>
        <w:t>（备注：按照绩效自评工作安排，各单位可在预算管理一体化系统—综合报表查询—预算绩效报表模块中下载本单位“部门预算项目支出绩效自评表（202</w:t>
      </w:r>
      <w:r>
        <w:rPr>
          <w:rFonts w:hint="eastAsia" w:hAnsi="Calibri" w:eastAsia="仿宋_GB2312" w:cs="仿宋"/>
          <w:sz w:val="32"/>
          <w:lang w:val="en-US" w:eastAsia="zh-CN"/>
        </w:rPr>
        <w:t>4</w:t>
      </w:r>
      <w:r>
        <w:rPr>
          <w:rFonts w:hint="eastAsia" w:hAnsi="Calibri" w:eastAsia="仿宋_GB2312" w:cs="仿宋"/>
          <w:sz w:val="32"/>
        </w:rPr>
        <w:t>年度）”，该表格应作为附件予以公开。）</w:t>
      </w: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pStyle w:val="2"/>
        <w:spacing w:before="93"/>
        <w:rPr>
          <w:rFonts w:hAnsi="Calibri" w:cs="仿宋"/>
          <w:sz w:val="32"/>
          <w:szCs w:val="32"/>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7"/>
          <w:rFonts w:hint="eastAsia" w:ascii="黑体" w:hAnsi="黑体" w:eastAsia="黑体"/>
          <w:b w:val="0"/>
        </w:rPr>
        <w:t>五部分 附表</w:t>
      </w:r>
      <w:bookmarkEnd w:id="51"/>
      <w:bookmarkEnd w:id="53"/>
      <w:bookmarkStart w:id="54" w:name="_Toc15396619"/>
    </w:p>
    <w:p>
      <w:pPr>
        <w:pStyle w:val="4"/>
        <w:rPr>
          <w:rFonts w:ascii="仿宋" w:hAnsi="仿宋" w:eastAsia="仿宋"/>
        </w:rPr>
      </w:pPr>
      <w:r>
        <w:rPr>
          <w:rFonts w:hint="eastAsia" w:ascii="仿宋" w:hAnsi="仿宋" w:eastAsia="仿宋"/>
          <w:b w:val="0"/>
        </w:rPr>
        <w:t>一、收</w:t>
      </w:r>
      <w:r>
        <w:rPr>
          <w:rStyle w:val="28"/>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28"/>
          <w:rFonts w:hint="eastAsia" w:ascii="仿宋" w:hAnsi="仿宋" w:eastAsia="仿宋"/>
          <w:b w:val="0"/>
          <w:bCs w:val="0"/>
        </w:rPr>
        <w:t>入决算表</w:t>
      </w:r>
      <w:bookmarkEnd w:id="55"/>
    </w:p>
    <w:p>
      <w:pPr>
        <w:pStyle w:val="4"/>
        <w:rPr>
          <w:rFonts w:ascii="仿宋" w:hAnsi="仿宋" w:eastAsia="仿宋"/>
        </w:rPr>
      </w:pPr>
      <w:bookmarkStart w:id="56" w:name="_Toc15396621"/>
      <w:r>
        <w:rPr>
          <w:rStyle w:val="28"/>
          <w:rFonts w:hint="eastAsia" w:ascii="仿宋" w:hAnsi="仿宋" w:eastAsia="仿宋"/>
          <w:b w:val="0"/>
          <w:bCs w:val="0"/>
        </w:rPr>
        <w:t>三、</w:t>
      </w:r>
      <w:r>
        <w:rPr>
          <w:rFonts w:hint="eastAsia" w:ascii="仿宋" w:hAnsi="仿宋" w:eastAsia="仿宋"/>
          <w:b w:val="0"/>
        </w:rPr>
        <w:t>支</w:t>
      </w:r>
      <w:r>
        <w:rPr>
          <w:rStyle w:val="28"/>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28"/>
          <w:rFonts w:hint="eastAsia" w:ascii="仿宋" w:hAnsi="仿宋" w:eastAsia="仿宋"/>
          <w:b w:val="0"/>
          <w:bCs w:val="0"/>
        </w:rPr>
        <w:t>四、</w:t>
      </w:r>
      <w:r>
        <w:rPr>
          <w:rFonts w:hint="eastAsia" w:ascii="仿宋" w:hAnsi="仿宋" w:eastAsia="仿宋"/>
          <w:b w:val="0"/>
        </w:rPr>
        <w:t>财</w:t>
      </w:r>
      <w:r>
        <w:rPr>
          <w:rStyle w:val="28"/>
          <w:rFonts w:hint="eastAsia" w:ascii="仿宋" w:hAnsi="仿宋" w:eastAsia="仿宋"/>
          <w:b w:val="0"/>
          <w:bCs w:val="0"/>
        </w:rPr>
        <w:t>政拨款收入支出决算总表</w:t>
      </w:r>
      <w:bookmarkEnd w:id="57"/>
    </w:p>
    <w:p>
      <w:pPr>
        <w:pStyle w:val="4"/>
        <w:rPr>
          <w:rStyle w:val="28"/>
          <w:rFonts w:ascii="仿宋" w:hAnsi="仿宋" w:eastAsia="仿宋"/>
          <w:b w:val="0"/>
          <w:bCs w:val="0"/>
        </w:rPr>
      </w:pPr>
      <w:bookmarkStart w:id="58" w:name="_Toc15396623"/>
      <w:r>
        <w:rPr>
          <w:rStyle w:val="28"/>
          <w:rFonts w:hint="eastAsia" w:ascii="仿宋" w:hAnsi="仿宋" w:eastAsia="仿宋"/>
          <w:b w:val="0"/>
          <w:bCs w:val="0"/>
        </w:rPr>
        <w:t>五、</w:t>
      </w:r>
      <w:r>
        <w:rPr>
          <w:rFonts w:hint="eastAsia" w:ascii="仿宋" w:hAnsi="仿宋" w:eastAsia="仿宋"/>
          <w:b w:val="0"/>
        </w:rPr>
        <w:t>财</w:t>
      </w:r>
      <w:r>
        <w:rPr>
          <w:rStyle w:val="28"/>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28"/>
          <w:rFonts w:hint="eastAsia" w:ascii="仿宋" w:hAnsi="仿宋" w:eastAsia="仿宋"/>
          <w:b w:val="0"/>
          <w:bCs w:val="0"/>
        </w:rPr>
        <w:t>六、</w:t>
      </w:r>
      <w:r>
        <w:rPr>
          <w:rFonts w:hint="eastAsia" w:ascii="仿宋" w:hAnsi="仿宋" w:eastAsia="仿宋"/>
          <w:b w:val="0"/>
        </w:rPr>
        <w:t>一</w:t>
      </w:r>
      <w:r>
        <w:rPr>
          <w:rStyle w:val="28"/>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28"/>
          <w:rFonts w:hint="eastAsia" w:ascii="仿宋" w:hAnsi="仿宋" w:eastAsia="仿宋"/>
          <w:b w:val="0"/>
          <w:bCs w:val="0"/>
        </w:rPr>
        <w:t>七、</w:t>
      </w:r>
      <w:r>
        <w:rPr>
          <w:rFonts w:hint="eastAsia" w:ascii="仿宋" w:hAnsi="仿宋" w:eastAsia="仿宋"/>
          <w:b w:val="0"/>
        </w:rPr>
        <w:t>一</w:t>
      </w:r>
      <w:r>
        <w:rPr>
          <w:rStyle w:val="28"/>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28"/>
          <w:rFonts w:hint="eastAsia" w:ascii="仿宋" w:hAnsi="仿宋" w:eastAsia="仿宋"/>
          <w:b w:val="0"/>
          <w:bCs w:val="0"/>
        </w:rPr>
        <w:t>八、</w:t>
      </w:r>
      <w:r>
        <w:rPr>
          <w:rFonts w:hint="eastAsia" w:ascii="仿宋" w:hAnsi="仿宋" w:eastAsia="仿宋"/>
          <w:b w:val="0"/>
        </w:rPr>
        <w:t>一</w:t>
      </w:r>
      <w:r>
        <w:rPr>
          <w:rStyle w:val="28"/>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28"/>
          <w:rFonts w:hint="eastAsia" w:ascii="仿宋" w:hAnsi="仿宋" w:eastAsia="仿宋"/>
          <w:b w:val="0"/>
          <w:bCs w:val="0"/>
        </w:rPr>
        <w:t>九、</w:t>
      </w:r>
      <w:r>
        <w:rPr>
          <w:rFonts w:hint="eastAsia" w:ascii="仿宋" w:hAnsi="仿宋" w:eastAsia="仿宋"/>
          <w:b w:val="0"/>
        </w:rPr>
        <w:t>一</w:t>
      </w:r>
      <w:r>
        <w:rPr>
          <w:rStyle w:val="28"/>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28"/>
          <w:rFonts w:hint="eastAsia" w:ascii="仿宋" w:hAnsi="仿宋" w:eastAsia="仿宋"/>
          <w:b w:val="0"/>
          <w:bCs w:val="0"/>
        </w:rPr>
        <w:t>十、</w:t>
      </w:r>
      <w:bookmarkEnd w:id="63"/>
      <w:r>
        <w:rPr>
          <w:rFonts w:hint="eastAsia" w:ascii="仿宋" w:hAnsi="仿宋" w:eastAsia="仿宋"/>
          <w:b w:val="0"/>
        </w:rPr>
        <w:t>政</w:t>
      </w:r>
      <w:r>
        <w:rPr>
          <w:rStyle w:val="28"/>
          <w:rFonts w:hint="eastAsia" w:ascii="仿宋" w:hAnsi="仿宋" w:eastAsia="仿宋"/>
          <w:b w:val="0"/>
          <w:bCs w:val="0"/>
        </w:rPr>
        <w:t>府性基金预算财政拨款收入支出决算表</w:t>
      </w:r>
    </w:p>
    <w:p>
      <w:pPr>
        <w:pStyle w:val="4"/>
        <w:rPr>
          <w:rFonts w:ascii="仿宋" w:hAnsi="仿宋" w:eastAsia="仿宋"/>
        </w:rPr>
      </w:pPr>
      <w:bookmarkStart w:id="64" w:name="_Toc15396629"/>
      <w:r>
        <w:rPr>
          <w:rStyle w:val="28"/>
          <w:rFonts w:hint="eastAsia" w:ascii="仿宋" w:hAnsi="仿宋" w:eastAsia="仿宋"/>
          <w:b w:val="0"/>
          <w:bCs w:val="0"/>
        </w:rPr>
        <w:t>十一、</w:t>
      </w:r>
      <w:bookmarkEnd w:id="64"/>
      <w:r>
        <w:rPr>
          <w:rFonts w:hint="eastAsia" w:ascii="仿宋" w:hAnsi="仿宋" w:eastAsia="仿宋"/>
          <w:b w:val="0"/>
        </w:rPr>
        <w:t>国</w:t>
      </w:r>
      <w:r>
        <w:rPr>
          <w:rStyle w:val="28"/>
          <w:rFonts w:hint="eastAsia" w:ascii="仿宋" w:hAnsi="仿宋" w:eastAsia="仿宋"/>
          <w:b w:val="0"/>
          <w:bCs w:val="0"/>
        </w:rPr>
        <w:t>有资本经营预算财政拨款收入支出决算表</w:t>
      </w:r>
    </w:p>
    <w:p>
      <w:pPr>
        <w:pStyle w:val="4"/>
        <w:rPr>
          <w:rFonts w:ascii="仿宋" w:hAnsi="仿宋" w:eastAsia="仿宋"/>
        </w:rPr>
      </w:pPr>
      <w:bookmarkStart w:id="65" w:name="_Toc15396630"/>
      <w:r>
        <w:rPr>
          <w:rStyle w:val="28"/>
          <w:rFonts w:hint="eastAsia" w:ascii="仿宋" w:hAnsi="仿宋" w:eastAsia="仿宋"/>
          <w:b w:val="0"/>
          <w:bCs w:val="0"/>
        </w:rPr>
        <w:t>十二、</w:t>
      </w:r>
      <w:bookmarkEnd w:id="65"/>
      <w:r>
        <w:rPr>
          <w:rStyle w:val="28"/>
          <w:rFonts w:hint="eastAsia" w:ascii="仿宋" w:hAnsi="仿宋" w:eastAsia="仿宋"/>
          <w:b w:val="0"/>
          <w:bCs w:val="0"/>
        </w:rPr>
        <w:t>国有资本经营预算财政拨款支出决算表</w:t>
      </w:r>
    </w:p>
    <w:p>
      <w:pPr>
        <w:pStyle w:val="4"/>
        <w:rPr>
          <w:rFonts w:eastAsia="仿宋"/>
        </w:rPr>
      </w:pPr>
      <w:bookmarkStart w:id="66" w:name="_Toc15396631"/>
      <w:r>
        <w:rPr>
          <w:rStyle w:val="28"/>
          <w:rFonts w:hint="eastAsia" w:ascii="仿宋" w:hAnsi="仿宋" w:eastAsia="仿宋"/>
          <w:b w:val="0"/>
          <w:bCs w:val="0"/>
        </w:rPr>
        <w:t>十三、</w:t>
      </w:r>
      <w:bookmarkEnd w:id="66"/>
      <w:r>
        <w:rPr>
          <w:rStyle w:val="28"/>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2"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9"/>
          <w:jc w:val="center"/>
        </w:pPr>
        <w:r>
          <w:fldChar w:fldCharType="begin"/>
        </w:r>
        <w:r>
          <w:instrText xml:space="preserve">PAGE   \* MERGEFORMAT</w:instrText>
        </w:r>
        <w:r>
          <w:fldChar w:fldCharType="separate"/>
        </w:r>
        <w:r>
          <w:rPr>
            <w:lang w:val="zh-CN"/>
          </w:rPr>
          <w:t>15</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1F666E60"/>
    <w:multiLevelType w:val="singleLevel"/>
    <w:tmpl w:val="1F666E60"/>
    <w:lvl w:ilvl="0" w:tentative="0">
      <w:start w:val="1"/>
      <w:numFmt w:val="decimal"/>
      <w:lvlText w:val="%1."/>
      <w:lvlJc w:val="left"/>
      <w:pPr>
        <w:tabs>
          <w:tab w:val="left" w:pos="312"/>
        </w:tabs>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zZDU3YzE0ZjczNTI1NTg5MGQxMmQwOTE1MjQ2OTk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72274D4"/>
    <w:rsid w:val="081B5E94"/>
    <w:rsid w:val="09A467A8"/>
    <w:rsid w:val="0A2032A3"/>
    <w:rsid w:val="0A4066B5"/>
    <w:rsid w:val="0B8A37D8"/>
    <w:rsid w:val="0D156236"/>
    <w:rsid w:val="0D837C41"/>
    <w:rsid w:val="0DAE5514"/>
    <w:rsid w:val="0E511175"/>
    <w:rsid w:val="0F5FFB2F"/>
    <w:rsid w:val="0F8C6183"/>
    <w:rsid w:val="0FFFCF60"/>
    <w:rsid w:val="10C055FF"/>
    <w:rsid w:val="10DE1A9A"/>
    <w:rsid w:val="118107EC"/>
    <w:rsid w:val="11DD6519"/>
    <w:rsid w:val="12B15EBF"/>
    <w:rsid w:val="12EB1383"/>
    <w:rsid w:val="167975D2"/>
    <w:rsid w:val="16BB723D"/>
    <w:rsid w:val="18015F3F"/>
    <w:rsid w:val="19AF29D5"/>
    <w:rsid w:val="1AF01086"/>
    <w:rsid w:val="1B370F74"/>
    <w:rsid w:val="1BE8440E"/>
    <w:rsid w:val="1CA16BFC"/>
    <w:rsid w:val="1D155CEE"/>
    <w:rsid w:val="1E84773A"/>
    <w:rsid w:val="1EFF52C1"/>
    <w:rsid w:val="1FDBBF84"/>
    <w:rsid w:val="20F57F95"/>
    <w:rsid w:val="22AC720F"/>
    <w:rsid w:val="240371BF"/>
    <w:rsid w:val="25711CC6"/>
    <w:rsid w:val="25C741E6"/>
    <w:rsid w:val="26456533"/>
    <w:rsid w:val="269E5038"/>
    <w:rsid w:val="276F80C0"/>
    <w:rsid w:val="27842671"/>
    <w:rsid w:val="27893DAB"/>
    <w:rsid w:val="27CD7E83"/>
    <w:rsid w:val="28FE6F32"/>
    <w:rsid w:val="29764647"/>
    <w:rsid w:val="299F0E2B"/>
    <w:rsid w:val="29FD04D3"/>
    <w:rsid w:val="2ABE7A3E"/>
    <w:rsid w:val="2AFF09B6"/>
    <w:rsid w:val="2C31056E"/>
    <w:rsid w:val="2CA234A8"/>
    <w:rsid w:val="2EC66F2D"/>
    <w:rsid w:val="2EFA178C"/>
    <w:rsid w:val="2EFDF86C"/>
    <w:rsid w:val="2F9D17E1"/>
    <w:rsid w:val="30781796"/>
    <w:rsid w:val="30B46D73"/>
    <w:rsid w:val="319F7F4E"/>
    <w:rsid w:val="32E9265D"/>
    <w:rsid w:val="3394151E"/>
    <w:rsid w:val="33D94D19"/>
    <w:rsid w:val="34274EE2"/>
    <w:rsid w:val="34704206"/>
    <w:rsid w:val="356A28F1"/>
    <w:rsid w:val="357C035A"/>
    <w:rsid w:val="35A5124B"/>
    <w:rsid w:val="35F4356D"/>
    <w:rsid w:val="368E000D"/>
    <w:rsid w:val="37215A90"/>
    <w:rsid w:val="374934C6"/>
    <w:rsid w:val="374A401F"/>
    <w:rsid w:val="383D272C"/>
    <w:rsid w:val="38BD72A4"/>
    <w:rsid w:val="39AE70AB"/>
    <w:rsid w:val="39D80072"/>
    <w:rsid w:val="39F727BE"/>
    <w:rsid w:val="3A4DCE41"/>
    <w:rsid w:val="3ACE76F0"/>
    <w:rsid w:val="3BCB56FA"/>
    <w:rsid w:val="3C0C0783"/>
    <w:rsid w:val="3C895777"/>
    <w:rsid w:val="3D977E64"/>
    <w:rsid w:val="3D997887"/>
    <w:rsid w:val="3EE7C2F4"/>
    <w:rsid w:val="3F371B56"/>
    <w:rsid w:val="3F792ED8"/>
    <w:rsid w:val="3F9F3A96"/>
    <w:rsid w:val="3FECA4B2"/>
    <w:rsid w:val="3FF58C48"/>
    <w:rsid w:val="40310913"/>
    <w:rsid w:val="40510728"/>
    <w:rsid w:val="42FF6694"/>
    <w:rsid w:val="43620ADE"/>
    <w:rsid w:val="44C05E9D"/>
    <w:rsid w:val="464055D6"/>
    <w:rsid w:val="4691135C"/>
    <w:rsid w:val="47AF44AD"/>
    <w:rsid w:val="47CF4628"/>
    <w:rsid w:val="48230232"/>
    <w:rsid w:val="48416D65"/>
    <w:rsid w:val="48BF60AB"/>
    <w:rsid w:val="48C742DC"/>
    <w:rsid w:val="493474B3"/>
    <w:rsid w:val="493C27E9"/>
    <w:rsid w:val="49595FC8"/>
    <w:rsid w:val="496F39ED"/>
    <w:rsid w:val="49FF41D3"/>
    <w:rsid w:val="4BE068DB"/>
    <w:rsid w:val="4BF6002B"/>
    <w:rsid w:val="4BFFC6BE"/>
    <w:rsid w:val="4ECE2238"/>
    <w:rsid w:val="507A216D"/>
    <w:rsid w:val="51DB4B86"/>
    <w:rsid w:val="51F64DB0"/>
    <w:rsid w:val="54184FCE"/>
    <w:rsid w:val="54F22BCE"/>
    <w:rsid w:val="5500527B"/>
    <w:rsid w:val="55333C3E"/>
    <w:rsid w:val="5BB92529"/>
    <w:rsid w:val="5C487355"/>
    <w:rsid w:val="5D623534"/>
    <w:rsid w:val="5E564815"/>
    <w:rsid w:val="5F67802D"/>
    <w:rsid w:val="5F7DC4F2"/>
    <w:rsid w:val="5FB36814"/>
    <w:rsid w:val="5FBB8E56"/>
    <w:rsid w:val="5FFB5535"/>
    <w:rsid w:val="60C969EB"/>
    <w:rsid w:val="612639AA"/>
    <w:rsid w:val="61B825BC"/>
    <w:rsid w:val="6353259C"/>
    <w:rsid w:val="64CA39A1"/>
    <w:rsid w:val="66EF4CD2"/>
    <w:rsid w:val="67C95523"/>
    <w:rsid w:val="69630ADE"/>
    <w:rsid w:val="69BD5F13"/>
    <w:rsid w:val="69FB0B4B"/>
    <w:rsid w:val="6BFFE1FB"/>
    <w:rsid w:val="6C4A05C8"/>
    <w:rsid w:val="6C783074"/>
    <w:rsid w:val="6D3B1A89"/>
    <w:rsid w:val="6DB7D8A3"/>
    <w:rsid w:val="6DBC3921"/>
    <w:rsid w:val="6EAD759E"/>
    <w:rsid w:val="6EC78701"/>
    <w:rsid w:val="6F4D0B00"/>
    <w:rsid w:val="6F7A5481"/>
    <w:rsid w:val="6FFE07A9"/>
    <w:rsid w:val="7047516D"/>
    <w:rsid w:val="70A168BE"/>
    <w:rsid w:val="719A77D5"/>
    <w:rsid w:val="71BF4EC2"/>
    <w:rsid w:val="72734D90"/>
    <w:rsid w:val="730F6001"/>
    <w:rsid w:val="7349226F"/>
    <w:rsid w:val="73E75B71"/>
    <w:rsid w:val="7403155C"/>
    <w:rsid w:val="7412278C"/>
    <w:rsid w:val="74D8759C"/>
    <w:rsid w:val="75965B0F"/>
    <w:rsid w:val="75DDCDA9"/>
    <w:rsid w:val="75FF44B1"/>
    <w:rsid w:val="768519CC"/>
    <w:rsid w:val="77670518"/>
    <w:rsid w:val="777FA627"/>
    <w:rsid w:val="77DF1B5F"/>
    <w:rsid w:val="77EF2D9D"/>
    <w:rsid w:val="78B939F0"/>
    <w:rsid w:val="79E7B28D"/>
    <w:rsid w:val="7ACFF0C2"/>
    <w:rsid w:val="7AFB9108"/>
    <w:rsid w:val="7BD5340C"/>
    <w:rsid w:val="7BFB19D2"/>
    <w:rsid w:val="7BFD1750"/>
    <w:rsid w:val="7BFDAA1B"/>
    <w:rsid w:val="7CDF9A82"/>
    <w:rsid w:val="7CFFA1BD"/>
    <w:rsid w:val="7D2E3F7A"/>
    <w:rsid w:val="7DEB7495"/>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4"/>
    <w:qFormat/>
    <w:uiPriority w:val="99"/>
    <w:pPr>
      <w:spacing w:beforeLines="30"/>
    </w:pPr>
    <w:rPr>
      <w:rFonts w:ascii="仿宋_GB2312" w:eastAsia="仿宋_GB2312"/>
      <w:kern w:val="0"/>
      <w:sz w:val="30"/>
    </w:rPr>
  </w:style>
  <w:style w:type="paragraph" w:styleId="6">
    <w:name w:val="Body Text Indent"/>
    <w:basedOn w:val="1"/>
    <w:qFormat/>
    <w:uiPriority w:val="0"/>
    <w:pPr>
      <w:spacing w:after="120"/>
      <w:ind w:left="200" w:leftChars="200"/>
    </w:pPr>
    <w:rPr>
      <w:rFonts w:ascii="仿宋_GB2312"/>
      <w:szCs w:val="32"/>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30"/>
    <w:semiHidden/>
    <w:unhideWhenUsed/>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0"/>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Body Text First Indent 2"/>
    <w:basedOn w:val="6"/>
    <w:unhideWhenUsed/>
    <w:qFormat/>
    <w:uiPriority w:val="99"/>
    <w:pPr>
      <w:ind w:firstLine="420" w:firstLine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paragraph" w:customStyle="1" w:styleId="18">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19">
    <w:name w:val="Header Char"/>
    <w:basedOn w:val="15"/>
    <w:semiHidden/>
    <w:qFormat/>
    <w:uiPriority w:val="99"/>
    <w:rPr>
      <w:rFonts w:ascii="Times New Roman" w:hAnsi="Times New Roman"/>
      <w:sz w:val="18"/>
      <w:szCs w:val="18"/>
    </w:rPr>
  </w:style>
  <w:style w:type="character" w:customStyle="1" w:styleId="20">
    <w:name w:val="页眉 字符"/>
    <w:link w:val="10"/>
    <w:semiHidden/>
    <w:qFormat/>
    <w:locked/>
    <w:uiPriority w:val="99"/>
    <w:rPr>
      <w:sz w:val="18"/>
    </w:rPr>
  </w:style>
  <w:style w:type="character" w:customStyle="1" w:styleId="21">
    <w:name w:val="Footer Char"/>
    <w:basedOn w:val="15"/>
    <w:semiHidden/>
    <w:qFormat/>
    <w:uiPriority w:val="99"/>
    <w:rPr>
      <w:rFonts w:ascii="Times New Roman" w:hAnsi="Times New Roman"/>
      <w:sz w:val="18"/>
      <w:szCs w:val="18"/>
    </w:rPr>
  </w:style>
  <w:style w:type="character" w:customStyle="1" w:styleId="22">
    <w:name w:val="页脚 字符"/>
    <w:link w:val="9"/>
    <w:qFormat/>
    <w:locked/>
    <w:uiPriority w:val="99"/>
    <w:rPr>
      <w:sz w:val="18"/>
    </w:rPr>
  </w:style>
  <w:style w:type="character" w:customStyle="1" w:styleId="23">
    <w:name w:val="Body Text Char"/>
    <w:basedOn w:val="15"/>
    <w:semiHidden/>
    <w:qFormat/>
    <w:uiPriority w:val="99"/>
    <w:rPr>
      <w:rFonts w:ascii="Times New Roman" w:hAnsi="Times New Roman"/>
      <w:szCs w:val="24"/>
    </w:rPr>
  </w:style>
  <w:style w:type="character" w:customStyle="1" w:styleId="24">
    <w:name w:val="正文文本 字符"/>
    <w:link w:val="2"/>
    <w:qFormat/>
    <w:locked/>
    <w:uiPriority w:val="99"/>
    <w:rPr>
      <w:rFonts w:ascii="仿宋_GB2312" w:hAnsi="Times New Roman" w:eastAsia="仿宋_GB2312"/>
      <w:sz w:val="24"/>
    </w:rPr>
  </w:style>
  <w:style w:type="paragraph" w:customStyle="1" w:styleId="2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6">
    <w:name w:val="List Paragraph"/>
    <w:basedOn w:val="1"/>
    <w:qFormat/>
    <w:uiPriority w:val="34"/>
    <w:pPr>
      <w:ind w:firstLine="420" w:firstLineChars="200"/>
    </w:pPr>
  </w:style>
  <w:style w:type="character" w:customStyle="1" w:styleId="27">
    <w:name w:val="标题 1 字符"/>
    <w:basedOn w:val="15"/>
    <w:link w:val="3"/>
    <w:qFormat/>
    <w:uiPriority w:val="9"/>
    <w:rPr>
      <w:rFonts w:ascii="Times New Roman" w:hAnsi="Times New Roman"/>
      <w:b/>
      <w:bCs/>
      <w:kern w:val="44"/>
      <w:sz w:val="44"/>
      <w:szCs w:val="44"/>
    </w:rPr>
  </w:style>
  <w:style w:type="character" w:customStyle="1" w:styleId="28">
    <w:name w:val="标题 2 字符"/>
    <w:basedOn w:val="15"/>
    <w:link w:val="4"/>
    <w:qFormat/>
    <w:uiPriority w:val="9"/>
    <w:rPr>
      <w:rFonts w:asciiTheme="majorHAnsi" w:hAnsiTheme="majorHAnsi" w:eastAsiaTheme="majorEastAsia" w:cstheme="majorBidi"/>
      <w:b/>
      <w:bCs/>
      <w:kern w:val="2"/>
      <w:sz w:val="32"/>
      <w:szCs w:val="32"/>
    </w:r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字符"/>
    <w:basedOn w:val="15"/>
    <w:link w:val="8"/>
    <w:semiHidden/>
    <w:qFormat/>
    <w:uiPriority w:val="99"/>
    <w:rPr>
      <w:rFonts w:ascii="Times New Roman" w:hAnsi="Times New Roman"/>
      <w:kern w:val="2"/>
      <w:sz w:val="18"/>
      <w:szCs w:val="18"/>
    </w:rPr>
  </w:style>
  <w:style w:type="character" w:customStyle="1" w:styleId="31">
    <w:name w:val="标题 3 字符"/>
    <w:basedOn w:val="15"/>
    <w:link w:val="5"/>
    <w:qFormat/>
    <w:uiPriority w:val="9"/>
    <w:rPr>
      <w:rFonts w:ascii="Times New Roman" w:hAnsi="Times New Roman"/>
      <w:b/>
      <w:bCs/>
      <w:kern w:val="2"/>
      <w:sz w:val="32"/>
      <w:szCs w:val="32"/>
    </w:rPr>
  </w:style>
  <w:style w:type="paragraph" w:customStyle="1" w:styleId="32">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hg\Desktop\&#26032;&#24314;%20XLS%20&#24037;&#20316;&#3492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hg\Desktop\&#26032;&#24314;%20XLS%20&#24037;&#20316;&#34920;%20(2).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C:\Users\hg\Desktop\&#26032;&#24314;%20XLS%20&#24037;&#20316;&#34920;.xls"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hg\Desktop\&#26032;&#24314;%20XLS%20&#24037;&#20316;&#34920;.xls"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C:\Users\hg\Desktop\&#26032;&#24314;%20XLS%20&#24037;&#20316;&#34920;.xls"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hg\Desktop\&#26032;&#24314;%20XLS%20&#24037;&#20316;&#34920;.xls"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hg\Desktop\&#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p>
        </c:rich>
      </c:tx>
      <c:layout>
        <c:manualLayout>
          <c:xMode val="edge"/>
          <c:yMode val="edge"/>
          <c:x val="0.249861111111111"/>
          <c:y val="0.03125"/>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'[新建 XLS 工作表.xls]Sheet1'!$A$5:$A$8</c:f>
              <c:strCache>
                <c:ptCount val="4"/>
                <c:pt idx="2">
                  <c:v>2023年</c:v>
                </c:pt>
                <c:pt idx="3">
                  <c:v>2024年</c:v>
                </c:pt>
              </c:strCache>
            </c:strRef>
          </c:cat>
          <c:val>
            <c:numRef>
              <c:f>'[新建 XLS 工作表.xls]Sheet1'!$B$5:$B$8</c:f>
              <c:numCache>
                <c:formatCode>General</c:formatCode>
                <c:ptCount val="4"/>
                <c:pt idx="2">
                  <c:v>850.54</c:v>
                </c:pt>
                <c:pt idx="3">
                  <c:v>468.06</c:v>
                </c:pt>
              </c:numCache>
            </c:numRef>
          </c:val>
        </c:ser>
        <c:ser>
          <c:idx val="1"/>
          <c:order val="1"/>
          <c:spPr>
            <a:solidFill>
              <a:schemeClr val="accent2"/>
            </a:solidFill>
            <a:ln>
              <a:noFill/>
            </a:ln>
            <a:effectLst/>
          </c:spPr>
          <c:invertIfNegative val="0"/>
          <c:dLbls>
            <c:delete val="1"/>
          </c:dLbls>
          <c:cat>
            <c:strRef>
              <c:f>'[新建 XLS 工作表.xls]Sheet1'!$A$5:$A$8</c:f>
              <c:strCache>
                <c:ptCount val="4"/>
                <c:pt idx="2">
                  <c:v>2023年</c:v>
                </c:pt>
                <c:pt idx="3">
                  <c:v>2024年</c:v>
                </c:pt>
              </c:strCache>
            </c:strRef>
          </c:cat>
          <c:val>
            <c:numRef>
              <c:f>'[新建 XLS 工作表.xls]Sheet1'!$C$5:$C$8</c:f>
              <c:numCache>
                <c:formatCode>General</c:formatCode>
                <c:ptCount val="4"/>
              </c:numCache>
            </c:numRef>
          </c:val>
        </c:ser>
        <c:dLbls>
          <c:showLegendKey val="0"/>
          <c:showVal val="0"/>
          <c:showCatName val="0"/>
          <c:showSerName val="0"/>
          <c:showPercent val="0"/>
          <c:showBubbleSize val="0"/>
        </c:dLbls>
        <c:gapWidth val="219"/>
        <c:overlap val="-27"/>
        <c:axId val="322671386"/>
        <c:axId val="241629808"/>
      </c:barChart>
      <c:catAx>
        <c:axId val="32267138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1629808"/>
        <c:crosses val="autoZero"/>
        <c:auto val="1"/>
        <c:lblAlgn val="ctr"/>
        <c:lblOffset val="100"/>
        <c:noMultiLvlLbl val="0"/>
      </c:catAx>
      <c:valAx>
        <c:axId val="241629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267138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spPr>
              <a:solidFill>
                <a:schemeClr val="accent2"/>
              </a:solidFill>
              <a:ln w="2540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 (2).xls]Sheet1'!$A$5:$A$6</c:f>
              <c:strCache>
                <c:ptCount val="2"/>
                <c:pt idx="0">
                  <c:v>一般公共预算财政拨款收入</c:v>
                </c:pt>
                <c:pt idx="1">
                  <c:v>政府性基金预算财政拨款收入</c:v>
                </c:pt>
              </c:strCache>
            </c:strRef>
          </c:cat>
          <c:val>
            <c:numRef>
              <c:f>'[新建 XLS 工作表 (2).xls]Sheet1'!$B$5:$B$6</c:f>
              <c:numCache>
                <c:formatCode>0%</c:formatCode>
                <c:ptCount val="2"/>
                <c:pt idx="0">
                  <c:v>0</c:v>
                </c:pt>
                <c:pt idx="1">
                  <c:v>1</c:v>
                </c:pt>
              </c:numCache>
            </c:numRef>
          </c:val>
        </c:ser>
        <c:dLbls>
          <c:showLegendKey val="0"/>
          <c:showVal val="1"/>
          <c:showCatName val="0"/>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p>
        </c:rich>
      </c:tx>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c:explosion val="0"/>
          <c:dPt>
            <c:idx val="0"/>
            <c:bubble3D val="0"/>
            <c:spPr>
              <a:solidFill>
                <a:schemeClr val="accent1"/>
              </a:solidFill>
              <a:ln w="25400">
                <a:solidFill>
                  <a:schemeClr val="lt1"/>
                </a:solidFill>
              </a:ln>
              <a:effectLst/>
            </c:spPr>
          </c:dPt>
          <c:dPt>
            <c:idx val="1"/>
            <c:bubble3D val="0"/>
            <c:spPr>
              <a:solidFill>
                <a:schemeClr val="accent2"/>
              </a:solidFill>
              <a:ln w="2540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工作表.xls]Sheet1'!$A$7:$A$8</c:f>
              <c:strCache>
                <c:ptCount val="2"/>
                <c:pt idx="0">
                  <c:v>基本支出</c:v>
                </c:pt>
                <c:pt idx="1">
                  <c:v>项目支出</c:v>
                </c:pt>
              </c:strCache>
            </c:strRef>
          </c:cat>
          <c:val>
            <c:numRef>
              <c:f>'[新建 XLS 工作表.xls]Sheet1'!$B$7:$B$8</c:f>
              <c:numCache>
                <c:formatCode>0.00%</c:formatCode>
                <c:ptCount val="2"/>
                <c:pt idx="0">
                  <c:v>0.7652</c:v>
                </c:pt>
                <c:pt idx="1">
                  <c:v>0.2347</c:v>
                </c:pt>
              </c:numCache>
            </c:numRef>
          </c:val>
        </c:ser>
        <c:dLbls>
          <c:showLegendKey val="0"/>
          <c:showVal val="1"/>
          <c:showCatName val="0"/>
          <c:showSerName val="0"/>
          <c:showPercent val="0"/>
          <c:showBubbleSize val="0"/>
        </c:dLbls>
      </c:pie3D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财政拨款收、支决算总计变动情况表</a:t>
            </a:r>
          </a:p>
        </c:rich>
      </c:tx>
      <c:layout>
        <c:manualLayout>
          <c:xMode val="edge"/>
          <c:yMode val="edge"/>
          <c:x val="0.181111111111111"/>
          <c:y val="0.0416666666666667"/>
        </c:manualLayout>
      </c:layout>
      <c:overlay val="0"/>
      <c:spPr>
        <a:noFill/>
        <a:ln>
          <a:noFill/>
        </a:ln>
        <a:effectLst/>
      </c:spPr>
    </c:title>
    <c:autoTitleDeleted val="0"/>
    <c:plotArea>
      <c:layout/>
      <c:barChart>
        <c:barDir val="col"/>
        <c:grouping val="stack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工作表.xls]Sheet1'!$A$11:$A$12</c:f>
              <c:strCache>
                <c:ptCount val="2"/>
                <c:pt idx="0">
                  <c:v>2023年</c:v>
                </c:pt>
                <c:pt idx="1">
                  <c:v>2024年</c:v>
                </c:pt>
              </c:strCache>
            </c:strRef>
          </c:cat>
          <c:val>
            <c:numRef>
              <c:f>'[新建 XLS 工作表.xls]Sheet1'!$B$11:$B$12</c:f>
              <c:numCache>
                <c:formatCode>General</c:formatCode>
                <c:ptCount val="2"/>
                <c:pt idx="0">
                  <c:v>850.54</c:v>
                </c:pt>
                <c:pt idx="1">
                  <c:v>468.06</c:v>
                </c:pt>
              </c:numCache>
            </c:numRef>
          </c:val>
        </c:ser>
        <c:dLbls>
          <c:showLegendKey val="0"/>
          <c:showVal val="1"/>
          <c:showCatName val="0"/>
          <c:showSerName val="0"/>
          <c:showPercent val="0"/>
          <c:showBubbleSize val="0"/>
        </c:dLbls>
        <c:gapWidth val="150"/>
        <c:overlap val="100"/>
        <c:axId val="645798506"/>
        <c:axId val="592362847"/>
      </c:barChart>
      <c:catAx>
        <c:axId val="6457985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2362847"/>
        <c:crosses val="autoZero"/>
        <c:auto val="1"/>
        <c:lblAlgn val="ctr"/>
        <c:lblOffset val="100"/>
        <c:noMultiLvlLbl val="0"/>
      </c:catAx>
      <c:valAx>
        <c:axId val="5923628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5798506"/>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一般公共预算财政拨款支出决算变动情况表</a:t>
            </a:r>
          </a:p>
        </c:rich>
      </c:tx>
      <c:layout>
        <c:manualLayout>
          <c:xMode val="edge"/>
          <c:yMode val="edge"/>
          <c:x val="0.120694444444444"/>
          <c:y val="0.0416666666666667"/>
        </c:manualLayout>
      </c:layout>
      <c:overlay val="0"/>
      <c:spPr>
        <a:noFill/>
        <a:ln>
          <a:noFill/>
        </a:ln>
        <a:effectLst/>
      </c:spPr>
    </c:title>
    <c:autoTitleDeleted val="0"/>
    <c:plotArea>
      <c:layout/>
      <c:barChart>
        <c:barDir val="col"/>
        <c:grouping val="stack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工作表.xls]Sheet1'!$A$11:$A$12</c:f>
              <c:strCache>
                <c:ptCount val="2"/>
                <c:pt idx="0">
                  <c:v>2023年</c:v>
                </c:pt>
                <c:pt idx="1">
                  <c:v>2024年</c:v>
                </c:pt>
              </c:strCache>
            </c:strRef>
          </c:cat>
          <c:val>
            <c:numRef>
              <c:f>'[新建 XLS 工作表.xls]Sheet1'!$B$11:$B$12</c:f>
              <c:numCache>
                <c:formatCode>General</c:formatCode>
                <c:ptCount val="2"/>
                <c:pt idx="0">
                  <c:v>850.54</c:v>
                </c:pt>
                <c:pt idx="1">
                  <c:v>468.06</c:v>
                </c:pt>
              </c:numCache>
            </c:numRef>
          </c:val>
        </c:ser>
        <c:dLbls>
          <c:showLegendKey val="0"/>
          <c:showVal val="1"/>
          <c:showCatName val="0"/>
          <c:showSerName val="0"/>
          <c:showPercent val="0"/>
          <c:showBubbleSize val="0"/>
        </c:dLbls>
        <c:gapWidth val="150"/>
        <c:overlap val="100"/>
        <c:axId val="645798506"/>
        <c:axId val="592362847"/>
      </c:barChart>
      <c:catAx>
        <c:axId val="64579850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2362847"/>
        <c:crosses val="autoZero"/>
        <c:auto val="1"/>
        <c:lblAlgn val="ctr"/>
        <c:lblOffset val="100"/>
        <c:noMultiLvlLbl val="0"/>
      </c:catAx>
      <c:valAx>
        <c:axId val="59236284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5798506"/>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一般公共预算财政拨款支出决算结构图</a:t>
            </a:r>
          </a:p>
        </c:rich>
      </c:tx>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a:scene3d>
              <a:camera prst="orthographicFront"/>
              <a:lightRig rig="threePt" dir="t"/>
            </a:scene3d>
            <a:sp3d contourW="25400"/>
          </c:spPr>
          <c:explosion val="0"/>
          <c:dPt>
            <c:idx val="0"/>
            <c:bubble3D val="0"/>
            <c:spPr>
              <a:solidFill>
                <a:schemeClr val="accent1"/>
              </a:solidFill>
              <a:ln w="25400">
                <a:solidFill>
                  <a:schemeClr val="lt1"/>
                </a:solidFill>
              </a:ln>
              <a:effectLst/>
              <a:scene3d>
                <a:camera prst="orthographicFront"/>
                <a:lightRig rig="threePt" dir="t"/>
              </a:scene3d>
              <a:sp3d contourW="25400"/>
            </c:spPr>
          </c:dPt>
          <c:dPt>
            <c:idx val="1"/>
            <c:bubble3D val="0"/>
            <c:spPr>
              <a:solidFill>
                <a:schemeClr val="accent2"/>
              </a:solidFill>
              <a:ln w="25400">
                <a:solidFill>
                  <a:schemeClr val="lt1"/>
                </a:solidFill>
              </a:ln>
              <a:effectLst/>
              <a:scene3d>
                <a:camera prst="orthographicFront"/>
                <a:lightRig rig="threePt" dir="t"/>
              </a:scene3d>
              <a:sp3d contourW="25400"/>
            </c:spPr>
          </c:dPt>
          <c:dPt>
            <c:idx val="2"/>
            <c:bubble3D val="0"/>
            <c:spPr>
              <a:solidFill>
                <a:schemeClr val="accent3"/>
              </a:solidFill>
              <a:ln w="25400">
                <a:solidFill>
                  <a:schemeClr val="lt1"/>
                </a:solidFill>
              </a:ln>
              <a:effectLst/>
              <a:scene3d>
                <a:camera prst="orthographicFront"/>
                <a:lightRig rig="threePt" dir="t"/>
              </a:scene3d>
              <a:sp3d contourW="25400"/>
            </c:spPr>
          </c:dPt>
          <c:dPt>
            <c:idx val="3"/>
            <c:bubble3D val="0"/>
            <c:spPr>
              <a:solidFill>
                <a:schemeClr val="accent4"/>
              </a:solidFill>
              <a:ln w="25400">
                <a:solidFill>
                  <a:schemeClr val="lt1"/>
                </a:solidFill>
              </a:ln>
              <a:effectLst/>
              <a:scene3d>
                <a:camera prst="orthographicFront"/>
                <a:lightRig rig="threePt" dir="t"/>
              </a:scene3d>
              <a:sp3d contourW="25400"/>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 工作表.xls]Sheet1'!$A$7:$A$10</c:f>
              <c:strCache>
                <c:ptCount val="4"/>
                <c:pt idx="0">
                  <c:v>社会保障和就业支出</c:v>
                </c:pt>
                <c:pt idx="1">
                  <c:v>卫生健康支出</c:v>
                </c:pt>
                <c:pt idx="2">
                  <c:v>住房保障支出</c:v>
                </c:pt>
                <c:pt idx="3">
                  <c:v>城乡社区支出</c:v>
                </c:pt>
              </c:strCache>
            </c:strRef>
          </c:cat>
          <c:val>
            <c:numRef>
              <c:f>'[新建 XLS 工作表.xls]Sheet1'!$B$7:$B$10</c:f>
              <c:numCache>
                <c:formatCode>0.00%</c:formatCode>
                <c:ptCount val="4"/>
                <c:pt idx="0">
                  <c:v>0.2038</c:v>
                </c:pt>
                <c:pt idx="1">
                  <c:v>0.0299</c:v>
                </c:pt>
                <c:pt idx="2">
                  <c:v>0.0439</c:v>
                </c:pt>
                <c:pt idx="3">
                  <c:v>0.7224</c:v>
                </c:pt>
              </c:numCache>
            </c:numRef>
          </c:val>
        </c:ser>
        <c:dLbls>
          <c:showLegendKey val="0"/>
          <c:showVal val="0"/>
          <c:showCatName val="0"/>
          <c:showSerName val="0"/>
          <c:showPercent val="1"/>
          <c:showBubbleSize val="0"/>
        </c:dLbls>
      </c:pie3D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cap="all" baseline="0">
                <a:solidFill>
                  <a:schemeClr val="tx1">
                    <a:lumMod val="65000"/>
                    <a:lumOff val="35000"/>
                  </a:schemeClr>
                </a:solidFill>
                <a:latin typeface="+mn-lt"/>
                <a:ea typeface="+mn-ea"/>
                <a:cs typeface="+mn-cs"/>
              </a:defRPr>
            </a:pPr>
            <a:r>
              <a:rPr lang="en-US" altLang="zh-CN" sz="1600" b="0">
                <a:latin typeface="宋体" panose="02010600030101010101" charset="-122"/>
                <a:ea typeface="宋体" panose="02010600030101010101" charset="-122"/>
                <a:cs typeface="宋体" panose="02010600030101010101" charset="-122"/>
              </a:rPr>
              <a:t>“</a:t>
            </a:r>
            <a:r>
              <a:rPr altLang="en-US" sz="1600" b="0">
                <a:latin typeface="宋体" panose="02010600030101010101" charset="-122"/>
                <a:ea typeface="宋体" panose="02010600030101010101" charset="-122"/>
                <a:cs typeface="宋体" panose="02010600030101010101" charset="-122"/>
              </a:rPr>
              <a:t>三公</a:t>
            </a:r>
            <a:r>
              <a:rPr lang="en-US" altLang="zh-CN" sz="1600" b="0">
                <a:latin typeface="宋体" panose="02010600030101010101" charset="-122"/>
                <a:ea typeface="宋体" panose="02010600030101010101" charset="-122"/>
                <a:cs typeface="宋体" panose="02010600030101010101" charset="-122"/>
              </a:rPr>
              <a:t>”</a:t>
            </a:r>
            <a:r>
              <a:rPr altLang="en-US" sz="1600" b="0">
                <a:latin typeface="宋体" panose="02010600030101010101" charset="-122"/>
                <a:ea typeface="宋体" panose="02010600030101010101" charset="-122"/>
                <a:cs typeface="宋体" panose="02010600030101010101" charset="-122"/>
              </a:rPr>
              <a:t>经费经费财政拨款支出结构图</a:t>
            </a:r>
            <a:endParaRPr sz="1600" b="0">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view3D>
      <c:rotX val="30"/>
      <c:rotY val="0"/>
      <c:depthPercent val="100"/>
      <c:rAngAx val="0"/>
    </c:view3D>
    <c:floor>
      <c:thickness val="0"/>
      <c:spPr>
        <a:noFill/>
        <a:effectLst/>
      </c:spPr>
    </c:floor>
    <c:sideWall>
      <c:thickness val="0"/>
      <c:spPr>
        <a:noFill/>
        <a:effectLst/>
      </c:spPr>
    </c:sideWall>
    <c:backWall>
      <c:thickness val="0"/>
      <c:spPr>
        <a:noFill/>
        <a:effectLst/>
      </c:spPr>
    </c:backWall>
    <c:plotArea>
      <c:layout/>
      <c:pie3DChart>
        <c:varyColors val="1"/>
        <c:ser>
          <c:idx val="0"/>
          <c:order val="0"/>
          <c:spPr>
            <a:scene3d>
              <a:camera prst="orthographicFront"/>
              <a:lightRig rig="threePt" dir="t"/>
            </a:scene3d>
            <a:sp3d contourW="19050"/>
          </c:spPr>
          <c:explosion val="0"/>
          <c:dPt>
            <c:idx val="0"/>
            <c:bubble3D val="0"/>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c:spPr>
          </c:dPt>
          <c:dLbls>
            <c:dLbl>
              <c:idx val="0"/>
              <c:layout/>
              <c:numFmt formatCode="General" sourceLinked="1"/>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lang="zh-CN" sz="1000" b="0" i="0" u="none" strike="noStrike" kern="1200" baseline="0">
                      <a:solidFill>
                        <a:schemeClr val="accent1"/>
                      </a:solidFill>
                      <a:effectLst/>
                      <a:latin typeface="+mn-lt"/>
                      <a:ea typeface="+mn-ea"/>
                      <a:cs typeface="+mn-cs"/>
                    </a:defRPr>
                  </a:pPr>
                </a:p>
              </c:txPr>
              <c:dLblPos val="inEnd"/>
              <c:showLegendKey val="0"/>
              <c:showVal val="0"/>
              <c:showCatName val="1"/>
              <c:showSerName val="0"/>
              <c:showPercent val="0"/>
              <c:showBubbleSize val="0"/>
              <c:extLst>
                <c:ext xmlns:c15="http://schemas.microsoft.com/office/drawing/2012/chart" uri="{CE6537A1-D6FC-4f65-9D91-7224C49458BB}"/>
              </c:extLst>
            </c:dLbl>
            <c:dLbl>
              <c:idx val="1"/>
              <c:layout/>
              <c:numFmt formatCode="General" sourceLinked="1"/>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lang="zh-CN" sz="1000" b="0" i="0" u="none" strike="noStrike" kern="1200" baseline="0">
                      <a:solidFill>
                        <a:schemeClr val="accent2"/>
                      </a:solidFill>
                      <a:effectLst/>
                      <a:latin typeface="+mn-lt"/>
                      <a:ea typeface="+mn-ea"/>
                      <a:cs typeface="+mn-cs"/>
                    </a:defRPr>
                  </a:pPr>
                </a:p>
              </c:txPr>
              <c:dLblPos val="inEnd"/>
              <c:showLegendKey val="0"/>
              <c:showVal val="0"/>
              <c:showCatName val="1"/>
              <c:showSerName val="0"/>
              <c:showPercent val="0"/>
              <c:showBubbleSize val="0"/>
              <c:extLst>
                <c:ext xmlns:c15="http://schemas.microsoft.com/office/drawing/2012/chart" uri="{CE6537A1-D6FC-4f65-9D91-7224C49458BB}"/>
              </c:extLst>
            </c:dLbl>
            <c:dLbl>
              <c:idx val="2"/>
              <c:layout/>
              <c:numFmt formatCode="General" sourceLinked="1"/>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lang="zh-CN" sz="1000" b="0" i="0" u="none" strike="noStrike" kern="1200" baseline="0">
                      <a:solidFill>
                        <a:schemeClr val="accent3"/>
                      </a:solidFill>
                      <a:effectLst/>
                      <a:latin typeface="+mn-lt"/>
                      <a:ea typeface="+mn-ea"/>
                      <a:cs typeface="+mn-cs"/>
                    </a:defRPr>
                  </a:pPr>
                </a:p>
              </c:txPr>
              <c:dLblPos val="inEnd"/>
              <c:showLegendKey val="0"/>
              <c:showVal val="0"/>
              <c:showCatName val="1"/>
              <c:showSerName val="0"/>
              <c:showPercent val="0"/>
              <c:showBubbleSize val="0"/>
              <c:extLst>
                <c:ext xmlns:c15="http://schemas.microsoft.com/office/drawing/2012/chart" uri="{CE6537A1-D6FC-4f65-9D91-7224C49458BB}"/>
              </c:extLst>
            </c:dLbl>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spAutoFit/>
              </a:bodyPr>
              <a:lstStyle/>
              <a:p>
                <a:pPr>
                  <a:defRPr lang="zh-CN" sz="1000" b="0" i="0" u="none" strike="noStrike" kern="1200" baseline="0">
                    <a:solidFill>
                      <a:schemeClr val="accent1"/>
                    </a:solidFill>
                    <a:effectLst/>
                    <a:latin typeface="+mn-lt"/>
                    <a:ea typeface="+mn-ea"/>
                    <a:cs typeface="+mn-cs"/>
                  </a:defRPr>
                </a:pPr>
              </a:p>
            </c:txPr>
            <c:dLblPos val="inEnd"/>
            <c:showLegendKey val="0"/>
            <c:showVal val="0"/>
            <c:showCatName val="1"/>
            <c:showSerName val="0"/>
            <c:showPercent val="0"/>
            <c:showBubbleSize val="0"/>
            <c:showLeaderLines val="1"/>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'[新建 XLSX 工作表.xlsx]Sheet1'!$A$5:$A$7</c:f>
              <c:strCache>
                <c:ptCount val="3"/>
                <c:pt idx="0">
                  <c:v>因公出国（境）经费支出0万元</c:v>
                </c:pt>
                <c:pt idx="1">
                  <c:v>公务用车购置及运行维护费支出0万元</c:v>
                </c:pt>
                <c:pt idx="2">
                  <c:v>公务接待费支出0万元</c:v>
                </c:pt>
              </c:strCache>
            </c:strRef>
          </c:cat>
          <c:val>
            <c:numRef>
              <c:f>'[新建 XLSX 工作表.xlsx]Sheet1'!$B$5:$B$7</c:f>
              <c:numCache>
                <c:formatCode>General</c:formatCode>
                <c:ptCount val="3"/>
                <c:pt idx="0">
                  <c:v>3.33</c:v>
                </c:pt>
                <c:pt idx="1">
                  <c:v>3.33</c:v>
                </c:pt>
                <c:pt idx="2">
                  <c:v>3.33</c:v>
                </c:pt>
              </c:numCache>
            </c:numRef>
          </c:val>
        </c:ser>
        <c:dLbls>
          <c:showLegendKey val="0"/>
          <c:showVal val="0"/>
          <c:showCatName val="1"/>
          <c:showSerName val="0"/>
          <c:showPercent val="0"/>
          <c:showBubbleSize val="0"/>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6109</Words>
  <Characters>7075</Characters>
  <Lines>54</Lines>
  <Paragraphs>15</Paragraphs>
  <TotalTime>8</TotalTime>
  <ScaleCrop>false</ScaleCrop>
  <LinksUpToDate>false</LinksUpToDate>
  <CharactersWithSpaces>7111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hg</cp:lastModifiedBy>
  <cp:lastPrinted>2023-08-03T02:35:00Z</cp:lastPrinted>
  <dcterms:modified xsi:type="dcterms:W3CDTF">2025-10-27T03:04:25Z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4E5CAB72D70546D4A75F22F9813649FB</vt:lpwstr>
  </property>
</Properties>
</file>