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AD2A38">
      <w:pPr>
        <w:spacing w:line="600" w:lineRule="exact"/>
        <w:jc w:val="left"/>
        <w:outlineLvl w:val="9"/>
        <w:rPr>
          <w:rFonts w:hint="eastAsia" w:ascii="方正小标宋简体" w:hAnsi="宋体" w:eastAsia="方正小标宋简体"/>
          <w:szCs w:val="21"/>
          <w:lang w:eastAsia="zh-CN"/>
        </w:rPr>
      </w:pPr>
      <w:bookmarkStart w:id="0" w:name="_Toc15306267"/>
    </w:p>
    <w:p w14:paraId="03BB852D">
      <w:pPr>
        <w:pStyle w:val="4"/>
        <w:spacing w:before="93"/>
      </w:pPr>
    </w:p>
    <w:p w14:paraId="414AD8D7">
      <w:pPr>
        <w:spacing w:line="600" w:lineRule="exact"/>
        <w:jc w:val="center"/>
        <w:outlineLvl w:val="9"/>
        <w:rPr>
          <w:rFonts w:ascii="方正小标宋简体" w:hAnsi="宋体" w:eastAsia="方正小标宋简体"/>
          <w:sz w:val="72"/>
          <w:szCs w:val="72"/>
        </w:rPr>
      </w:pPr>
    </w:p>
    <w:p w14:paraId="0C47B074">
      <w:pPr>
        <w:spacing w:line="600" w:lineRule="exact"/>
        <w:jc w:val="center"/>
        <w:outlineLvl w:val="9"/>
        <w:rPr>
          <w:rFonts w:ascii="方正小标宋简体" w:hAnsi="宋体" w:eastAsia="方正小标宋简体"/>
          <w:sz w:val="72"/>
          <w:szCs w:val="72"/>
        </w:rPr>
      </w:pPr>
    </w:p>
    <w:bookmarkEnd w:id="0"/>
    <w:p w14:paraId="13501E64">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22335"/>
      <w:r>
        <w:rPr>
          <w:rFonts w:hint="eastAsia" w:ascii="方正小标宋简体" w:hAnsi="方正小标宋简体" w:eastAsia="方正小标宋简体" w:cs="方正小标宋简体"/>
          <w:sz w:val="72"/>
          <w:szCs w:val="72"/>
        </w:rPr>
        <w:t>202</w:t>
      </w:r>
      <w:r>
        <w:rPr>
          <w:rFonts w:hint="eastAsia" w:ascii="方正小标宋简体" w:hAnsi="方正小标宋简体" w:eastAsia="方正小标宋简体" w:cs="方正小标宋简体"/>
          <w:sz w:val="72"/>
          <w:szCs w:val="72"/>
          <w:lang w:val="en-US" w:eastAsia="zh-CN"/>
        </w:rPr>
        <w:t>4</w:t>
      </w:r>
      <w:r>
        <w:rPr>
          <w:rFonts w:hint="eastAsia" w:ascii="方正小标宋简体" w:hAnsi="方正小标宋简体" w:eastAsia="方正小标宋简体" w:cs="方正小标宋简体"/>
          <w:sz w:val="72"/>
          <w:szCs w:val="72"/>
        </w:rPr>
        <w:t>年度</w:t>
      </w:r>
      <w:bookmarkEnd w:id="1"/>
    </w:p>
    <w:p w14:paraId="5A032C3F">
      <w:pPr>
        <w:adjustRightInd w:val="0"/>
        <w:snapToGrid w:val="0"/>
        <w:spacing w:line="360" w:lineRule="auto"/>
        <w:jc w:val="center"/>
        <w:outlineLvl w:val="0"/>
        <w:rPr>
          <w:rFonts w:hint="eastAsia" w:ascii="方正小标宋简体" w:hAnsi="方正小标宋简体" w:eastAsia="方正小标宋简体" w:cs="方正小标宋简体"/>
          <w:sz w:val="72"/>
          <w:szCs w:val="72"/>
        </w:rPr>
      </w:pPr>
      <w:bookmarkStart w:id="2" w:name="_Toc14290"/>
      <w:bookmarkStart w:id="3" w:name="_Toc15377426"/>
      <w:bookmarkStart w:id="4" w:name="_Toc15377194"/>
      <w:bookmarkStart w:id="5" w:name="_Toc15306268"/>
      <w:bookmarkStart w:id="6" w:name="_Toc15378442"/>
      <w:bookmarkStart w:id="7" w:name="_Toc15396476"/>
      <w:bookmarkStart w:id="8" w:name="_Toc15396598"/>
      <w:r>
        <w:rPr>
          <w:rFonts w:hint="eastAsia" w:ascii="方正小标宋简体" w:hAnsi="方正小标宋简体" w:eastAsia="方正小标宋简体" w:cs="方正小标宋简体"/>
          <w:sz w:val="72"/>
          <w:szCs w:val="72"/>
        </w:rPr>
        <w:t>四川省</w:t>
      </w:r>
      <w:r>
        <w:rPr>
          <w:rFonts w:hint="eastAsia" w:ascii="方正小标宋简体" w:hAnsi="方正小标宋简体" w:eastAsia="方正小标宋简体" w:cs="方正小标宋简体"/>
          <w:sz w:val="72"/>
          <w:szCs w:val="72"/>
          <w:lang w:eastAsia="zh-CN"/>
        </w:rPr>
        <w:t>乐山市</w:t>
      </w:r>
      <w:r>
        <w:rPr>
          <w:rFonts w:hint="eastAsia" w:ascii="方正小标宋简体" w:hAnsi="方正小标宋简体" w:eastAsia="方正小标宋简体" w:cs="方正小标宋简体"/>
          <w:sz w:val="72"/>
          <w:szCs w:val="72"/>
        </w:rPr>
        <w:t>五通桥区</w:t>
      </w:r>
      <w:bookmarkEnd w:id="2"/>
    </w:p>
    <w:p w14:paraId="7BA5CC4E">
      <w:pPr>
        <w:adjustRightInd w:val="0"/>
        <w:snapToGrid w:val="0"/>
        <w:spacing w:line="360" w:lineRule="auto"/>
        <w:jc w:val="center"/>
        <w:outlineLvl w:val="0"/>
        <w:rPr>
          <w:rFonts w:hint="eastAsia" w:ascii="方正小标宋简体" w:hAnsi="方正小标宋简体" w:eastAsia="方正小标宋简体" w:cs="方正小标宋简体"/>
          <w:sz w:val="72"/>
          <w:szCs w:val="72"/>
        </w:rPr>
      </w:pPr>
      <w:bookmarkStart w:id="9" w:name="_Toc16994"/>
      <w:r>
        <w:rPr>
          <w:rFonts w:hint="eastAsia" w:ascii="方正小标宋简体" w:hAnsi="方正小标宋简体" w:eastAsia="方正小标宋简体" w:cs="方正小标宋简体"/>
          <w:sz w:val="72"/>
          <w:szCs w:val="72"/>
        </w:rPr>
        <w:t>综合行政执法局</w:t>
      </w:r>
      <w:bookmarkEnd w:id="9"/>
    </w:p>
    <w:p w14:paraId="7E9D6970">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0" w:name="_Toc31238"/>
      <w:r>
        <w:rPr>
          <w:rFonts w:hint="eastAsia" w:ascii="方正小标宋简体" w:hAnsi="方正小标宋简体" w:eastAsia="方正小标宋简体" w:cs="方正小标宋简体"/>
          <w:sz w:val="72"/>
          <w:szCs w:val="72"/>
        </w:rPr>
        <w:t>部门决算</w:t>
      </w:r>
      <w:bookmarkEnd w:id="3"/>
      <w:bookmarkEnd w:id="4"/>
      <w:bookmarkEnd w:id="5"/>
      <w:bookmarkEnd w:id="6"/>
      <w:bookmarkEnd w:id="7"/>
      <w:bookmarkEnd w:id="8"/>
      <w:bookmarkEnd w:id="10"/>
    </w:p>
    <w:p w14:paraId="670CECCF">
      <w:pPr>
        <w:widowControl/>
        <w:jc w:val="center"/>
        <w:rPr>
          <w:rFonts w:ascii="黑体" w:hAnsi="黑体" w:eastAsia="黑体" w:cstheme="minorBidi"/>
          <w:sz w:val="28"/>
          <w:szCs w:val="28"/>
        </w:rPr>
      </w:pPr>
      <w:r>
        <w:rPr>
          <w:rFonts w:ascii="方正小标宋简体" w:hAnsi="宋体" w:eastAsia="方正小标宋简体"/>
          <w:sz w:val="36"/>
          <w:szCs w:val="36"/>
        </w:rPr>
        <w:br w:type="page"/>
      </w:r>
      <w:r>
        <w:rPr>
          <w:rFonts w:hint="eastAsia" w:ascii="黑体" w:hAnsi="黑体" w:eastAsia="黑体"/>
          <w:sz w:val="48"/>
          <w:szCs w:val="48"/>
        </w:rPr>
        <w:t>目录</w:t>
      </w:r>
    </w:p>
    <w:p w14:paraId="388B0B81">
      <w:pPr>
        <w:pStyle w:val="12"/>
        <w:rPr>
          <w:highlight w:val="none"/>
        </w:rPr>
      </w:pPr>
      <w:r>
        <w:rPr>
          <w:rFonts w:hint="eastAsia"/>
          <w:highlight w:val="none"/>
        </w:rPr>
        <w:t>公开时间：202</w:t>
      </w:r>
      <w:r>
        <w:rPr>
          <w:rFonts w:hint="eastAsia"/>
          <w:highlight w:val="none"/>
          <w:lang w:val="en-US" w:eastAsia="zh-CN"/>
        </w:rPr>
        <w:t>5</w:t>
      </w:r>
      <w:r>
        <w:rPr>
          <w:rFonts w:hint="eastAsia"/>
          <w:highlight w:val="none"/>
        </w:rPr>
        <w:t>年</w:t>
      </w:r>
      <w:r>
        <w:rPr>
          <w:rFonts w:hint="eastAsia"/>
          <w:highlight w:val="none"/>
          <w:lang w:val="en-US" w:eastAsia="zh-CN"/>
        </w:rPr>
        <w:t>10</w:t>
      </w:r>
      <w:r>
        <w:rPr>
          <w:rFonts w:hint="eastAsia"/>
          <w:highlight w:val="none"/>
        </w:rPr>
        <w:t>月</w:t>
      </w:r>
      <w:r>
        <w:rPr>
          <w:rFonts w:hint="eastAsia"/>
          <w:highlight w:val="none"/>
          <w:lang w:val="en-US" w:eastAsia="zh-CN"/>
        </w:rPr>
        <w:t xml:space="preserve">29 </w:t>
      </w:r>
      <w:r>
        <w:rPr>
          <w:rFonts w:hint="eastAsia"/>
          <w:highlight w:val="none"/>
        </w:rPr>
        <w:t>日</w:t>
      </w:r>
      <w:bookmarkStart w:id="90" w:name="_GoBack"/>
      <w:bookmarkEnd w:id="90"/>
    </w:p>
    <w:sdt>
      <w:sdtPr>
        <w:rPr>
          <w:rFonts w:ascii="宋体" w:hAnsi="宋体" w:eastAsia="宋体" w:cs="Times New Roman"/>
          <w:kern w:val="2"/>
          <w:sz w:val="21"/>
          <w:szCs w:val="24"/>
          <w:lang w:val="en-US" w:eastAsia="zh-CN" w:bidi="ar-SA"/>
        </w:rPr>
        <w:id w:val="147479400"/>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14:paraId="4A77EFD7">
          <w:pPr>
            <w:spacing w:before="0" w:beforeLines="0" w:after="0" w:afterLines="0" w:line="240" w:lineRule="auto"/>
            <w:ind w:left="0" w:leftChars="0" w:right="0" w:rightChars="0" w:firstLine="0" w:firstLineChars="0"/>
            <w:jc w:val="center"/>
            <w:rPr>
              <w:b/>
            </w:rPr>
          </w:pPr>
          <w:r>
            <w:fldChar w:fldCharType="begin"/>
          </w:r>
          <w:r>
            <w:instrText xml:space="preserve">TOC \o "1-2" \h \u </w:instrText>
          </w:r>
          <w:r>
            <w:fldChar w:fldCharType="separate"/>
          </w:r>
        </w:p>
        <w:p w14:paraId="6D2BA490">
          <w:pPr>
            <w:pStyle w:val="37"/>
            <w:tabs>
              <w:tab w:val="right" w:leader="dot" w:pos="8306"/>
            </w:tabs>
            <w:spacing w:line="240" w:lineRule="auto"/>
            <w:rPr>
              <w:b/>
            </w:rPr>
          </w:pPr>
          <w:r>
            <w:rPr>
              <w:b/>
            </w:rPr>
            <w:fldChar w:fldCharType="begin"/>
          </w:r>
          <w:r>
            <w:rPr>
              <w:b/>
            </w:rPr>
            <w:instrText xml:space="preserve"> HYPERLINK \l _Toc30863 </w:instrText>
          </w:r>
          <w:r>
            <w:rPr>
              <w:b/>
            </w:rPr>
            <w:fldChar w:fldCharType="separate"/>
          </w:r>
          <w:r>
            <w:rPr>
              <w:rFonts w:hint="eastAsia" w:ascii="黑体" w:hAnsi="黑体" w:eastAsia="黑体"/>
              <w:b/>
            </w:rPr>
            <w:t xml:space="preserve">第一部分 </w:t>
          </w:r>
          <w:r>
            <w:rPr>
              <w:rFonts w:hint="eastAsia" w:ascii="黑体" w:hAnsi="黑体" w:eastAsia="黑体"/>
              <w:b/>
              <w:bCs w:val="0"/>
            </w:rPr>
            <w:t>部门概况</w:t>
          </w:r>
          <w:r>
            <w:rPr>
              <w:b/>
            </w:rPr>
            <w:tab/>
          </w:r>
          <w:r>
            <w:rPr>
              <w:b/>
            </w:rPr>
            <w:fldChar w:fldCharType="begin"/>
          </w:r>
          <w:r>
            <w:rPr>
              <w:b/>
            </w:rPr>
            <w:instrText xml:space="preserve"> PAGEREF _Toc30863 \h </w:instrText>
          </w:r>
          <w:r>
            <w:rPr>
              <w:b/>
            </w:rPr>
            <w:fldChar w:fldCharType="separate"/>
          </w:r>
          <w:r>
            <w:rPr>
              <w:b/>
            </w:rPr>
            <w:t>2</w:t>
          </w:r>
          <w:r>
            <w:rPr>
              <w:b/>
            </w:rPr>
            <w:fldChar w:fldCharType="end"/>
          </w:r>
          <w:r>
            <w:rPr>
              <w:b/>
            </w:rPr>
            <w:fldChar w:fldCharType="end"/>
          </w:r>
        </w:p>
        <w:p w14:paraId="64FA1818">
          <w:pPr>
            <w:pStyle w:val="38"/>
            <w:tabs>
              <w:tab w:val="right" w:leader="dot" w:pos="8306"/>
            </w:tabs>
            <w:spacing w:line="240" w:lineRule="auto"/>
          </w:pPr>
          <w:r>
            <w:fldChar w:fldCharType="begin"/>
          </w:r>
          <w:r>
            <w:instrText xml:space="preserve"> HYPERLINK \l _Toc19017 </w:instrText>
          </w:r>
          <w:r>
            <w:fldChar w:fldCharType="separate"/>
          </w:r>
          <w:r>
            <w:rPr>
              <w:rFonts w:hint="eastAsia" w:ascii="黑体" w:hAnsi="黑体" w:eastAsia="黑体"/>
            </w:rPr>
            <w:t>一、部门职责</w:t>
          </w:r>
          <w:r>
            <w:tab/>
          </w:r>
          <w:r>
            <w:fldChar w:fldCharType="begin"/>
          </w:r>
          <w:r>
            <w:instrText xml:space="preserve"> PAGEREF _Toc19017 \h </w:instrText>
          </w:r>
          <w:r>
            <w:fldChar w:fldCharType="separate"/>
          </w:r>
          <w:r>
            <w:t>3</w:t>
          </w:r>
          <w:r>
            <w:fldChar w:fldCharType="end"/>
          </w:r>
          <w:r>
            <w:fldChar w:fldCharType="end"/>
          </w:r>
        </w:p>
        <w:p w14:paraId="5666A213">
          <w:pPr>
            <w:pStyle w:val="38"/>
            <w:tabs>
              <w:tab w:val="right" w:leader="dot" w:pos="8306"/>
            </w:tabs>
            <w:spacing w:line="240" w:lineRule="auto"/>
          </w:pPr>
          <w:r>
            <w:fldChar w:fldCharType="begin"/>
          </w:r>
          <w:r>
            <w:instrText xml:space="preserve"> HYPERLINK \l _Toc29708 </w:instrText>
          </w:r>
          <w:r>
            <w:fldChar w:fldCharType="separate"/>
          </w:r>
          <w:r>
            <w:rPr>
              <w:rFonts w:hint="eastAsia" w:ascii="黑体" w:eastAsia="黑体"/>
            </w:rPr>
            <w:t>二</w:t>
          </w:r>
          <w:r>
            <w:rPr>
              <w:rFonts w:hint="eastAsia" w:ascii="仿宋" w:hAnsi="仿宋" w:eastAsia="仿宋" w:cs="Times New Roman"/>
              <w:bCs/>
              <w:kern w:val="2"/>
              <w:szCs w:val="32"/>
              <w:lang w:val="en-US" w:eastAsia="zh-CN" w:bidi="ar-SA"/>
            </w:rPr>
            <w:t>、</w:t>
          </w:r>
          <w:r>
            <w:rPr>
              <w:rFonts w:hint="eastAsia" w:ascii="仿宋" w:hAnsi="仿宋" w:eastAsia="仿宋" w:cs="Times New Roman"/>
              <w:b/>
              <w:bCs w:val="0"/>
              <w:kern w:val="2"/>
              <w:szCs w:val="32"/>
              <w:lang w:val="en-US" w:eastAsia="zh-CN" w:bidi="ar-SA"/>
            </w:rPr>
            <w:t>机构设置</w:t>
          </w:r>
          <w:r>
            <w:tab/>
          </w:r>
          <w:r>
            <w:fldChar w:fldCharType="begin"/>
          </w:r>
          <w:r>
            <w:instrText xml:space="preserve"> PAGEREF _Toc29708 \h </w:instrText>
          </w:r>
          <w:r>
            <w:fldChar w:fldCharType="separate"/>
          </w:r>
          <w:r>
            <w:t>3</w:t>
          </w:r>
          <w:r>
            <w:fldChar w:fldCharType="end"/>
          </w:r>
          <w:r>
            <w:fldChar w:fldCharType="end"/>
          </w:r>
        </w:p>
        <w:p w14:paraId="617BA6DF">
          <w:pPr>
            <w:pStyle w:val="37"/>
            <w:tabs>
              <w:tab w:val="right" w:leader="dot" w:pos="8306"/>
            </w:tabs>
            <w:spacing w:line="240" w:lineRule="auto"/>
            <w:rPr>
              <w:b/>
            </w:rPr>
          </w:pPr>
          <w:r>
            <w:rPr>
              <w:b/>
            </w:rPr>
            <w:fldChar w:fldCharType="begin"/>
          </w:r>
          <w:r>
            <w:rPr>
              <w:b/>
            </w:rPr>
            <w:instrText xml:space="preserve"> HYPERLINK \l _Toc17696 </w:instrText>
          </w:r>
          <w:r>
            <w:rPr>
              <w:b/>
            </w:rPr>
            <w:fldChar w:fldCharType="separate"/>
          </w:r>
          <w:r>
            <w:rPr>
              <w:rFonts w:hint="eastAsia" w:ascii="黑体" w:hAnsi="黑体" w:eastAsia="黑体"/>
              <w:b/>
            </w:rPr>
            <w:t xml:space="preserve">第二部分 </w:t>
          </w:r>
          <w:r>
            <w:rPr>
              <w:rFonts w:hint="eastAsia" w:ascii="黑体" w:hAnsi="黑体" w:eastAsia="黑体"/>
              <w:b/>
              <w:lang w:eastAsia="zh-CN"/>
            </w:rPr>
            <w:t>2024</w:t>
          </w:r>
          <w:r>
            <w:rPr>
              <w:rFonts w:hint="eastAsia" w:ascii="黑体" w:hAnsi="黑体" w:eastAsia="黑体"/>
              <w:b/>
            </w:rPr>
            <w:t>年度</w:t>
          </w:r>
          <w:r>
            <w:rPr>
              <w:rFonts w:hint="eastAsia" w:ascii="黑体" w:hAnsi="黑体" w:eastAsia="黑体"/>
              <w:b/>
              <w:bCs/>
            </w:rPr>
            <w:t>部门决算情况说明</w:t>
          </w:r>
          <w:r>
            <w:rPr>
              <w:b/>
            </w:rPr>
            <w:tab/>
          </w:r>
          <w:r>
            <w:rPr>
              <w:rFonts w:hint="eastAsia"/>
              <w:b/>
              <w:lang w:val="en-US" w:eastAsia="zh-CN"/>
            </w:rPr>
            <w:t>4</w:t>
          </w:r>
          <w:r>
            <w:rPr>
              <w:b/>
            </w:rPr>
            <w:fldChar w:fldCharType="end"/>
          </w:r>
        </w:p>
        <w:p w14:paraId="7C6C28DD">
          <w:pPr>
            <w:pStyle w:val="38"/>
            <w:tabs>
              <w:tab w:val="right" w:leader="dot" w:pos="8306"/>
            </w:tabs>
            <w:spacing w:line="240" w:lineRule="auto"/>
          </w:pPr>
          <w:r>
            <w:fldChar w:fldCharType="begin"/>
          </w:r>
          <w:r>
            <w:instrText xml:space="preserve"> HYPERLINK \l _Toc9533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rPr>
              <w:rFonts w:hint="eastAsia"/>
              <w:lang w:val="en-US" w:eastAsia="zh-CN"/>
            </w:rPr>
            <w:t>4</w:t>
          </w:r>
          <w:r>
            <w:fldChar w:fldCharType="end"/>
          </w:r>
        </w:p>
        <w:p w14:paraId="481E800B">
          <w:pPr>
            <w:pStyle w:val="38"/>
            <w:tabs>
              <w:tab w:val="right" w:leader="dot" w:pos="8306"/>
            </w:tabs>
            <w:spacing w:line="240" w:lineRule="auto"/>
          </w:pPr>
          <w:r>
            <w:fldChar w:fldCharType="begin"/>
          </w:r>
          <w:r>
            <w:instrText xml:space="preserve"> HYPERLINK \l _Toc3979 </w:instrText>
          </w:r>
          <w: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rPr>
              <w:rFonts w:hint="eastAsia"/>
              <w:lang w:val="en-US" w:eastAsia="zh-CN"/>
            </w:rPr>
            <w:t>4</w:t>
          </w:r>
          <w:r>
            <w:fldChar w:fldCharType="end"/>
          </w:r>
        </w:p>
        <w:p w14:paraId="25E30AF3">
          <w:pPr>
            <w:pStyle w:val="38"/>
            <w:tabs>
              <w:tab w:val="right" w:leader="dot" w:pos="8306"/>
            </w:tabs>
            <w:spacing w:line="240" w:lineRule="auto"/>
          </w:pPr>
          <w:r>
            <w:fldChar w:fldCharType="begin"/>
          </w:r>
          <w:r>
            <w:instrText xml:space="preserve"> HYPERLINK \l _Toc23928 </w:instrText>
          </w:r>
          <w: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rPr>
              <w:rFonts w:hint="eastAsia"/>
              <w:lang w:val="en-US" w:eastAsia="zh-CN"/>
            </w:rPr>
            <w:t>5</w:t>
          </w:r>
          <w:r>
            <w:fldChar w:fldCharType="end"/>
          </w:r>
        </w:p>
        <w:p w14:paraId="6717FB07">
          <w:pPr>
            <w:pStyle w:val="38"/>
            <w:tabs>
              <w:tab w:val="right" w:leader="dot" w:pos="8306"/>
            </w:tabs>
            <w:spacing w:line="240" w:lineRule="auto"/>
          </w:pPr>
          <w:r>
            <w:fldChar w:fldCharType="begin"/>
          </w:r>
          <w:r>
            <w:instrText xml:space="preserve"> HYPERLINK \l _Toc16614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rPr>
              <w:rFonts w:hint="eastAsia"/>
              <w:lang w:val="en-US" w:eastAsia="zh-CN"/>
            </w:rPr>
            <w:t>6</w:t>
          </w:r>
          <w:r>
            <w:fldChar w:fldCharType="end"/>
          </w:r>
        </w:p>
        <w:p w14:paraId="5A816170">
          <w:pPr>
            <w:pStyle w:val="38"/>
            <w:tabs>
              <w:tab w:val="right" w:leader="dot" w:pos="8306"/>
            </w:tabs>
            <w:spacing w:line="240" w:lineRule="auto"/>
          </w:pPr>
          <w:r>
            <w:fldChar w:fldCharType="begin"/>
          </w:r>
          <w:r>
            <w:instrText xml:space="preserve"> HYPERLINK \l _Toc23443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_Toc23443 \h </w:instrText>
          </w:r>
          <w:r>
            <w:fldChar w:fldCharType="separate"/>
          </w:r>
          <w:r>
            <w:t>7</w:t>
          </w:r>
          <w:r>
            <w:fldChar w:fldCharType="end"/>
          </w:r>
          <w:r>
            <w:fldChar w:fldCharType="end"/>
          </w:r>
        </w:p>
        <w:p w14:paraId="5CF51F34">
          <w:pPr>
            <w:pStyle w:val="38"/>
            <w:tabs>
              <w:tab w:val="right" w:leader="dot" w:pos="8306"/>
            </w:tabs>
            <w:spacing w:line="240" w:lineRule="auto"/>
          </w:pPr>
          <w:r>
            <w:fldChar w:fldCharType="begin"/>
          </w:r>
          <w:r>
            <w:instrText xml:space="preserve"> HYPERLINK \l _Toc32552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_Toc32552 \h </w:instrText>
          </w:r>
          <w:r>
            <w:fldChar w:fldCharType="separate"/>
          </w:r>
          <w:r>
            <w:t>11</w:t>
          </w:r>
          <w:r>
            <w:fldChar w:fldCharType="end"/>
          </w:r>
          <w:r>
            <w:fldChar w:fldCharType="end"/>
          </w:r>
        </w:p>
        <w:p w14:paraId="6A52D935">
          <w:pPr>
            <w:pStyle w:val="38"/>
            <w:tabs>
              <w:tab w:val="right" w:leader="dot" w:pos="8306"/>
            </w:tabs>
            <w:spacing w:line="240" w:lineRule="auto"/>
          </w:pPr>
          <w:r>
            <w:fldChar w:fldCharType="begin"/>
          </w:r>
          <w:r>
            <w:instrText xml:space="preserve"> HYPERLINK \l _Toc21071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_Toc21071 \h </w:instrText>
          </w:r>
          <w:r>
            <w:fldChar w:fldCharType="separate"/>
          </w:r>
          <w:r>
            <w:t>11</w:t>
          </w:r>
          <w:r>
            <w:fldChar w:fldCharType="end"/>
          </w:r>
          <w:r>
            <w:fldChar w:fldCharType="end"/>
          </w:r>
        </w:p>
        <w:p w14:paraId="526A92A9">
          <w:pPr>
            <w:pStyle w:val="38"/>
            <w:tabs>
              <w:tab w:val="right" w:leader="dot" w:pos="8306"/>
            </w:tabs>
            <w:spacing w:line="240" w:lineRule="auto"/>
          </w:pPr>
          <w:r>
            <w:fldChar w:fldCharType="begin"/>
          </w:r>
          <w:r>
            <w:instrText xml:space="preserve"> HYPERLINK \l _Toc25930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_Toc25930 \h </w:instrText>
          </w:r>
          <w:r>
            <w:fldChar w:fldCharType="separate"/>
          </w:r>
          <w:r>
            <w:t>13</w:t>
          </w:r>
          <w:r>
            <w:fldChar w:fldCharType="end"/>
          </w:r>
          <w:r>
            <w:fldChar w:fldCharType="end"/>
          </w:r>
        </w:p>
        <w:p w14:paraId="0E824F91">
          <w:pPr>
            <w:pStyle w:val="38"/>
            <w:tabs>
              <w:tab w:val="right" w:leader="dot" w:pos="8306"/>
            </w:tabs>
            <w:spacing w:line="240" w:lineRule="auto"/>
            <w:rPr>
              <w:rFonts w:hint="eastAsia" w:eastAsiaTheme="minorEastAsia"/>
              <w:lang w:val="en-US" w:eastAsia="zh-CN"/>
            </w:rPr>
          </w:pPr>
          <w:r>
            <w:fldChar w:fldCharType="begin"/>
          </w:r>
          <w:r>
            <w:instrText xml:space="preserve"> HYPERLINK \l _Toc16183 </w:instrText>
          </w:r>
          <w:r>
            <w:fldChar w:fldCharType="separate"/>
          </w:r>
          <w:r>
            <w:rPr>
              <w:rFonts w:hint="eastAsia" w:ascii="黑体" w:hAnsi="黑体" w:eastAsia="黑体"/>
            </w:rPr>
            <w:t>九、 国有资本经营预算支出决算情况说明</w:t>
          </w:r>
          <w:r>
            <w:tab/>
          </w:r>
          <w:r>
            <w:rPr>
              <w:rFonts w:hint="eastAsia"/>
              <w:lang w:val="en-US" w:eastAsia="zh-CN"/>
            </w:rPr>
            <w:t>1</w:t>
          </w:r>
          <w:r>
            <w:fldChar w:fldCharType="end"/>
          </w:r>
          <w:r>
            <w:rPr>
              <w:rFonts w:hint="eastAsia"/>
              <w:lang w:val="en-US" w:eastAsia="zh-CN"/>
            </w:rPr>
            <w:t>3</w:t>
          </w:r>
        </w:p>
        <w:p w14:paraId="32EE5B0C">
          <w:pPr>
            <w:pStyle w:val="38"/>
            <w:tabs>
              <w:tab w:val="right" w:leader="dot" w:pos="8306"/>
            </w:tabs>
            <w:spacing w:line="240" w:lineRule="auto"/>
            <w:rPr>
              <w:rFonts w:hint="eastAsia" w:eastAsiaTheme="minorEastAsia"/>
              <w:lang w:val="en-US" w:eastAsia="zh-CN"/>
            </w:rPr>
          </w:pPr>
          <w:r>
            <w:fldChar w:fldCharType="begin"/>
          </w:r>
          <w:r>
            <w:instrText xml:space="preserve"> HYPERLINK \l _Toc4164 </w:instrText>
          </w:r>
          <w:r>
            <w:fldChar w:fldCharType="separate"/>
          </w:r>
          <w:r>
            <w:rPr>
              <w:rFonts w:hint="eastAsia" w:ascii="黑体" w:hAnsi="黑体" w:eastAsia="黑体"/>
            </w:rPr>
            <w:t>十、 其他重要事项的情况说明</w:t>
          </w:r>
          <w:r>
            <w:tab/>
          </w:r>
          <w:r>
            <w:rPr>
              <w:rFonts w:hint="eastAsia"/>
              <w:lang w:val="en-US" w:eastAsia="zh-CN"/>
            </w:rPr>
            <w:t>1</w:t>
          </w:r>
          <w:r>
            <w:fldChar w:fldCharType="end"/>
          </w:r>
          <w:r>
            <w:rPr>
              <w:rFonts w:hint="eastAsia"/>
              <w:lang w:val="en-US" w:eastAsia="zh-CN"/>
            </w:rPr>
            <w:t>3</w:t>
          </w:r>
        </w:p>
        <w:p w14:paraId="6AC3F6E9">
          <w:pPr>
            <w:pStyle w:val="37"/>
            <w:tabs>
              <w:tab w:val="right" w:leader="dot" w:pos="8306"/>
            </w:tabs>
            <w:spacing w:line="240" w:lineRule="auto"/>
          </w:pPr>
          <w:r>
            <w:rPr>
              <w:b/>
            </w:rPr>
            <w:fldChar w:fldCharType="begin"/>
          </w:r>
          <w:r>
            <w:rPr>
              <w:b/>
            </w:rPr>
            <w:instrText xml:space="preserve"> HYPERLINK \l _Toc31315 </w:instrText>
          </w:r>
          <w:r>
            <w:rPr>
              <w:b/>
            </w:rPr>
            <w:fldChar w:fldCharType="separate"/>
          </w:r>
          <w:r>
            <w:rPr>
              <w:rFonts w:hint="eastAsia" w:ascii="Times New Roman" w:hAnsi="Times New Roman" w:eastAsia="宋体" w:cs="Times New Roman"/>
              <w:b/>
              <w:bCs/>
              <w:kern w:val="44"/>
              <w:szCs w:val="44"/>
              <w:lang w:val="en-US" w:eastAsia="zh-CN" w:bidi="ar-SA"/>
            </w:rPr>
            <w:t>第三部分 名词解释</w:t>
          </w:r>
          <w:r>
            <w:rPr>
              <w:b/>
            </w:rPr>
            <w:tab/>
          </w:r>
          <w:r>
            <w:rPr>
              <w:b/>
            </w:rPr>
            <w:fldChar w:fldCharType="begin"/>
          </w:r>
          <w:r>
            <w:rPr>
              <w:b/>
            </w:rPr>
            <w:instrText xml:space="preserve"> PAGEREF _Toc31315 \h </w:instrText>
          </w:r>
          <w:r>
            <w:rPr>
              <w:b/>
            </w:rPr>
            <w:fldChar w:fldCharType="separate"/>
          </w:r>
          <w:r>
            <w:rPr>
              <w:b/>
            </w:rPr>
            <w:t>16</w:t>
          </w:r>
          <w:r>
            <w:rPr>
              <w:b/>
            </w:rPr>
            <w:fldChar w:fldCharType="end"/>
          </w:r>
          <w:r>
            <w:rPr>
              <w:b/>
            </w:rPr>
            <w:fldChar w:fldCharType="end"/>
          </w:r>
        </w:p>
        <w:p w14:paraId="60493481">
          <w:pPr>
            <w:pStyle w:val="37"/>
            <w:tabs>
              <w:tab w:val="right" w:leader="dot" w:pos="8306"/>
            </w:tabs>
            <w:spacing w:line="240" w:lineRule="auto"/>
          </w:pPr>
          <w:r>
            <w:rPr>
              <w:b/>
            </w:rPr>
            <w:fldChar w:fldCharType="begin"/>
          </w:r>
          <w:r>
            <w:rPr>
              <w:b/>
            </w:rPr>
            <w:instrText xml:space="preserve"> HYPERLINK \l _Toc26053 </w:instrText>
          </w:r>
          <w:r>
            <w:rPr>
              <w:b/>
            </w:rPr>
            <w:fldChar w:fldCharType="separate"/>
          </w:r>
          <w:r>
            <w:rPr>
              <w:rFonts w:hint="eastAsia" w:ascii="方正小标宋简体" w:hAnsi="方正小标宋简体" w:eastAsia="方正小标宋简体" w:cs="Times New Roman"/>
              <w:b/>
              <w:szCs w:val="44"/>
            </w:rPr>
            <w:t>第四部分 附件</w:t>
          </w:r>
          <w:r>
            <w:rPr>
              <w:b/>
            </w:rPr>
            <w:tab/>
          </w:r>
          <w:r>
            <w:rPr>
              <w:b/>
            </w:rPr>
            <w:fldChar w:fldCharType="begin"/>
          </w:r>
          <w:r>
            <w:rPr>
              <w:b/>
            </w:rPr>
            <w:instrText xml:space="preserve"> PAGEREF _Toc26053 \h </w:instrText>
          </w:r>
          <w:r>
            <w:rPr>
              <w:b/>
            </w:rPr>
            <w:fldChar w:fldCharType="separate"/>
          </w:r>
          <w:r>
            <w:rPr>
              <w:b/>
            </w:rPr>
            <w:t>20</w:t>
          </w:r>
          <w:r>
            <w:rPr>
              <w:b/>
            </w:rPr>
            <w:fldChar w:fldCharType="end"/>
          </w:r>
          <w:r>
            <w:rPr>
              <w:b/>
            </w:rPr>
            <w:fldChar w:fldCharType="end"/>
          </w:r>
        </w:p>
        <w:p w14:paraId="42D3F6AF">
          <w:pPr>
            <w:pStyle w:val="37"/>
            <w:tabs>
              <w:tab w:val="right" w:leader="dot" w:pos="8306"/>
            </w:tabs>
            <w:spacing w:line="240" w:lineRule="auto"/>
            <w:rPr>
              <w:b/>
            </w:rPr>
          </w:pPr>
          <w:r>
            <w:rPr>
              <w:b/>
            </w:rPr>
            <w:fldChar w:fldCharType="begin"/>
          </w:r>
          <w:r>
            <w:rPr>
              <w:b/>
            </w:rPr>
            <w:instrText xml:space="preserve"> HYPERLINK \l _Toc7074 </w:instrText>
          </w:r>
          <w:r>
            <w:rPr>
              <w:b/>
            </w:rPr>
            <w:fldChar w:fldCharType="separate"/>
          </w:r>
          <w:r>
            <w:rPr>
              <w:rFonts w:hint="eastAsia" w:ascii="方正小标宋简体" w:hAnsi="方正小标宋简体" w:eastAsia="方正小标宋简体" w:cs="Times New Roman"/>
              <w:b/>
              <w:szCs w:val="44"/>
              <w:lang w:val="zh-CN"/>
            </w:rPr>
            <w:t>第五部分 附表</w:t>
          </w:r>
          <w:r>
            <w:rPr>
              <w:b/>
            </w:rPr>
            <w:tab/>
          </w:r>
          <w:r>
            <w:rPr>
              <w:b/>
            </w:rPr>
            <w:fldChar w:fldCharType="begin"/>
          </w:r>
          <w:r>
            <w:rPr>
              <w:b/>
            </w:rPr>
            <w:instrText xml:space="preserve"> PAGEREF _Toc7074 \h </w:instrText>
          </w:r>
          <w:r>
            <w:rPr>
              <w:b/>
            </w:rPr>
            <w:fldChar w:fldCharType="separate"/>
          </w:r>
          <w:r>
            <w:rPr>
              <w:b/>
            </w:rPr>
            <w:t>46</w:t>
          </w:r>
          <w:r>
            <w:rPr>
              <w:b/>
            </w:rPr>
            <w:fldChar w:fldCharType="end"/>
          </w:r>
          <w:r>
            <w:rPr>
              <w:b/>
            </w:rPr>
            <w:fldChar w:fldCharType="end"/>
          </w:r>
        </w:p>
        <w:p w14:paraId="0306FD05">
          <w:pPr>
            <w:pStyle w:val="14"/>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default" w:eastAsia="宋体"/>
              <w:b/>
              <w:bCs/>
              <w:color w:val="auto"/>
              <w:sz w:val="20"/>
              <w:szCs w:val="20"/>
              <w:highlight w:val="none"/>
              <w:lang w:val="en-US" w:eastAsia="zh-CN"/>
            </w:rPr>
          </w:pPr>
          <w:r>
            <w:rPr>
              <w:rFonts w:hint="eastAsia"/>
              <w:b/>
              <w:bCs/>
              <w:color w:val="auto"/>
              <w:sz w:val="20"/>
              <w:szCs w:val="20"/>
              <w:highlight w:val="none"/>
            </w:rPr>
            <w:t>一、</w:t>
          </w:r>
          <w:r>
            <w:rPr>
              <w:rFonts w:hint="eastAsia" w:ascii="黑体" w:hAnsi="黑体" w:eastAsia="黑体" w:cs="黑体"/>
              <w:b/>
              <w:bCs/>
              <w:color w:val="auto"/>
              <w:sz w:val="20"/>
              <w:szCs w:val="20"/>
              <w:highlight w:val="none"/>
            </w:rPr>
            <w:t>收入支出决算总表</w:t>
          </w:r>
          <w:r>
            <w:rPr>
              <w:rFonts w:hint="eastAsia"/>
              <w:b/>
              <w:bCs/>
              <w:color w:val="auto"/>
              <w:sz w:val="20"/>
              <w:szCs w:val="20"/>
              <w:highlight w:val="none"/>
              <w:lang w:val="en-US" w:eastAsia="zh-CN"/>
            </w:rPr>
            <w:t>.................................................................................................................46</w:t>
          </w:r>
        </w:p>
        <w:p w14:paraId="44CF47DD">
          <w:pPr>
            <w:pStyle w:val="14"/>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default" w:eastAsia="宋体"/>
              <w:b/>
              <w:bCs/>
              <w:color w:val="auto"/>
              <w:sz w:val="20"/>
              <w:szCs w:val="20"/>
              <w:highlight w:val="none"/>
              <w:lang w:val="en-US" w:eastAsia="zh-CN"/>
            </w:rPr>
          </w:pPr>
          <w:r>
            <w:rPr>
              <w:rFonts w:hint="eastAsia"/>
              <w:b/>
              <w:bCs/>
              <w:color w:val="auto"/>
              <w:sz w:val="20"/>
              <w:szCs w:val="20"/>
              <w:highlight w:val="none"/>
            </w:rPr>
            <w:t>二、收入决算表</w:t>
          </w:r>
          <w:r>
            <w:rPr>
              <w:rFonts w:hint="eastAsia"/>
              <w:b/>
              <w:bCs/>
              <w:color w:val="auto"/>
              <w:sz w:val="20"/>
              <w:szCs w:val="20"/>
              <w:highlight w:val="none"/>
              <w:lang w:val="en-US" w:eastAsia="zh-CN"/>
            </w:rPr>
            <w:t>.............................................................................................................................46</w:t>
          </w:r>
        </w:p>
        <w:p w14:paraId="1F744ADB">
          <w:pPr>
            <w:pStyle w:val="14"/>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default" w:eastAsia="宋体"/>
              <w:b/>
              <w:bCs/>
              <w:color w:val="auto"/>
              <w:sz w:val="20"/>
              <w:szCs w:val="20"/>
              <w:highlight w:val="none"/>
              <w:lang w:val="en-US" w:eastAsia="zh-CN"/>
            </w:rPr>
          </w:pPr>
          <w:r>
            <w:rPr>
              <w:rFonts w:hint="eastAsia"/>
              <w:b/>
              <w:bCs/>
              <w:color w:val="auto"/>
              <w:sz w:val="20"/>
              <w:szCs w:val="20"/>
              <w:highlight w:val="none"/>
            </w:rPr>
            <w:t>三、支出决算表</w:t>
          </w:r>
          <w:r>
            <w:rPr>
              <w:rFonts w:hint="eastAsia"/>
              <w:b/>
              <w:bCs/>
              <w:color w:val="auto"/>
              <w:sz w:val="20"/>
              <w:szCs w:val="20"/>
              <w:highlight w:val="none"/>
              <w:lang w:val="en-US" w:eastAsia="zh-CN"/>
            </w:rPr>
            <w:t>..............................................................................................................................46</w:t>
          </w:r>
        </w:p>
        <w:p w14:paraId="498F89B1">
          <w:pPr>
            <w:pStyle w:val="14"/>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default" w:eastAsia="宋体"/>
              <w:b/>
              <w:bCs/>
              <w:color w:val="auto"/>
              <w:sz w:val="20"/>
              <w:szCs w:val="20"/>
              <w:highlight w:val="none"/>
              <w:lang w:val="en-US" w:eastAsia="zh-CN"/>
            </w:rPr>
          </w:pPr>
          <w:r>
            <w:rPr>
              <w:rFonts w:hint="eastAsia"/>
              <w:b/>
              <w:bCs/>
              <w:color w:val="auto"/>
              <w:sz w:val="20"/>
              <w:szCs w:val="20"/>
              <w:highlight w:val="none"/>
            </w:rPr>
            <w:t>四、财政拨款收入支出决算总表</w:t>
          </w:r>
          <w:r>
            <w:rPr>
              <w:rFonts w:hint="eastAsia"/>
              <w:b/>
              <w:bCs/>
              <w:color w:val="auto"/>
              <w:sz w:val="20"/>
              <w:szCs w:val="20"/>
              <w:highlight w:val="none"/>
              <w:lang w:val="en-US" w:eastAsia="zh-CN"/>
            </w:rPr>
            <w:t>.................................................................................................46</w:t>
          </w:r>
        </w:p>
        <w:p w14:paraId="370DC8EC">
          <w:pPr>
            <w:pStyle w:val="14"/>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default" w:eastAsia="宋体"/>
              <w:b/>
              <w:bCs/>
              <w:color w:val="auto"/>
              <w:sz w:val="20"/>
              <w:szCs w:val="20"/>
              <w:highlight w:val="none"/>
              <w:lang w:val="en-US" w:eastAsia="zh-CN"/>
            </w:rPr>
          </w:pPr>
          <w:r>
            <w:rPr>
              <w:rFonts w:hint="eastAsia"/>
              <w:b/>
              <w:bCs/>
              <w:color w:val="auto"/>
              <w:sz w:val="20"/>
              <w:szCs w:val="20"/>
              <w:highlight w:val="none"/>
            </w:rPr>
            <w:t>五、财政拨款支出决算明细表</w:t>
          </w:r>
          <w:r>
            <w:rPr>
              <w:rFonts w:hint="eastAsia"/>
              <w:b/>
              <w:bCs/>
              <w:color w:val="auto"/>
              <w:sz w:val="20"/>
              <w:szCs w:val="20"/>
              <w:highlight w:val="none"/>
              <w:lang w:val="en-US" w:eastAsia="zh-CN"/>
            </w:rPr>
            <w:t>......................................................................................................46</w:t>
          </w:r>
        </w:p>
        <w:p w14:paraId="7117438E">
          <w:pPr>
            <w:pStyle w:val="14"/>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default" w:eastAsia="宋体"/>
              <w:b/>
              <w:bCs/>
              <w:color w:val="auto"/>
              <w:sz w:val="20"/>
              <w:szCs w:val="20"/>
              <w:highlight w:val="none"/>
              <w:lang w:val="en-US" w:eastAsia="zh-CN"/>
            </w:rPr>
          </w:pPr>
          <w:r>
            <w:rPr>
              <w:rFonts w:hint="eastAsia"/>
              <w:b/>
              <w:bCs/>
              <w:color w:val="auto"/>
              <w:sz w:val="20"/>
              <w:szCs w:val="20"/>
              <w:highlight w:val="none"/>
            </w:rPr>
            <w:t>六、一般公共预算财政拨款支出决算表</w:t>
          </w:r>
          <w:r>
            <w:rPr>
              <w:rFonts w:hint="eastAsia"/>
              <w:b/>
              <w:bCs/>
              <w:color w:val="auto"/>
              <w:sz w:val="20"/>
              <w:szCs w:val="20"/>
              <w:highlight w:val="none"/>
              <w:lang w:val="en-US" w:eastAsia="zh-CN"/>
            </w:rPr>
            <w:t>.....................................................................................46</w:t>
          </w:r>
        </w:p>
        <w:p w14:paraId="57E2B6B1">
          <w:pPr>
            <w:pStyle w:val="14"/>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default" w:eastAsia="宋体"/>
              <w:b/>
              <w:bCs/>
              <w:color w:val="auto"/>
              <w:sz w:val="20"/>
              <w:szCs w:val="20"/>
              <w:highlight w:val="none"/>
              <w:lang w:val="en-US" w:eastAsia="zh-CN"/>
            </w:rPr>
          </w:pPr>
          <w:r>
            <w:rPr>
              <w:rFonts w:hint="eastAsia"/>
              <w:b/>
              <w:bCs/>
              <w:color w:val="auto"/>
              <w:sz w:val="20"/>
              <w:szCs w:val="20"/>
              <w:highlight w:val="none"/>
            </w:rPr>
            <w:t>七、一般公共预算财政拨款支出决算明细表</w:t>
          </w:r>
          <w:r>
            <w:rPr>
              <w:rFonts w:hint="eastAsia"/>
              <w:b/>
              <w:bCs/>
              <w:color w:val="auto"/>
              <w:sz w:val="20"/>
              <w:szCs w:val="20"/>
              <w:highlight w:val="none"/>
              <w:lang w:val="en-US" w:eastAsia="zh-CN"/>
            </w:rPr>
            <w:t>..............................................................................46</w:t>
          </w:r>
          <w:r>
            <w:rPr>
              <w:rFonts w:hint="eastAsia"/>
              <w:b/>
              <w:bCs/>
              <w:color w:val="auto"/>
              <w:sz w:val="20"/>
              <w:szCs w:val="20"/>
              <w:highlight w:val="none"/>
            </w:rPr>
            <w:t>八、一般公共预算财政拨款基本支出决算明细表</w:t>
          </w:r>
          <w:r>
            <w:rPr>
              <w:rFonts w:hint="eastAsia"/>
              <w:b/>
              <w:bCs/>
              <w:color w:val="auto"/>
              <w:sz w:val="20"/>
              <w:szCs w:val="20"/>
              <w:highlight w:val="none"/>
              <w:lang w:val="en-US" w:eastAsia="zh-CN"/>
            </w:rPr>
            <w:t>......................................................................46</w:t>
          </w:r>
          <w:r>
            <w:rPr>
              <w:rFonts w:hint="eastAsia"/>
              <w:b/>
              <w:bCs/>
              <w:color w:val="auto"/>
              <w:sz w:val="20"/>
              <w:szCs w:val="20"/>
              <w:highlight w:val="none"/>
            </w:rPr>
            <w:t>九、一般公共预算财政拨款项目支出决算表</w:t>
          </w:r>
          <w:r>
            <w:rPr>
              <w:rFonts w:hint="eastAsia"/>
              <w:b/>
              <w:bCs/>
              <w:color w:val="auto"/>
              <w:sz w:val="20"/>
              <w:szCs w:val="20"/>
              <w:highlight w:val="none"/>
              <w:lang w:val="en-US" w:eastAsia="zh-CN"/>
            </w:rPr>
            <w:t>..............................................................................46</w:t>
          </w:r>
          <w:r>
            <w:rPr>
              <w:rFonts w:hint="eastAsia"/>
              <w:b/>
              <w:bCs/>
              <w:color w:val="auto"/>
              <w:sz w:val="20"/>
              <w:szCs w:val="20"/>
              <w:highlight w:val="none"/>
            </w:rPr>
            <w:t>十、政府性基金预算财政拨款收入支出决算表</w:t>
          </w:r>
          <w:r>
            <w:rPr>
              <w:rFonts w:hint="eastAsia"/>
              <w:b/>
              <w:bCs/>
              <w:color w:val="auto"/>
              <w:sz w:val="20"/>
              <w:szCs w:val="20"/>
              <w:highlight w:val="none"/>
              <w:lang w:val="en-US" w:eastAsia="zh-CN"/>
            </w:rPr>
            <w:t>..........................................................................46</w:t>
          </w:r>
        </w:p>
        <w:p w14:paraId="2E93417A">
          <w:pPr>
            <w:pStyle w:val="14"/>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default" w:eastAsia="宋体"/>
              <w:b/>
              <w:bCs/>
              <w:color w:val="auto"/>
              <w:sz w:val="20"/>
              <w:szCs w:val="20"/>
              <w:highlight w:val="none"/>
              <w:lang w:val="en-US" w:eastAsia="zh-CN"/>
            </w:rPr>
          </w:pPr>
          <w:r>
            <w:rPr>
              <w:rFonts w:hint="eastAsia"/>
              <w:b/>
              <w:bCs/>
              <w:color w:val="auto"/>
              <w:sz w:val="20"/>
              <w:szCs w:val="20"/>
              <w:highlight w:val="none"/>
            </w:rPr>
            <w:t>十一、国有资本经营预算财政拨款收入支出决算表</w:t>
          </w:r>
          <w:r>
            <w:rPr>
              <w:rFonts w:hint="eastAsia"/>
              <w:b/>
              <w:bCs/>
              <w:color w:val="auto"/>
              <w:sz w:val="20"/>
              <w:szCs w:val="20"/>
              <w:highlight w:val="none"/>
              <w:lang w:val="en-US" w:eastAsia="zh-CN"/>
            </w:rPr>
            <w:t>................................................................ 46</w:t>
          </w:r>
        </w:p>
        <w:p w14:paraId="5605C15B">
          <w:pPr>
            <w:pStyle w:val="14"/>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default" w:eastAsia="宋体"/>
              <w:b/>
              <w:bCs/>
              <w:color w:val="auto"/>
              <w:sz w:val="20"/>
              <w:szCs w:val="20"/>
              <w:highlight w:val="none"/>
              <w:lang w:val="en-US" w:eastAsia="zh-CN"/>
            </w:rPr>
          </w:pPr>
          <w:r>
            <w:rPr>
              <w:rFonts w:hint="eastAsia"/>
              <w:b/>
              <w:bCs/>
              <w:color w:val="auto"/>
              <w:sz w:val="20"/>
              <w:szCs w:val="20"/>
              <w:highlight w:val="none"/>
            </w:rPr>
            <w:t>十二、国有资本经营预算财政拨款支出决算表</w:t>
          </w:r>
          <w:r>
            <w:rPr>
              <w:rFonts w:hint="eastAsia"/>
              <w:b/>
              <w:bCs/>
              <w:color w:val="auto"/>
              <w:sz w:val="20"/>
              <w:szCs w:val="20"/>
              <w:highlight w:val="none"/>
              <w:lang w:val="en-US" w:eastAsia="zh-CN"/>
            </w:rPr>
            <w:t>..........................................................................46</w:t>
          </w:r>
        </w:p>
        <w:p w14:paraId="178D4EA7">
          <w:pPr>
            <w:pStyle w:val="14"/>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default" w:ascii="Times New Roman" w:hAnsi="Times New Roman" w:eastAsia="宋体" w:cs="Times New Roman"/>
              <w:b/>
              <w:bCs/>
              <w:color w:val="auto"/>
              <w:sz w:val="20"/>
              <w:szCs w:val="20"/>
              <w:highlight w:val="none"/>
              <w:lang w:val="en-US" w:eastAsia="zh-CN"/>
            </w:rPr>
          </w:pPr>
          <w:r>
            <w:rPr>
              <w:rFonts w:hint="eastAsia"/>
              <w:b/>
              <w:bCs/>
              <w:color w:val="auto"/>
              <w:sz w:val="20"/>
              <w:szCs w:val="20"/>
              <w:highlight w:val="none"/>
            </w:rPr>
            <w:t>十三、财政拨款“三公”经费支出决算</w:t>
          </w:r>
          <w:r>
            <w:rPr>
              <w:rFonts w:hint="eastAsia" w:ascii="Times New Roman" w:hAnsi="Times New Roman" w:eastAsia="宋体" w:cs="Times New Roman"/>
              <w:b/>
              <w:bCs/>
              <w:color w:val="auto"/>
              <w:sz w:val="20"/>
              <w:szCs w:val="20"/>
              <w:highlight w:val="none"/>
              <w:lang w:val="en-US" w:eastAsia="zh-CN"/>
            </w:rPr>
            <w:t>表............................................................................... .46</w:t>
          </w:r>
        </w:p>
        <w:p w14:paraId="0D656593">
          <w:pPr>
            <w:spacing w:line="240" w:lineRule="auto"/>
          </w:pPr>
          <w:r>
            <w:rPr>
              <w:b/>
            </w:rPr>
            <w:fldChar w:fldCharType="end"/>
          </w:r>
          <w:bookmarkStart w:id="11" w:name="_Toc30863"/>
        </w:p>
      </w:sdtContent>
    </w:sdt>
    <w:p w14:paraId="4BBC8ADC">
      <w:pPr>
        <w:rPr>
          <w:rFonts w:hint="eastAsia" w:ascii="黑体" w:hAnsi="黑体" w:eastAsia="黑体"/>
          <w:b w:val="0"/>
        </w:rPr>
      </w:pPr>
    </w:p>
    <w:p w14:paraId="02AF0BE4">
      <w:pPr>
        <w:pStyle w:val="2"/>
        <w:rPr>
          <w:rFonts w:hint="eastAsia" w:ascii="黑体" w:hAnsi="黑体" w:eastAsia="黑体"/>
          <w:b w:val="0"/>
        </w:rPr>
      </w:pPr>
    </w:p>
    <w:p w14:paraId="51C4652E">
      <w:pPr>
        <w:pStyle w:val="4"/>
        <w:rPr>
          <w:rFonts w:hint="eastAsia"/>
        </w:rPr>
      </w:pPr>
    </w:p>
    <w:p w14:paraId="69407574">
      <w:pPr>
        <w:ind w:firstLine="1760" w:firstLineChars="400"/>
        <w:rPr>
          <w:rFonts w:ascii="黑体" w:eastAsia="黑体"/>
          <w:sz w:val="32"/>
          <w:szCs w:val="32"/>
        </w:rPr>
      </w:pPr>
      <w:r>
        <w:rPr>
          <w:rStyle w:val="31"/>
          <w:rFonts w:hint="eastAsia" w:ascii="黑体" w:hAnsi="黑体" w:eastAsia="黑体" w:cs="Times New Roman"/>
          <w:b w:val="0"/>
          <w:bCs w:val="0"/>
          <w:lang w:val="en-US" w:eastAsia="zh-CN" w:bidi="ar-SA"/>
        </w:rPr>
        <w:t>第一部分 部门</w:t>
      </w:r>
      <w:r>
        <w:rPr>
          <w:rStyle w:val="31"/>
          <w:rFonts w:hint="eastAsia" w:ascii="黑体" w:hAnsi="黑体" w:eastAsia="黑体"/>
          <w:b w:val="0"/>
          <w:bCs w:val="0"/>
        </w:rPr>
        <w:t>概况</w:t>
      </w:r>
      <w:bookmarkEnd w:id="11"/>
    </w:p>
    <w:p w14:paraId="5F13F7BE">
      <w:pPr>
        <w:pStyle w:val="6"/>
        <w:ind w:firstLine="640" w:firstLineChars="200"/>
        <w:rPr>
          <w:rFonts w:hint="eastAsia" w:ascii="黑体" w:hAnsi="黑体" w:eastAsia="黑体"/>
          <w:b w:val="0"/>
        </w:rPr>
      </w:pPr>
      <w:bookmarkStart w:id="12" w:name="_Toc15396600"/>
      <w:bookmarkStart w:id="13" w:name="_Toc15377197"/>
      <w:bookmarkStart w:id="14" w:name="_Toc19017"/>
      <w:r>
        <w:rPr>
          <w:rFonts w:hint="eastAsia" w:ascii="黑体" w:hAnsi="黑体" w:eastAsia="黑体"/>
          <w:b w:val="0"/>
        </w:rPr>
        <w:t>一、</w:t>
      </w:r>
      <w:bookmarkEnd w:id="12"/>
      <w:bookmarkEnd w:id="13"/>
      <w:r>
        <w:rPr>
          <w:rFonts w:hint="eastAsia" w:ascii="黑体" w:hAnsi="黑体" w:eastAsia="黑体"/>
          <w:b w:val="0"/>
        </w:rPr>
        <w:t>部门职责</w:t>
      </w:r>
      <w:bookmarkEnd w:id="14"/>
    </w:p>
    <w:p w14:paraId="18FE90AA">
      <w:pPr>
        <w:spacing w:line="360" w:lineRule="auto"/>
        <w:ind w:right="103" w:rightChars="49" w:firstLine="640" w:firstLineChars="200"/>
      </w:pPr>
      <w:bookmarkStart w:id="15" w:name="_Toc29708"/>
      <w:bookmarkStart w:id="16" w:name="_Toc15377200"/>
      <w:bookmarkStart w:id="17" w:name="_Toc15396601"/>
      <w:r>
        <w:rPr>
          <w:rFonts w:hint="eastAsia" w:ascii="仿宋_GB2312" w:hAnsi="仿宋_GB2312" w:eastAsia="仿宋_GB2312" w:cs="Times New Roman"/>
          <w:color w:val="auto"/>
          <w:kern w:val="2"/>
          <w:sz w:val="32"/>
          <w:szCs w:val="24"/>
          <w:lang w:val="zh-CN" w:eastAsia="zh-CN" w:bidi="ar-SA"/>
        </w:rPr>
        <w:t xml:space="preserve">五通桥区综合行政执法局负责集中行使除公安、税务、农业农村、应急管理、保密部门和生态环境部分领域以外的本级行政部门的行政处罚权和相应的行政检查权、行政强制权。行使发展和改革、自然资源、经济和信息化、教育管理、民政管理、司法、财政、人力资源和社会保障、住房和城乡建设、城市管理、交通运输、水务、文化体育和旅游、卫生健康、退役军人事务、审计、市场监督管理、统计、医疗保障、商务和经济合作、残疾人权益保护、民族宗教、网信、档案等领域所有的行政处罚权和相应的行政检查权、行政强制权。   </w:t>
      </w:r>
      <w:r>
        <w:rPr>
          <w:rFonts w:hint="eastAsia" w:ascii="仿宋" w:hAnsi="仿宋" w:eastAsia="仿宋" w:cs="Times New Roman"/>
          <w:bCs/>
          <w:sz w:val="32"/>
          <w:szCs w:val="32"/>
        </w:rPr>
        <w:t xml:space="preserve">       </w:t>
      </w:r>
    </w:p>
    <w:p w14:paraId="616363DF">
      <w:pPr>
        <w:pStyle w:val="6"/>
        <w:ind w:firstLine="640" w:firstLineChars="200"/>
        <w:rPr>
          <w:rFonts w:hint="eastAsia" w:ascii="黑体" w:hAnsi="黑体" w:eastAsia="黑体"/>
          <w:b w:val="0"/>
          <w:lang w:val="en-US" w:eastAsia="zh-CN"/>
        </w:rPr>
      </w:pPr>
      <w:r>
        <w:rPr>
          <w:rFonts w:hint="eastAsia" w:ascii="黑体" w:hAnsi="黑体" w:eastAsia="黑体"/>
          <w:b w:val="0"/>
        </w:rPr>
        <w:t>二</w:t>
      </w:r>
      <w:r>
        <w:rPr>
          <w:rFonts w:hint="eastAsia" w:ascii="黑体" w:hAnsi="黑体" w:eastAsia="黑体"/>
          <w:b w:val="0"/>
          <w:lang w:val="en-US" w:eastAsia="zh-CN"/>
        </w:rPr>
        <w:t>、机构设置</w:t>
      </w:r>
      <w:bookmarkEnd w:id="15"/>
      <w:bookmarkEnd w:id="16"/>
      <w:bookmarkEnd w:id="17"/>
    </w:p>
    <w:p w14:paraId="47C85F96">
      <w:pPr>
        <w:spacing w:line="360" w:lineRule="auto"/>
        <w:ind w:right="103" w:rightChars="49" w:firstLine="640" w:firstLineChars="200"/>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乐山市五通桥区综合行政执法局下属二级预算单位2个，其中行政单位1个，参照公务员法管理的事业单位1个，其他事业单位0个。</w:t>
      </w:r>
    </w:p>
    <w:p w14:paraId="04F740A3">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纳入乐山市五通桥区综合行政执法局2024年度部门决算编制范围的二级预算单位包括：</w:t>
      </w:r>
    </w:p>
    <w:p w14:paraId="337EC007">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bookmarkStart w:id="18" w:name="_Toc15378449"/>
      <w:bookmarkStart w:id="19" w:name="_Toc15377202"/>
      <w:bookmarkStart w:id="20" w:name="_Toc15306276"/>
      <w:bookmarkStart w:id="21" w:name="_Toc15377433"/>
      <w:r>
        <w:rPr>
          <w:rFonts w:hint="eastAsia" w:ascii="仿宋_GB2312" w:hAnsi="仿宋_GB2312" w:eastAsia="仿宋_GB2312" w:cs="Times New Roman"/>
          <w:color w:val="auto"/>
          <w:kern w:val="2"/>
          <w:sz w:val="32"/>
          <w:szCs w:val="24"/>
          <w:lang w:val="en-US" w:eastAsia="zh-CN" w:bidi="ar-SA"/>
        </w:rPr>
        <w:t>1.乐山市五通桥区综合行政执法局</w:t>
      </w:r>
      <w:bookmarkEnd w:id="18"/>
      <w:bookmarkEnd w:id="19"/>
      <w:bookmarkEnd w:id="20"/>
      <w:bookmarkEnd w:id="21"/>
    </w:p>
    <w:p w14:paraId="50A670DD">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2.</w:t>
      </w:r>
      <w:r>
        <w:rPr>
          <w:rFonts w:hint="eastAsia" w:ascii="仿宋_GB2312" w:hAnsi="仿宋_GB2312" w:eastAsia="仿宋_GB2312" w:cs="Times New Roman"/>
          <w:color w:val="auto"/>
          <w:kern w:val="2"/>
          <w:sz w:val="32"/>
          <w:szCs w:val="24"/>
          <w:lang w:val="zh-CN" w:eastAsia="zh-CN" w:bidi="ar-SA"/>
        </w:rPr>
        <w:t>五通桥区城市管理监察大队</w:t>
      </w:r>
    </w:p>
    <w:p w14:paraId="1167F937">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br w:type="page"/>
      </w:r>
    </w:p>
    <w:p w14:paraId="5749CE0D">
      <w:pPr>
        <w:pStyle w:val="5"/>
        <w:ind w:right="440"/>
        <w:jc w:val="center"/>
        <w:rPr>
          <w:rStyle w:val="31"/>
          <w:rFonts w:ascii="黑体" w:hAnsi="黑体" w:eastAsia="黑体"/>
          <w:b w:val="0"/>
          <w:bCs/>
        </w:rPr>
      </w:pPr>
      <w:bookmarkStart w:id="22" w:name="_Toc15396602"/>
      <w:bookmarkStart w:id="23" w:name="_Toc15377204"/>
      <w:bookmarkStart w:id="24" w:name="_Toc17696"/>
      <w:r>
        <w:rPr>
          <w:rFonts w:hint="eastAsia" w:ascii="黑体" w:hAnsi="黑体" w:eastAsia="黑体"/>
          <w:b w:val="0"/>
        </w:rPr>
        <w:t xml:space="preserve">第二部分 </w:t>
      </w:r>
      <w:r>
        <w:rPr>
          <w:rFonts w:hint="eastAsia" w:ascii="黑体" w:hAnsi="黑体" w:eastAsia="黑体"/>
          <w:b w:val="0"/>
          <w:lang w:eastAsia="zh-CN"/>
        </w:rPr>
        <w:t>2024</w:t>
      </w:r>
      <w:r>
        <w:rPr>
          <w:rFonts w:hint="eastAsia" w:ascii="黑体" w:hAnsi="黑体" w:eastAsia="黑体"/>
          <w:b w:val="0"/>
        </w:rPr>
        <w:t>年度</w:t>
      </w:r>
      <w:r>
        <w:rPr>
          <w:rStyle w:val="31"/>
          <w:rFonts w:hint="eastAsia" w:ascii="黑体" w:hAnsi="黑体" w:eastAsia="黑体"/>
          <w:b w:val="0"/>
          <w:bCs/>
        </w:rPr>
        <w:t>部门决算情况说明</w:t>
      </w:r>
      <w:bookmarkEnd w:id="22"/>
      <w:bookmarkEnd w:id="23"/>
      <w:bookmarkEnd w:id="24"/>
    </w:p>
    <w:p w14:paraId="13435593"/>
    <w:p w14:paraId="59C4661B">
      <w:pPr>
        <w:pStyle w:val="30"/>
        <w:numPr>
          <w:ilvl w:val="0"/>
          <w:numId w:val="1"/>
        </w:numPr>
        <w:spacing w:line="600" w:lineRule="exact"/>
        <w:ind w:firstLineChars="0"/>
        <w:outlineLvl w:val="1"/>
        <w:rPr>
          <w:rStyle w:val="32"/>
          <w:rFonts w:ascii="黑体" w:hAnsi="黑体" w:eastAsia="黑体"/>
          <w:b w:val="0"/>
        </w:rPr>
      </w:pPr>
      <w:bookmarkStart w:id="25" w:name="_Toc15396603"/>
      <w:bookmarkStart w:id="26" w:name="_Toc9533"/>
      <w:bookmarkStart w:id="27" w:name="_Toc15377205"/>
      <w:r>
        <w:rPr>
          <w:rFonts w:hint="eastAsia" w:ascii="黑体" w:hAnsi="黑体" w:eastAsia="黑体"/>
          <w:sz w:val="32"/>
          <w:szCs w:val="32"/>
        </w:rPr>
        <w:t>收</w:t>
      </w:r>
      <w:r>
        <w:rPr>
          <w:rStyle w:val="32"/>
          <w:rFonts w:hint="eastAsia" w:ascii="黑体" w:hAnsi="黑体" w:eastAsia="黑体"/>
          <w:b w:val="0"/>
        </w:rPr>
        <w:t>入支出决算总体情况说明</w:t>
      </w:r>
      <w:bookmarkEnd w:id="25"/>
      <w:bookmarkEnd w:id="26"/>
      <w:bookmarkEnd w:id="27"/>
    </w:p>
    <w:p w14:paraId="72C391B0">
      <w:pPr>
        <w:keepNext/>
        <w:keepLines/>
        <w:spacing w:beforeLines="0" w:afterLines="0" w:line="576" w:lineRule="exact"/>
        <w:ind w:firstLine="640"/>
        <w:jc w:val="both"/>
        <w:rPr>
          <w:rFonts w:ascii="仿宋" w:hAnsi="仿宋" w:eastAsia="仿宋"/>
          <w:sz w:val="32"/>
          <w:szCs w:val="32"/>
        </w:rPr>
      </w:pPr>
      <w:r>
        <w:rPr>
          <w:rFonts w:hint="eastAsia" w:ascii="仿宋_GB2312" w:hAnsi="仿宋_GB2312" w:eastAsia="仿宋_GB2312" w:cs="Times New Roman"/>
          <w:color w:val="auto"/>
          <w:kern w:val="2"/>
          <w:sz w:val="32"/>
          <w:szCs w:val="24"/>
          <w:lang w:val="en-US" w:eastAsia="zh-CN" w:bidi="ar-SA"/>
        </w:rPr>
        <w:t>2024年度收、支总计均为2149.46万元。与2023年度2239.92万元相比，收、支总计各减少90.46万元，下降4%。主要变动原因是：在收入方面，一般公共预算财政拨款收入减少115.77万元、其他收入增加20.78万元、年初结转和结余增加4.53万元；在支出方面，</w:t>
      </w:r>
      <w:r>
        <w:rPr>
          <w:rFonts w:hint="eastAsia" w:ascii="仿宋_GB2312" w:hAnsi="仿宋_GB2312" w:eastAsia="仿宋_GB2312" w:cs="Times New Roman"/>
          <w:color w:val="auto"/>
          <w:kern w:val="2"/>
          <w:sz w:val="32"/>
          <w:szCs w:val="24"/>
          <w:lang w:val="zh-CN" w:eastAsia="zh-CN" w:bidi="ar-SA"/>
        </w:rPr>
        <w:t>文化旅游体育与传媒支出增加</w:t>
      </w:r>
      <w:r>
        <w:rPr>
          <w:rFonts w:hint="eastAsia" w:ascii="仿宋_GB2312" w:hAnsi="仿宋_GB2312" w:eastAsia="仿宋_GB2312" w:cs="Times New Roman"/>
          <w:color w:val="auto"/>
          <w:kern w:val="2"/>
          <w:sz w:val="32"/>
          <w:szCs w:val="24"/>
          <w:lang w:val="en-US" w:eastAsia="zh-CN" w:bidi="ar-SA"/>
        </w:rPr>
        <w:t>1.28</w:t>
      </w:r>
      <w:r>
        <w:rPr>
          <w:rFonts w:hint="eastAsia" w:ascii="仿宋_GB2312" w:hAnsi="仿宋_GB2312" w:eastAsia="仿宋_GB2312" w:cs="Times New Roman"/>
          <w:color w:val="auto"/>
          <w:kern w:val="2"/>
          <w:sz w:val="32"/>
          <w:szCs w:val="24"/>
          <w:lang w:val="zh-CN" w:eastAsia="zh-CN" w:bidi="ar-SA"/>
        </w:rPr>
        <w:t>万元、社会保障和就业支出减少</w:t>
      </w:r>
      <w:r>
        <w:rPr>
          <w:rFonts w:hint="eastAsia" w:ascii="仿宋_GB2312" w:hAnsi="仿宋_GB2312" w:eastAsia="仿宋_GB2312" w:cs="Times New Roman"/>
          <w:color w:val="auto"/>
          <w:kern w:val="2"/>
          <w:sz w:val="32"/>
          <w:szCs w:val="24"/>
          <w:lang w:val="en-US" w:eastAsia="zh-CN" w:bidi="ar-SA"/>
        </w:rPr>
        <w:t>67.5</w:t>
      </w:r>
      <w:r>
        <w:rPr>
          <w:rFonts w:hint="eastAsia" w:ascii="仿宋_GB2312" w:hAnsi="仿宋_GB2312" w:eastAsia="仿宋_GB2312"/>
          <w:color w:val="000000"/>
          <w:kern w:val="2"/>
          <w:sz w:val="32"/>
          <w:szCs w:val="24"/>
          <w:lang w:val="en-US" w:eastAsia="zh-CN"/>
        </w:rPr>
        <w:t>6</w:t>
      </w:r>
      <w:r>
        <w:rPr>
          <w:rFonts w:hint="eastAsia" w:ascii="仿宋_GB2312" w:hAnsi="仿宋_GB2312" w:eastAsia="仿宋_GB2312"/>
          <w:color w:val="000000"/>
          <w:kern w:val="2"/>
          <w:sz w:val="32"/>
          <w:szCs w:val="24"/>
          <w:lang w:val="zh-CN"/>
        </w:rPr>
        <w:t>万元、卫生健康支出增加</w:t>
      </w:r>
      <w:r>
        <w:rPr>
          <w:rFonts w:hint="eastAsia" w:ascii="仿宋_GB2312" w:hAnsi="仿宋_GB2312" w:eastAsia="仿宋_GB2312"/>
          <w:color w:val="000000"/>
          <w:kern w:val="2"/>
          <w:sz w:val="32"/>
          <w:szCs w:val="24"/>
          <w:lang w:val="en-US" w:eastAsia="zh-CN"/>
        </w:rPr>
        <w:t>4.24</w:t>
      </w:r>
      <w:r>
        <w:rPr>
          <w:rFonts w:hint="eastAsia" w:ascii="仿宋_GB2312" w:hAnsi="仿宋_GB2312" w:eastAsia="仿宋_GB2312"/>
          <w:color w:val="000000"/>
          <w:kern w:val="2"/>
          <w:sz w:val="32"/>
          <w:szCs w:val="24"/>
          <w:lang w:val="zh-CN"/>
        </w:rPr>
        <w:t>万元、城乡社区支出减少</w:t>
      </w:r>
      <w:r>
        <w:rPr>
          <w:rFonts w:hint="eastAsia" w:ascii="仿宋_GB2312" w:hAnsi="仿宋_GB2312" w:eastAsia="仿宋_GB2312"/>
          <w:color w:val="000000"/>
          <w:kern w:val="2"/>
          <w:sz w:val="32"/>
          <w:szCs w:val="24"/>
          <w:lang w:val="en-US" w:eastAsia="zh-CN"/>
        </w:rPr>
        <w:t>13.36</w:t>
      </w:r>
      <w:r>
        <w:rPr>
          <w:rFonts w:hint="eastAsia" w:ascii="仿宋_GB2312" w:hAnsi="仿宋_GB2312" w:eastAsia="仿宋_GB2312"/>
          <w:color w:val="000000"/>
          <w:kern w:val="2"/>
          <w:sz w:val="32"/>
          <w:szCs w:val="24"/>
          <w:lang w:val="zh-CN"/>
        </w:rPr>
        <w:t>万元、</w:t>
      </w:r>
      <w:r>
        <w:rPr>
          <w:rFonts w:hint="eastAsia" w:ascii="仿宋_GB2312" w:hAnsi="仿宋_GB2312" w:eastAsia="仿宋_GB2312"/>
          <w:color w:val="000000"/>
          <w:kern w:val="2"/>
          <w:sz w:val="32"/>
          <w:szCs w:val="24"/>
          <w:lang w:val="en-US" w:eastAsia="zh-CN"/>
        </w:rPr>
        <w:t>交通运输支出减少17.24万元、</w:t>
      </w:r>
      <w:r>
        <w:rPr>
          <w:rFonts w:hint="eastAsia" w:ascii="仿宋_GB2312" w:hAnsi="仿宋_GB2312" w:eastAsia="仿宋_GB2312"/>
          <w:color w:val="000000"/>
          <w:kern w:val="2"/>
          <w:sz w:val="32"/>
          <w:szCs w:val="24"/>
          <w:lang w:val="zh-CN"/>
        </w:rPr>
        <w:t>住房保障支出增加</w:t>
      </w:r>
      <w:r>
        <w:rPr>
          <w:rFonts w:hint="eastAsia" w:ascii="仿宋_GB2312" w:hAnsi="仿宋_GB2312" w:eastAsia="仿宋_GB2312"/>
          <w:color w:val="000000"/>
          <w:kern w:val="2"/>
          <w:sz w:val="32"/>
          <w:szCs w:val="24"/>
          <w:lang w:val="en-US" w:eastAsia="zh-CN"/>
        </w:rPr>
        <w:t>3.16</w:t>
      </w:r>
      <w:r>
        <w:rPr>
          <w:rFonts w:hint="eastAsia" w:ascii="仿宋_GB2312" w:hAnsi="仿宋_GB2312" w:eastAsia="仿宋_GB2312"/>
          <w:color w:val="000000"/>
          <w:kern w:val="2"/>
          <w:sz w:val="32"/>
          <w:szCs w:val="24"/>
          <w:lang w:val="zh-CN"/>
        </w:rPr>
        <w:t>万元、年末结转和结余减少</w:t>
      </w:r>
      <w:r>
        <w:rPr>
          <w:rFonts w:hint="eastAsia" w:ascii="仿宋_GB2312" w:hAnsi="仿宋_GB2312" w:eastAsia="仿宋_GB2312"/>
          <w:color w:val="000000"/>
          <w:kern w:val="2"/>
          <w:sz w:val="32"/>
          <w:szCs w:val="24"/>
          <w:lang w:val="en-US" w:eastAsia="zh-CN"/>
        </w:rPr>
        <w:t>0.99万元</w:t>
      </w:r>
      <w:r>
        <w:rPr>
          <w:rFonts w:hint="eastAsia" w:ascii="仿宋_GB2312" w:hAnsi="仿宋_GB2312" w:eastAsia="仿宋_GB2312"/>
          <w:color w:val="000000"/>
          <w:kern w:val="2"/>
          <w:sz w:val="32"/>
          <w:szCs w:val="24"/>
          <w:lang w:val="zh-CN"/>
        </w:rPr>
        <w:t>所致。</w:t>
      </w:r>
    </w:p>
    <w:p w14:paraId="1C781691">
      <w:pPr>
        <w:keepNext/>
        <w:keepLines/>
        <w:spacing w:beforeLines="0" w:afterLines="0" w:line="576" w:lineRule="exact"/>
        <w:ind w:firstLine="640"/>
        <w:jc w:val="both"/>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图1：收、支决算总计变动情况图</w:t>
      </w:r>
    </w:p>
    <w:p w14:paraId="34C41F7C">
      <w:pPr>
        <w:spacing w:line="240" w:lineRule="auto"/>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eastAsia="zh-CN"/>
        </w:rPr>
        <w:drawing>
          <wp:inline distT="0" distB="0" distL="114300" distR="114300">
            <wp:extent cx="4584065" cy="2889250"/>
            <wp:effectExtent l="0" t="0" r="6985" b="6350"/>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8"/>
                    <a:stretch>
                      <a:fillRect/>
                    </a:stretch>
                  </pic:blipFill>
                  <pic:spPr>
                    <a:xfrm>
                      <a:off x="0" y="0"/>
                      <a:ext cx="4584065" cy="2889250"/>
                    </a:xfrm>
                    <a:prstGeom prst="rect">
                      <a:avLst/>
                    </a:prstGeom>
                  </pic:spPr>
                </pic:pic>
              </a:graphicData>
            </a:graphic>
          </wp:inline>
        </w:drawing>
      </w:r>
    </w:p>
    <w:p w14:paraId="5C21077D">
      <w:pPr>
        <w:pStyle w:val="30"/>
        <w:numPr>
          <w:ilvl w:val="0"/>
          <w:numId w:val="1"/>
        </w:numPr>
        <w:spacing w:line="600" w:lineRule="exact"/>
        <w:ind w:firstLineChars="0"/>
        <w:outlineLvl w:val="1"/>
        <w:rPr>
          <w:rStyle w:val="32"/>
          <w:rFonts w:ascii="黑体" w:hAnsi="黑体" w:eastAsia="黑体"/>
          <w:b w:val="0"/>
        </w:rPr>
      </w:pPr>
      <w:bookmarkStart w:id="28" w:name="_Toc3979"/>
      <w:bookmarkStart w:id="29" w:name="_Toc15377206"/>
      <w:bookmarkStart w:id="30" w:name="_Toc15396604"/>
      <w:r>
        <w:rPr>
          <w:rFonts w:hint="eastAsia" w:ascii="黑体" w:hAnsi="黑体" w:eastAsia="黑体"/>
          <w:sz w:val="32"/>
          <w:szCs w:val="32"/>
        </w:rPr>
        <w:t>收</w:t>
      </w:r>
      <w:r>
        <w:rPr>
          <w:rStyle w:val="32"/>
          <w:rFonts w:hint="eastAsia" w:ascii="黑体" w:hAnsi="黑体" w:eastAsia="黑体"/>
          <w:b w:val="0"/>
        </w:rPr>
        <w:t>入决算情况说明</w:t>
      </w:r>
      <w:bookmarkEnd w:id="28"/>
      <w:bookmarkEnd w:id="29"/>
      <w:bookmarkEnd w:id="30"/>
    </w:p>
    <w:p w14:paraId="49A28BAE">
      <w:pPr>
        <w:keepNext/>
        <w:keepLines/>
        <w:spacing w:beforeLines="0" w:afterLines="0" w:line="576" w:lineRule="exact"/>
        <w:ind w:firstLine="640"/>
        <w:jc w:val="both"/>
        <w:rPr>
          <w:rFonts w:hint="default" w:ascii="仿宋_GB2312" w:hAnsi="仿宋_GB2312" w:eastAsia="仿宋_GB2312" w:cs="Times New Roman"/>
          <w:color w:val="auto"/>
          <w:kern w:val="2"/>
          <w:sz w:val="32"/>
          <w:szCs w:val="24"/>
          <w:lang w:val="en-US" w:eastAsia="zh-CN" w:bidi="ar-SA"/>
        </w:rPr>
      </w:pPr>
      <w:bookmarkStart w:id="31" w:name="_Toc25253"/>
      <w:r>
        <w:rPr>
          <w:rFonts w:hint="eastAsia" w:ascii="仿宋_GB2312" w:hAnsi="仿宋_GB2312" w:eastAsia="仿宋_GB2312" w:cs="Times New Roman"/>
          <w:color w:val="auto"/>
          <w:kern w:val="2"/>
          <w:sz w:val="32"/>
          <w:szCs w:val="24"/>
          <w:lang w:val="zh-CN" w:eastAsia="zh-CN" w:bidi="ar-SA"/>
        </w:rPr>
        <w:t>2024年度本年收入合计2140.85万元，其中：一般公共预算财政拨款收入2099.88万元，占</w:t>
      </w:r>
      <w:r>
        <w:rPr>
          <w:rFonts w:hint="eastAsia" w:ascii="仿宋_GB2312" w:hAnsi="仿宋_GB2312" w:eastAsia="仿宋_GB2312" w:cs="Times New Roman"/>
          <w:color w:val="auto"/>
          <w:kern w:val="2"/>
          <w:sz w:val="32"/>
          <w:szCs w:val="24"/>
          <w:lang w:val="en-US" w:eastAsia="zh-CN" w:bidi="ar-SA"/>
        </w:rPr>
        <w:t>98.1</w:t>
      </w:r>
      <w:r>
        <w:rPr>
          <w:rFonts w:hint="eastAsia" w:ascii="仿宋_GB2312" w:hAnsi="仿宋_GB2312" w:eastAsia="仿宋_GB2312" w:cs="Times New Roman"/>
          <w:color w:val="auto"/>
          <w:kern w:val="2"/>
          <w:sz w:val="32"/>
          <w:szCs w:val="24"/>
          <w:lang w:val="zh-CN" w:eastAsia="zh-CN" w:bidi="ar-SA"/>
        </w:rPr>
        <w:t>%；其他收入40.97万元，占</w:t>
      </w:r>
      <w:r>
        <w:rPr>
          <w:rFonts w:hint="eastAsia" w:ascii="仿宋_GB2312" w:hAnsi="仿宋_GB2312" w:eastAsia="仿宋_GB2312" w:cs="Times New Roman"/>
          <w:color w:val="auto"/>
          <w:kern w:val="2"/>
          <w:sz w:val="32"/>
          <w:szCs w:val="24"/>
          <w:lang w:val="en-US" w:eastAsia="zh-CN" w:bidi="ar-SA"/>
        </w:rPr>
        <w:t>1.9</w:t>
      </w:r>
      <w:r>
        <w:rPr>
          <w:rFonts w:hint="eastAsia" w:ascii="仿宋_GB2312" w:hAnsi="仿宋_GB2312" w:eastAsia="仿宋_GB2312" w:cs="Times New Roman"/>
          <w:color w:val="auto"/>
          <w:kern w:val="2"/>
          <w:sz w:val="32"/>
          <w:szCs w:val="24"/>
          <w:lang w:val="zh-CN" w:eastAsia="zh-CN" w:bidi="ar-SA"/>
        </w:rPr>
        <w:t>%</w:t>
      </w:r>
      <w:bookmarkEnd w:id="31"/>
      <w:r>
        <w:rPr>
          <w:rFonts w:hint="eastAsia" w:ascii="仿宋_GB2312" w:hAnsi="仿宋_GB2312" w:eastAsia="仿宋_GB2312" w:cs="Times New Roman"/>
          <w:color w:val="auto"/>
          <w:kern w:val="2"/>
          <w:sz w:val="32"/>
          <w:szCs w:val="24"/>
          <w:lang w:val="en-US" w:eastAsia="zh-CN" w:bidi="ar-SA"/>
        </w:rPr>
        <w:t>。</w:t>
      </w:r>
    </w:p>
    <w:p w14:paraId="7B196430">
      <w:pPr>
        <w:keepNext/>
        <w:keepLines/>
        <w:spacing w:beforeLines="0" w:afterLines="0" w:line="576" w:lineRule="exact"/>
        <w:ind w:firstLine="640"/>
        <w:jc w:val="both"/>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图2：收入决算结构图</w:t>
      </w:r>
    </w:p>
    <w:p w14:paraId="641A65D4">
      <w:pPr>
        <w:pStyle w:val="2"/>
        <w:rPr>
          <w:rFonts w:hint="eastAsia"/>
          <w:lang w:val="zh-CN" w:eastAsia="zh-CN"/>
        </w:rPr>
      </w:pPr>
      <w:r>
        <w:rPr>
          <w:rFonts w:hint="eastAsia"/>
          <w:lang w:val="zh-CN" w:eastAsia="zh-CN"/>
        </w:rPr>
        <w:drawing>
          <wp:inline distT="0" distB="0" distL="114300" distR="114300">
            <wp:extent cx="4509135" cy="3306445"/>
            <wp:effectExtent l="4445" t="4445" r="20320" b="2286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DCC6CCA">
      <w:pPr>
        <w:spacing w:line="240" w:lineRule="auto"/>
        <w:ind w:firstLine="640" w:firstLineChars="200"/>
        <w:rPr>
          <w:rFonts w:hint="eastAsia" w:ascii="仿宋_GB2312" w:eastAsia="仿宋_GB2312"/>
          <w:sz w:val="32"/>
          <w:szCs w:val="32"/>
          <w:lang w:eastAsia="zh-CN"/>
        </w:rPr>
      </w:pPr>
    </w:p>
    <w:p w14:paraId="38B622A7">
      <w:pPr>
        <w:pStyle w:val="30"/>
        <w:numPr>
          <w:ilvl w:val="0"/>
          <w:numId w:val="1"/>
        </w:numPr>
        <w:spacing w:line="600" w:lineRule="exact"/>
        <w:ind w:firstLineChars="0"/>
        <w:outlineLvl w:val="1"/>
        <w:rPr>
          <w:rFonts w:hint="default" w:ascii="仿宋_GB2312" w:hAnsi="仿宋_GB2312" w:eastAsia="仿宋_GB2312" w:cs="Times New Roman"/>
          <w:color w:val="auto"/>
          <w:kern w:val="2"/>
          <w:sz w:val="32"/>
          <w:szCs w:val="24"/>
          <w:lang w:val="en-US" w:eastAsia="zh-CN" w:bidi="ar-SA"/>
        </w:rPr>
      </w:pPr>
      <w:bookmarkStart w:id="32" w:name="_Toc15377207"/>
      <w:bookmarkStart w:id="33" w:name="_Toc15396605"/>
      <w:bookmarkStart w:id="34" w:name="_Toc23928"/>
      <w:r>
        <w:rPr>
          <w:rFonts w:hint="eastAsia" w:ascii="黑体" w:hAnsi="黑体" w:eastAsia="黑体"/>
          <w:sz w:val="32"/>
          <w:szCs w:val="32"/>
        </w:rPr>
        <w:t>支</w:t>
      </w:r>
      <w:r>
        <w:rPr>
          <w:rStyle w:val="32"/>
          <w:rFonts w:hint="eastAsia" w:ascii="黑体" w:hAnsi="黑体" w:eastAsia="黑体"/>
          <w:b w:val="0"/>
        </w:rPr>
        <w:t>出决算情况说明</w:t>
      </w:r>
      <w:bookmarkEnd w:id="32"/>
      <w:bookmarkEnd w:id="33"/>
      <w:bookmarkEnd w:id="34"/>
      <w:bookmarkStart w:id="35" w:name="_Toc21001"/>
    </w:p>
    <w:p w14:paraId="746108E5">
      <w:pPr>
        <w:pStyle w:val="30"/>
        <w:numPr>
          <w:ilvl w:val="0"/>
          <w:numId w:val="0"/>
        </w:numPr>
        <w:spacing w:line="600" w:lineRule="exact"/>
        <w:ind w:left="640" w:leftChars="0" w:firstLine="640" w:firstLineChars="200"/>
        <w:outlineLvl w:val="1"/>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2024年度本年支出合计2141.84万元，其中：基本支出2,026.85万元，占</w:t>
      </w:r>
      <w:r>
        <w:rPr>
          <w:rFonts w:hint="eastAsia" w:ascii="仿宋_GB2312" w:hAnsi="仿宋_GB2312" w:eastAsia="仿宋_GB2312" w:cs="Times New Roman"/>
          <w:color w:val="auto"/>
          <w:kern w:val="2"/>
          <w:sz w:val="32"/>
          <w:szCs w:val="24"/>
          <w:lang w:val="en-US" w:eastAsia="zh-CN" w:bidi="ar-SA"/>
        </w:rPr>
        <w:t>94.6</w:t>
      </w:r>
      <w:r>
        <w:rPr>
          <w:rFonts w:hint="eastAsia" w:ascii="仿宋_GB2312" w:hAnsi="仿宋_GB2312" w:eastAsia="仿宋_GB2312" w:cs="Times New Roman"/>
          <w:color w:val="auto"/>
          <w:kern w:val="2"/>
          <w:sz w:val="32"/>
          <w:szCs w:val="24"/>
          <w:lang w:val="zh-CN" w:eastAsia="zh-CN" w:bidi="ar-SA"/>
        </w:rPr>
        <w:t>%；项目支出114.99万元，占</w:t>
      </w:r>
      <w:r>
        <w:rPr>
          <w:rFonts w:hint="eastAsia" w:ascii="仿宋_GB2312" w:hAnsi="仿宋_GB2312" w:eastAsia="仿宋_GB2312" w:cs="Times New Roman"/>
          <w:color w:val="auto"/>
          <w:kern w:val="2"/>
          <w:sz w:val="32"/>
          <w:szCs w:val="24"/>
          <w:lang w:val="en-US" w:eastAsia="zh-CN" w:bidi="ar-SA"/>
        </w:rPr>
        <w:t>5.4</w:t>
      </w:r>
      <w:r>
        <w:rPr>
          <w:rFonts w:hint="eastAsia" w:ascii="仿宋_GB2312" w:hAnsi="仿宋_GB2312" w:eastAsia="仿宋_GB2312" w:cs="Times New Roman"/>
          <w:color w:val="auto"/>
          <w:kern w:val="2"/>
          <w:sz w:val="32"/>
          <w:szCs w:val="24"/>
          <w:lang w:val="zh-CN" w:eastAsia="zh-CN" w:bidi="ar-SA"/>
        </w:rPr>
        <w:t>%</w:t>
      </w:r>
      <w:bookmarkEnd w:id="35"/>
      <w:r>
        <w:rPr>
          <w:rFonts w:hint="eastAsia" w:ascii="仿宋_GB2312" w:hAnsi="仿宋_GB2312" w:eastAsia="仿宋_GB2312" w:cs="Times New Roman"/>
          <w:color w:val="auto"/>
          <w:kern w:val="2"/>
          <w:sz w:val="32"/>
          <w:szCs w:val="24"/>
          <w:lang w:val="zh-CN" w:eastAsia="zh-CN" w:bidi="ar-SA"/>
        </w:rPr>
        <w:t>。</w:t>
      </w:r>
    </w:p>
    <w:p w14:paraId="429D98A8">
      <w:pPr>
        <w:pStyle w:val="30"/>
        <w:numPr>
          <w:ilvl w:val="0"/>
          <w:numId w:val="0"/>
        </w:numPr>
        <w:spacing w:line="600" w:lineRule="exact"/>
        <w:ind w:left="640" w:leftChars="0" w:firstLine="640" w:firstLineChars="200"/>
        <w:outlineLvl w:val="1"/>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图3：支出决算结构图</w:t>
      </w:r>
    </w:p>
    <w:p w14:paraId="4B95B70E">
      <w:pPr>
        <w:spacing w:line="24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drawing>
          <wp:inline distT="0" distB="0" distL="114300" distR="114300">
            <wp:extent cx="4584065" cy="2889250"/>
            <wp:effectExtent l="0" t="0" r="6985" b="6350"/>
            <wp:docPr id="4" name="图片 4"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3"/>
                    <pic:cNvPicPr>
                      <a:picLocks noChangeAspect="1"/>
                    </pic:cNvPicPr>
                  </pic:nvPicPr>
                  <pic:blipFill>
                    <a:blip r:embed="rId10"/>
                    <a:stretch>
                      <a:fillRect/>
                    </a:stretch>
                  </pic:blipFill>
                  <pic:spPr>
                    <a:xfrm>
                      <a:off x="0" y="0"/>
                      <a:ext cx="4584065" cy="2889250"/>
                    </a:xfrm>
                    <a:prstGeom prst="rect">
                      <a:avLst/>
                    </a:prstGeom>
                  </pic:spPr>
                </pic:pic>
              </a:graphicData>
            </a:graphic>
          </wp:inline>
        </w:drawing>
      </w:r>
    </w:p>
    <w:p w14:paraId="050ED417">
      <w:pPr>
        <w:spacing w:line="600" w:lineRule="exact"/>
        <w:ind w:firstLine="640" w:firstLineChars="200"/>
        <w:outlineLvl w:val="1"/>
        <w:rPr>
          <w:rStyle w:val="32"/>
          <w:rFonts w:ascii="黑体" w:hAnsi="黑体" w:eastAsia="黑体"/>
          <w:b w:val="0"/>
        </w:rPr>
      </w:pPr>
      <w:bookmarkStart w:id="36" w:name="_Toc15377208"/>
      <w:bookmarkStart w:id="37" w:name="_Toc15396606"/>
      <w:bookmarkStart w:id="38" w:name="_Toc16614"/>
      <w:r>
        <w:rPr>
          <w:rFonts w:hint="eastAsia" w:ascii="黑体" w:hAnsi="黑体" w:eastAsia="黑体"/>
          <w:sz w:val="32"/>
          <w:szCs w:val="32"/>
        </w:rPr>
        <w:t>四、财</w:t>
      </w:r>
      <w:r>
        <w:rPr>
          <w:rStyle w:val="32"/>
          <w:rFonts w:hint="eastAsia" w:ascii="黑体" w:hAnsi="黑体" w:eastAsia="黑体"/>
          <w:b w:val="0"/>
        </w:rPr>
        <w:t>政拨款收入支出决算总体情况说明</w:t>
      </w:r>
      <w:bookmarkEnd w:id="36"/>
      <w:bookmarkEnd w:id="37"/>
      <w:bookmarkEnd w:id="38"/>
    </w:p>
    <w:p w14:paraId="5FB5B5E9">
      <w:pPr>
        <w:pStyle w:val="30"/>
        <w:numPr>
          <w:ilvl w:val="0"/>
          <w:numId w:val="0"/>
        </w:numPr>
        <w:spacing w:line="600" w:lineRule="exact"/>
        <w:ind w:left="640" w:leftChars="0" w:firstLine="640" w:firstLineChars="200"/>
        <w:outlineLvl w:val="1"/>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zh-CN" w:eastAsia="zh-CN" w:bidi="ar-SA"/>
        </w:rPr>
        <w:t>2024年度财政拨款收、支总计均为2099.88万元。与2023年度2215.66</w:t>
      </w:r>
      <w:r>
        <w:rPr>
          <w:rFonts w:hint="eastAsia" w:ascii="仿宋_GB2312" w:hAnsi="仿宋_GB2312" w:eastAsia="仿宋_GB2312" w:cs="Times New Roman"/>
          <w:color w:val="auto"/>
          <w:kern w:val="2"/>
          <w:sz w:val="32"/>
          <w:szCs w:val="24"/>
          <w:lang w:val="en-US" w:eastAsia="zh-CN" w:bidi="ar-SA"/>
        </w:rPr>
        <w:t>万元</w:t>
      </w:r>
      <w:r>
        <w:rPr>
          <w:rFonts w:hint="eastAsia" w:ascii="仿宋_GB2312" w:hAnsi="仿宋_GB2312" w:eastAsia="仿宋_GB2312" w:cs="Times New Roman"/>
          <w:color w:val="auto"/>
          <w:kern w:val="2"/>
          <w:sz w:val="32"/>
          <w:szCs w:val="24"/>
          <w:lang w:val="zh-CN" w:eastAsia="zh-CN" w:bidi="ar-SA"/>
        </w:rPr>
        <w:t>相比，财政拨款收、支总计各减少</w:t>
      </w:r>
      <w:r>
        <w:rPr>
          <w:rFonts w:hint="eastAsia" w:ascii="仿宋_GB2312" w:hAnsi="仿宋_GB2312" w:eastAsia="仿宋_GB2312" w:cs="Times New Roman"/>
          <w:color w:val="auto"/>
          <w:kern w:val="2"/>
          <w:sz w:val="32"/>
          <w:szCs w:val="24"/>
          <w:lang w:val="en-US" w:eastAsia="zh-CN" w:bidi="ar-SA"/>
        </w:rPr>
        <w:t>115.78</w:t>
      </w:r>
      <w:r>
        <w:rPr>
          <w:rFonts w:hint="eastAsia" w:ascii="仿宋_GB2312" w:hAnsi="仿宋_GB2312" w:eastAsia="仿宋_GB2312" w:cs="Times New Roman"/>
          <w:color w:val="auto"/>
          <w:kern w:val="2"/>
          <w:sz w:val="32"/>
          <w:szCs w:val="24"/>
          <w:lang w:val="zh-CN" w:eastAsia="zh-CN" w:bidi="ar-SA"/>
        </w:rPr>
        <w:t>万元，下降</w:t>
      </w:r>
      <w:r>
        <w:rPr>
          <w:rFonts w:hint="eastAsia" w:ascii="仿宋_GB2312" w:hAnsi="仿宋_GB2312" w:eastAsia="仿宋_GB2312" w:cs="Times New Roman"/>
          <w:color w:val="auto"/>
          <w:kern w:val="2"/>
          <w:sz w:val="32"/>
          <w:szCs w:val="24"/>
          <w:lang w:val="en-US" w:eastAsia="zh-CN" w:bidi="ar-SA"/>
        </w:rPr>
        <w:t>5.2</w:t>
      </w:r>
      <w:r>
        <w:rPr>
          <w:rFonts w:hint="eastAsia" w:ascii="仿宋_GB2312" w:hAnsi="仿宋_GB2312" w:eastAsia="仿宋_GB2312" w:cs="Times New Roman"/>
          <w:color w:val="auto"/>
          <w:kern w:val="2"/>
          <w:sz w:val="32"/>
          <w:szCs w:val="24"/>
          <w:lang w:val="zh-CN" w:eastAsia="zh-CN" w:bidi="ar-SA"/>
        </w:rPr>
        <w:t>%。主要变动原因是：在收入方面，一般公共预算财政拨款收入减少</w:t>
      </w:r>
      <w:r>
        <w:rPr>
          <w:rFonts w:hint="eastAsia" w:ascii="仿宋_GB2312" w:hAnsi="仿宋_GB2312" w:eastAsia="仿宋_GB2312" w:cs="Times New Roman"/>
          <w:color w:val="auto"/>
          <w:kern w:val="2"/>
          <w:sz w:val="32"/>
          <w:szCs w:val="24"/>
          <w:lang w:val="en-US" w:eastAsia="zh-CN" w:bidi="ar-SA"/>
        </w:rPr>
        <w:t>115.78万元；</w:t>
      </w:r>
      <w:r>
        <w:rPr>
          <w:rFonts w:hint="eastAsia" w:ascii="仿宋_GB2312" w:hAnsi="仿宋_GB2312" w:eastAsia="仿宋_GB2312" w:cs="Times New Roman"/>
          <w:color w:val="auto"/>
          <w:kern w:val="2"/>
          <w:sz w:val="32"/>
          <w:szCs w:val="24"/>
          <w:lang w:val="zh-CN" w:eastAsia="zh-CN" w:bidi="ar-SA"/>
        </w:rPr>
        <w:t>在支出方面，文化旅游体育与传媒支出增加</w:t>
      </w:r>
      <w:r>
        <w:rPr>
          <w:rFonts w:hint="eastAsia" w:ascii="仿宋_GB2312" w:hAnsi="仿宋_GB2312" w:eastAsia="仿宋_GB2312" w:cs="Times New Roman"/>
          <w:color w:val="auto"/>
          <w:kern w:val="2"/>
          <w:sz w:val="32"/>
          <w:szCs w:val="24"/>
          <w:lang w:val="en-US" w:eastAsia="zh-CN" w:bidi="ar-SA"/>
        </w:rPr>
        <w:t>1.28</w:t>
      </w:r>
      <w:r>
        <w:rPr>
          <w:rFonts w:hint="eastAsia" w:ascii="仿宋_GB2312" w:hAnsi="仿宋_GB2312" w:eastAsia="仿宋_GB2312" w:cs="Times New Roman"/>
          <w:color w:val="auto"/>
          <w:kern w:val="2"/>
          <w:sz w:val="32"/>
          <w:szCs w:val="24"/>
          <w:lang w:val="zh-CN" w:eastAsia="zh-CN" w:bidi="ar-SA"/>
        </w:rPr>
        <w:t>万元、社会保障和就业支出减少</w:t>
      </w:r>
      <w:r>
        <w:rPr>
          <w:rFonts w:hint="eastAsia" w:ascii="仿宋_GB2312" w:hAnsi="仿宋_GB2312" w:eastAsia="仿宋_GB2312" w:cs="Times New Roman"/>
          <w:color w:val="auto"/>
          <w:kern w:val="2"/>
          <w:sz w:val="32"/>
          <w:szCs w:val="24"/>
          <w:lang w:val="en-US" w:eastAsia="zh-CN" w:bidi="ar-SA"/>
        </w:rPr>
        <w:t>67.56</w:t>
      </w:r>
      <w:r>
        <w:rPr>
          <w:rFonts w:hint="eastAsia" w:ascii="仿宋_GB2312" w:hAnsi="仿宋_GB2312" w:eastAsia="仿宋_GB2312" w:cs="Times New Roman"/>
          <w:color w:val="auto"/>
          <w:kern w:val="2"/>
          <w:sz w:val="32"/>
          <w:szCs w:val="24"/>
          <w:lang w:val="zh-CN" w:eastAsia="zh-CN" w:bidi="ar-SA"/>
        </w:rPr>
        <w:t>万元、卫生健康支出增加</w:t>
      </w:r>
      <w:r>
        <w:rPr>
          <w:rFonts w:hint="eastAsia" w:ascii="仿宋_GB2312" w:hAnsi="仿宋_GB2312" w:eastAsia="仿宋_GB2312" w:cs="Times New Roman"/>
          <w:color w:val="auto"/>
          <w:kern w:val="2"/>
          <w:sz w:val="32"/>
          <w:szCs w:val="24"/>
          <w:lang w:val="en-US" w:eastAsia="zh-CN" w:bidi="ar-SA"/>
        </w:rPr>
        <w:t>4.24</w:t>
      </w:r>
      <w:r>
        <w:rPr>
          <w:rFonts w:hint="eastAsia" w:ascii="仿宋_GB2312" w:hAnsi="仿宋_GB2312" w:eastAsia="仿宋_GB2312" w:cs="Times New Roman"/>
          <w:color w:val="auto"/>
          <w:kern w:val="2"/>
          <w:sz w:val="32"/>
          <w:szCs w:val="24"/>
          <w:lang w:val="zh-CN" w:eastAsia="zh-CN" w:bidi="ar-SA"/>
        </w:rPr>
        <w:t>万元、城乡社区支出减少</w:t>
      </w:r>
      <w:r>
        <w:rPr>
          <w:rFonts w:hint="eastAsia" w:ascii="仿宋_GB2312" w:hAnsi="仿宋_GB2312" w:eastAsia="仿宋_GB2312" w:cs="Times New Roman"/>
          <w:color w:val="auto"/>
          <w:kern w:val="2"/>
          <w:sz w:val="32"/>
          <w:szCs w:val="24"/>
          <w:lang w:val="en-US" w:eastAsia="zh-CN" w:bidi="ar-SA"/>
        </w:rPr>
        <w:t>39.66</w:t>
      </w:r>
      <w:r>
        <w:rPr>
          <w:rFonts w:hint="eastAsia" w:ascii="仿宋_GB2312" w:hAnsi="仿宋_GB2312" w:eastAsia="仿宋_GB2312" w:cs="Times New Roman"/>
          <w:color w:val="auto"/>
          <w:kern w:val="2"/>
          <w:sz w:val="32"/>
          <w:szCs w:val="24"/>
          <w:lang w:val="zh-CN" w:eastAsia="zh-CN" w:bidi="ar-SA"/>
        </w:rPr>
        <w:t>万元、</w:t>
      </w:r>
      <w:r>
        <w:rPr>
          <w:rFonts w:hint="eastAsia" w:ascii="仿宋_GB2312" w:hAnsi="仿宋_GB2312" w:eastAsia="仿宋_GB2312" w:cs="Times New Roman"/>
          <w:color w:val="auto"/>
          <w:kern w:val="2"/>
          <w:sz w:val="32"/>
          <w:szCs w:val="24"/>
          <w:lang w:val="en-US" w:eastAsia="zh-CN" w:bidi="ar-SA"/>
        </w:rPr>
        <w:t>交通运输支出减少17.24万元、</w:t>
      </w:r>
      <w:r>
        <w:rPr>
          <w:rFonts w:hint="eastAsia" w:ascii="仿宋_GB2312" w:hAnsi="仿宋_GB2312" w:eastAsia="仿宋_GB2312" w:cs="Times New Roman"/>
          <w:color w:val="auto"/>
          <w:kern w:val="2"/>
          <w:sz w:val="32"/>
          <w:szCs w:val="24"/>
          <w:lang w:val="zh-CN" w:eastAsia="zh-CN" w:bidi="ar-SA"/>
        </w:rPr>
        <w:t>住房保障支出增加</w:t>
      </w:r>
      <w:r>
        <w:rPr>
          <w:rFonts w:hint="eastAsia" w:ascii="仿宋_GB2312" w:hAnsi="仿宋_GB2312" w:eastAsia="仿宋_GB2312" w:cs="Times New Roman"/>
          <w:color w:val="auto"/>
          <w:kern w:val="2"/>
          <w:sz w:val="32"/>
          <w:szCs w:val="24"/>
          <w:lang w:val="en-US" w:eastAsia="zh-CN" w:bidi="ar-SA"/>
        </w:rPr>
        <w:t>3.16</w:t>
      </w:r>
      <w:r>
        <w:rPr>
          <w:rFonts w:hint="eastAsia" w:ascii="仿宋_GB2312" w:hAnsi="仿宋_GB2312" w:eastAsia="仿宋_GB2312" w:cs="Times New Roman"/>
          <w:color w:val="auto"/>
          <w:kern w:val="2"/>
          <w:sz w:val="32"/>
          <w:szCs w:val="24"/>
          <w:lang w:val="zh-CN" w:eastAsia="zh-CN" w:bidi="ar-SA"/>
        </w:rPr>
        <w:t>万元所致。</w:t>
      </w:r>
    </w:p>
    <w:p w14:paraId="659F609A">
      <w:pPr>
        <w:pStyle w:val="30"/>
        <w:numPr>
          <w:ilvl w:val="0"/>
          <w:numId w:val="0"/>
        </w:numPr>
        <w:spacing w:line="600" w:lineRule="exact"/>
        <w:ind w:left="640" w:leftChars="0" w:firstLine="640" w:firstLineChars="200"/>
        <w:outlineLvl w:val="1"/>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图4：财政拨款收、支决算总计变动情况</w:t>
      </w:r>
    </w:p>
    <w:p w14:paraId="0E774858">
      <w:pPr>
        <w:pStyle w:val="30"/>
        <w:numPr>
          <w:ilvl w:val="0"/>
          <w:numId w:val="0"/>
        </w:numPr>
        <w:spacing w:line="600" w:lineRule="exact"/>
        <w:ind w:left="640" w:leftChars="0" w:firstLine="640" w:firstLineChars="200"/>
        <w:outlineLvl w:val="1"/>
        <w:rPr>
          <w:rFonts w:hint="eastAsia" w:ascii="仿宋_GB2312" w:hAnsi="仿宋_GB2312" w:eastAsia="仿宋_GB2312" w:cs="Times New Roman"/>
          <w:color w:val="auto"/>
          <w:kern w:val="2"/>
          <w:sz w:val="32"/>
          <w:szCs w:val="24"/>
          <w:lang w:val="zh-CN" w:eastAsia="zh-CN" w:bidi="ar-SA"/>
        </w:rPr>
      </w:pPr>
    </w:p>
    <w:p w14:paraId="23E7BCF0">
      <w:pPr>
        <w:spacing w:line="240" w:lineRule="auto"/>
        <w:ind w:firstLine="640"/>
        <w:rPr>
          <w:rFonts w:hint="eastAsia" w:ascii="仿宋" w:hAnsi="仿宋" w:eastAsia="仿宋"/>
          <w:b/>
          <w:sz w:val="32"/>
          <w:szCs w:val="32"/>
          <w:lang w:eastAsia="zh-CN"/>
        </w:rPr>
      </w:pPr>
      <w:r>
        <w:rPr>
          <w:rFonts w:hint="eastAsia" w:ascii="仿宋" w:hAnsi="仿宋" w:eastAsia="仿宋"/>
          <w:b/>
          <w:sz w:val="32"/>
          <w:szCs w:val="32"/>
          <w:lang w:eastAsia="zh-CN"/>
        </w:rPr>
        <w:drawing>
          <wp:inline distT="0" distB="0" distL="114300" distR="114300">
            <wp:extent cx="4584065" cy="2755265"/>
            <wp:effectExtent l="0" t="0" r="6985" b="6985"/>
            <wp:docPr id="12" name="图片 12"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片4"/>
                    <pic:cNvPicPr>
                      <a:picLocks noChangeAspect="1"/>
                    </pic:cNvPicPr>
                  </pic:nvPicPr>
                  <pic:blipFill>
                    <a:blip r:embed="rId11"/>
                    <a:stretch>
                      <a:fillRect/>
                    </a:stretch>
                  </pic:blipFill>
                  <pic:spPr>
                    <a:xfrm>
                      <a:off x="0" y="0"/>
                      <a:ext cx="4584065" cy="2755265"/>
                    </a:xfrm>
                    <a:prstGeom prst="rect">
                      <a:avLst/>
                    </a:prstGeom>
                  </pic:spPr>
                </pic:pic>
              </a:graphicData>
            </a:graphic>
          </wp:inline>
        </w:drawing>
      </w:r>
    </w:p>
    <w:p w14:paraId="08EC12FB">
      <w:pPr>
        <w:spacing w:line="600" w:lineRule="exact"/>
        <w:ind w:firstLine="640" w:firstLineChars="200"/>
        <w:outlineLvl w:val="1"/>
        <w:rPr>
          <w:rStyle w:val="32"/>
          <w:rFonts w:ascii="黑体" w:hAnsi="黑体" w:eastAsia="黑体"/>
          <w:b w:val="0"/>
        </w:rPr>
      </w:pPr>
      <w:bookmarkStart w:id="39" w:name="_Toc23443"/>
      <w:bookmarkStart w:id="40" w:name="_Toc15396607"/>
      <w:bookmarkStart w:id="41" w:name="_Toc15377209"/>
      <w:r>
        <w:rPr>
          <w:rFonts w:hint="eastAsia" w:ascii="黑体" w:hAnsi="黑体" w:eastAsia="黑体"/>
          <w:sz w:val="32"/>
          <w:szCs w:val="32"/>
        </w:rPr>
        <w:t>五、</w:t>
      </w:r>
      <w:r>
        <w:rPr>
          <w:rFonts w:hint="eastAsia" w:ascii="黑体" w:hAnsi="黑体" w:eastAsia="黑体"/>
          <w:b/>
          <w:sz w:val="32"/>
          <w:szCs w:val="32"/>
        </w:rPr>
        <w:t>一</w:t>
      </w:r>
      <w:r>
        <w:rPr>
          <w:rStyle w:val="32"/>
          <w:rFonts w:hint="eastAsia" w:ascii="黑体" w:hAnsi="黑体" w:eastAsia="黑体"/>
          <w:b w:val="0"/>
        </w:rPr>
        <w:t>般公共预算财政拨款支出决算情况说明</w:t>
      </w:r>
      <w:bookmarkEnd w:id="39"/>
      <w:bookmarkEnd w:id="40"/>
      <w:bookmarkEnd w:id="41"/>
    </w:p>
    <w:p w14:paraId="34CAE83C">
      <w:pPr>
        <w:spacing w:line="600" w:lineRule="exact"/>
        <w:ind w:firstLine="643" w:firstLineChars="200"/>
        <w:outlineLvl w:val="2"/>
        <w:rPr>
          <w:rFonts w:ascii="仿宋" w:hAnsi="仿宋" w:eastAsia="仿宋"/>
          <w:b/>
          <w:sz w:val="32"/>
          <w:szCs w:val="32"/>
        </w:rPr>
      </w:pPr>
      <w:bookmarkStart w:id="42" w:name="_Toc15377210"/>
      <w:r>
        <w:rPr>
          <w:rFonts w:hint="eastAsia" w:ascii="仿宋" w:hAnsi="仿宋" w:eastAsia="仿宋"/>
          <w:b/>
          <w:sz w:val="32"/>
          <w:szCs w:val="32"/>
        </w:rPr>
        <w:t>（一）一般公共预算财政拨款支出决算总体情况</w:t>
      </w:r>
      <w:bookmarkEnd w:id="42"/>
    </w:p>
    <w:p w14:paraId="62268E37">
      <w:pPr>
        <w:pStyle w:val="30"/>
        <w:numPr>
          <w:ilvl w:val="0"/>
          <w:numId w:val="0"/>
        </w:numPr>
        <w:spacing w:line="600" w:lineRule="exact"/>
        <w:ind w:left="640" w:leftChars="0" w:firstLine="640" w:firstLineChars="200"/>
        <w:outlineLvl w:val="1"/>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2024年度一般公共预算财政拨款支出2099.88万元，占本年支出合计的</w:t>
      </w:r>
      <w:r>
        <w:rPr>
          <w:rFonts w:hint="eastAsia" w:ascii="仿宋_GB2312" w:hAnsi="仿宋_GB2312" w:eastAsia="仿宋_GB2312" w:cs="Times New Roman"/>
          <w:color w:val="auto"/>
          <w:kern w:val="2"/>
          <w:sz w:val="32"/>
          <w:szCs w:val="24"/>
          <w:lang w:val="en-US" w:eastAsia="zh-CN" w:bidi="ar-SA"/>
        </w:rPr>
        <w:t>98.04</w:t>
      </w:r>
      <w:r>
        <w:rPr>
          <w:rFonts w:hint="eastAsia" w:ascii="仿宋_GB2312" w:hAnsi="仿宋_GB2312" w:eastAsia="仿宋_GB2312" w:cs="Times New Roman"/>
          <w:color w:val="auto"/>
          <w:kern w:val="2"/>
          <w:sz w:val="32"/>
          <w:szCs w:val="24"/>
          <w:lang w:val="zh-CN" w:eastAsia="zh-CN" w:bidi="ar-SA"/>
        </w:rPr>
        <w:t>%，与2023年度2215.66</w:t>
      </w:r>
      <w:r>
        <w:rPr>
          <w:rFonts w:hint="eastAsia" w:ascii="仿宋_GB2312" w:hAnsi="仿宋_GB2312" w:eastAsia="仿宋_GB2312" w:cs="Times New Roman"/>
          <w:color w:val="auto"/>
          <w:kern w:val="2"/>
          <w:sz w:val="32"/>
          <w:szCs w:val="24"/>
          <w:lang w:val="en-US" w:eastAsia="zh-CN" w:bidi="ar-SA"/>
        </w:rPr>
        <w:t>万元</w:t>
      </w:r>
      <w:r>
        <w:rPr>
          <w:rFonts w:hint="eastAsia" w:ascii="仿宋_GB2312" w:hAnsi="仿宋_GB2312" w:eastAsia="仿宋_GB2312" w:cs="Times New Roman"/>
          <w:color w:val="auto"/>
          <w:kern w:val="2"/>
          <w:sz w:val="32"/>
          <w:szCs w:val="24"/>
          <w:lang w:val="zh-CN" w:eastAsia="zh-CN" w:bidi="ar-SA"/>
        </w:rPr>
        <w:t>相比，一般公共预算财政拨款支出减少</w:t>
      </w:r>
      <w:r>
        <w:rPr>
          <w:rFonts w:hint="eastAsia" w:ascii="仿宋_GB2312" w:hAnsi="仿宋_GB2312" w:eastAsia="仿宋_GB2312" w:cs="Times New Roman"/>
          <w:color w:val="auto"/>
          <w:kern w:val="2"/>
          <w:sz w:val="32"/>
          <w:szCs w:val="24"/>
          <w:lang w:val="en-US" w:eastAsia="zh-CN" w:bidi="ar-SA"/>
        </w:rPr>
        <w:t>115.78</w:t>
      </w:r>
      <w:r>
        <w:rPr>
          <w:rFonts w:hint="eastAsia" w:ascii="仿宋_GB2312" w:hAnsi="仿宋_GB2312" w:eastAsia="仿宋_GB2312" w:cs="Times New Roman"/>
          <w:color w:val="auto"/>
          <w:kern w:val="2"/>
          <w:sz w:val="32"/>
          <w:szCs w:val="24"/>
          <w:lang w:val="zh-CN" w:eastAsia="zh-CN" w:bidi="ar-SA"/>
        </w:rPr>
        <w:t>万元，下降</w:t>
      </w:r>
      <w:r>
        <w:rPr>
          <w:rFonts w:hint="eastAsia" w:ascii="仿宋_GB2312" w:hAnsi="仿宋_GB2312" w:eastAsia="仿宋_GB2312" w:cs="Times New Roman"/>
          <w:color w:val="auto"/>
          <w:kern w:val="2"/>
          <w:sz w:val="32"/>
          <w:szCs w:val="24"/>
          <w:lang w:val="en-US" w:eastAsia="zh-CN" w:bidi="ar-SA"/>
        </w:rPr>
        <w:t>5.2</w:t>
      </w:r>
      <w:r>
        <w:rPr>
          <w:rFonts w:hint="eastAsia" w:ascii="仿宋_GB2312" w:hAnsi="仿宋_GB2312" w:eastAsia="仿宋_GB2312" w:cs="Times New Roman"/>
          <w:color w:val="auto"/>
          <w:kern w:val="2"/>
          <w:sz w:val="32"/>
          <w:szCs w:val="24"/>
          <w:lang w:val="zh-CN" w:eastAsia="zh-CN" w:bidi="ar-SA"/>
        </w:rPr>
        <w:t>%。主要变动原因是：文化旅游体育与传媒支出增加</w:t>
      </w:r>
      <w:r>
        <w:rPr>
          <w:rFonts w:hint="eastAsia" w:ascii="仿宋_GB2312" w:hAnsi="仿宋_GB2312" w:eastAsia="仿宋_GB2312" w:cs="Times New Roman"/>
          <w:color w:val="auto"/>
          <w:kern w:val="2"/>
          <w:sz w:val="32"/>
          <w:szCs w:val="24"/>
          <w:lang w:val="en-US" w:eastAsia="zh-CN" w:bidi="ar-SA"/>
        </w:rPr>
        <w:t>1.28</w:t>
      </w:r>
      <w:r>
        <w:rPr>
          <w:rFonts w:hint="eastAsia" w:ascii="仿宋_GB2312" w:hAnsi="仿宋_GB2312" w:eastAsia="仿宋_GB2312" w:cs="Times New Roman"/>
          <w:color w:val="auto"/>
          <w:kern w:val="2"/>
          <w:sz w:val="32"/>
          <w:szCs w:val="24"/>
          <w:lang w:val="zh-CN" w:eastAsia="zh-CN" w:bidi="ar-SA"/>
        </w:rPr>
        <w:t>万元、社会保障和就业支出减少</w:t>
      </w:r>
      <w:r>
        <w:rPr>
          <w:rFonts w:hint="eastAsia" w:ascii="仿宋_GB2312" w:hAnsi="仿宋_GB2312" w:eastAsia="仿宋_GB2312" w:cs="Times New Roman"/>
          <w:color w:val="auto"/>
          <w:kern w:val="2"/>
          <w:sz w:val="32"/>
          <w:szCs w:val="24"/>
          <w:lang w:val="en-US" w:eastAsia="zh-CN" w:bidi="ar-SA"/>
        </w:rPr>
        <w:t>67.56</w:t>
      </w:r>
      <w:r>
        <w:rPr>
          <w:rFonts w:hint="eastAsia" w:ascii="仿宋_GB2312" w:hAnsi="仿宋_GB2312" w:eastAsia="仿宋_GB2312" w:cs="Times New Roman"/>
          <w:color w:val="auto"/>
          <w:kern w:val="2"/>
          <w:sz w:val="32"/>
          <w:szCs w:val="24"/>
          <w:lang w:val="zh-CN" w:eastAsia="zh-CN" w:bidi="ar-SA"/>
        </w:rPr>
        <w:t>万元、卫生健康支出增加</w:t>
      </w:r>
      <w:r>
        <w:rPr>
          <w:rFonts w:hint="eastAsia" w:ascii="仿宋_GB2312" w:hAnsi="仿宋_GB2312" w:eastAsia="仿宋_GB2312" w:cs="Times New Roman"/>
          <w:color w:val="auto"/>
          <w:kern w:val="2"/>
          <w:sz w:val="32"/>
          <w:szCs w:val="24"/>
          <w:lang w:val="en-US" w:eastAsia="zh-CN" w:bidi="ar-SA"/>
        </w:rPr>
        <w:t>4.24</w:t>
      </w:r>
      <w:r>
        <w:rPr>
          <w:rFonts w:hint="eastAsia" w:ascii="仿宋_GB2312" w:hAnsi="仿宋_GB2312" w:eastAsia="仿宋_GB2312" w:cs="Times New Roman"/>
          <w:color w:val="auto"/>
          <w:kern w:val="2"/>
          <w:sz w:val="32"/>
          <w:szCs w:val="24"/>
          <w:lang w:val="zh-CN" w:eastAsia="zh-CN" w:bidi="ar-SA"/>
        </w:rPr>
        <w:t>万元、城乡社区支出减少</w:t>
      </w:r>
      <w:r>
        <w:rPr>
          <w:rFonts w:hint="eastAsia" w:ascii="仿宋_GB2312" w:hAnsi="仿宋_GB2312" w:eastAsia="仿宋_GB2312" w:cs="Times New Roman"/>
          <w:color w:val="auto"/>
          <w:kern w:val="2"/>
          <w:sz w:val="32"/>
          <w:szCs w:val="24"/>
          <w:lang w:val="en-US" w:eastAsia="zh-CN" w:bidi="ar-SA"/>
        </w:rPr>
        <w:t>39.66</w:t>
      </w:r>
      <w:r>
        <w:rPr>
          <w:rFonts w:hint="eastAsia" w:ascii="仿宋_GB2312" w:hAnsi="仿宋_GB2312" w:eastAsia="仿宋_GB2312" w:cs="Times New Roman"/>
          <w:color w:val="auto"/>
          <w:kern w:val="2"/>
          <w:sz w:val="32"/>
          <w:szCs w:val="24"/>
          <w:lang w:val="zh-CN" w:eastAsia="zh-CN" w:bidi="ar-SA"/>
        </w:rPr>
        <w:t>万元、</w:t>
      </w:r>
      <w:r>
        <w:rPr>
          <w:rFonts w:hint="eastAsia" w:ascii="仿宋_GB2312" w:hAnsi="仿宋_GB2312" w:eastAsia="仿宋_GB2312" w:cs="Times New Roman"/>
          <w:color w:val="auto"/>
          <w:kern w:val="2"/>
          <w:sz w:val="32"/>
          <w:szCs w:val="24"/>
          <w:lang w:val="en-US" w:eastAsia="zh-CN" w:bidi="ar-SA"/>
        </w:rPr>
        <w:t>交通运输支出减少17.24万元、</w:t>
      </w:r>
      <w:r>
        <w:rPr>
          <w:rFonts w:hint="eastAsia" w:ascii="仿宋_GB2312" w:hAnsi="仿宋_GB2312" w:eastAsia="仿宋_GB2312" w:cs="Times New Roman"/>
          <w:color w:val="auto"/>
          <w:kern w:val="2"/>
          <w:sz w:val="32"/>
          <w:szCs w:val="24"/>
          <w:lang w:val="zh-CN" w:eastAsia="zh-CN" w:bidi="ar-SA"/>
        </w:rPr>
        <w:t>住房保障支出增加</w:t>
      </w:r>
      <w:r>
        <w:rPr>
          <w:rFonts w:hint="eastAsia" w:ascii="仿宋_GB2312" w:hAnsi="仿宋_GB2312" w:eastAsia="仿宋_GB2312" w:cs="Times New Roman"/>
          <w:color w:val="auto"/>
          <w:kern w:val="2"/>
          <w:sz w:val="32"/>
          <w:szCs w:val="24"/>
          <w:lang w:val="en-US" w:eastAsia="zh-CN" w:bidi="ar-SA"/>
        </w:rPr>
        <w:t>3.16</w:t>
      </w:r>
      <w:r>
        <w:rPr>
          <w:rFonts w:hint="eastAsia" w:ascii="仿宋_GB2312" w:hAnsi="仿宋_GB2312" w:eastAsia="仿宋_GB2312" w:cs="Times New Roman"/>
          <w:color w:val="auto"/>
          <w:kern w:val="2"/>
          <w:sz w:val="32"/>
          <w:szCs w:val="24"/>
          <w:lang w:val="zh-CN" w:eastAsia="zh-CN" w:bidi="ar-SA"/>
        </w:rPr>
        <w:t>万元所致。</w:t>
      </w:r>
    </w:p>
    <w:p w14:paraId="0188ABA6">
      <w:pPr>
        <w:pStyle w:val="30"/>
        <w:numPr>
          <w:ilvl w:val="0"/>
          <w:numId w:val="0"/>
        </w:numPr>
        <w:spacing w:line="600" w:lineRule="exact"/>
        <w:ind w:left="640" w:leftChars="0" w:firstLine="640" w:firstLineChars="200"/>
        <w:outlineLvl w:val="1"/>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图5：一般公共预算财政拨款支出决算变动情况</w:t>
      </w:r>
    </w:p>
    <w:p w14:paraId="6D5195F7">
      <w:pPr>
        <w:pStyle w:val="2"/>
        <w:rPr>
          <w:rFonts w:hint="eastAsia"/>
        </w:rPr>
      </w:pPr>
    </w:p>
    <w:p w14:paraId="7B853A29">
      <w:pPr>
        <w:pStyle w:val="2"/>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4651375" cy="3486785"/>
            <wp:effectExtent l="0" t="0" r="15875" b="18415"/>
            <wp:docPr id="13" name="图片 13"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片5"/>
                    <pic:cNvPicPr>
                      <a:picLocks noChangeAspect="1"/>
                    </pic:cNvPicPr>
                  </pic:nvPicPr>
                  <pic:blipFill>
                    <a:blip r:embed="rId12"/>
                    <a:stretch>
                      <a:fillRect/>
                    </a:stretch>
                  </pic:blipFill>
                  <pic:spPr>
                    <a:xfrm>
                      <a:off x="0" y="0"/>
                      <a:ext cx="4651375" cy="3486785"/>
                    </a:xfrm>
                    <a:prstGeom prst="rect">
                      <a:avLst/>
                    </a:prstGeom>
                  </pic:spPr>
                </pic:pic>
              </a:graphicData>
            </a:graphic>
          </wp:inline>
        </w:drawing>
      </w:r>
    </w:p>
    <w:p w14:paraId="102775A8">
      <w:pPr>
        <w:spacing w:line="600" w:lineRule="exact"/>
        <w:ind w:firstLine="643" w:firstLineChars="200"/>
        <w:outlineLvl w:val="2"/>
        <w:rPr>
          <w:rFonts w:ascii="仿宋" w:hAnsi="仿宋" w:eastAsia="仿宋"/>
          <w:b/>
          <w:sz w:val="32"/>
          <w:szCs w:val="32"/>
        </w:rPr>
      </w:pPr>
      <w:bookmarkStart w:id="43" w:name="_Toc15377211"/>
      <w:r>
        <w:rPr>
          <w:rFonts w:hint="eastAsia" w:ascii="仿宋" w:hAnsi="仿宋" w:eastAsia="仿宋"/>
          <w:b/>
          <w:sz w:val="32"/>
          <w:szCs w:val="32"/>
        </w:rPr>
        <w:t>（二）一般公共预算财政拨款支出决算结构情况</w:t>
      </w:r>
      <w:bookmarkEnd w:id="43"/>
    </w:p>
    <w:p w14:paraId="40C5827A">
      <w:pPr>
        <w:pStyle w:val="30"/>
        <w:numPr>
          <w:ilvl w:val="0"/>
          <w:numId w:val="0"/>
        </w:numPr>
        <w:spacing w:line="600" w:lineRule="exact"/>
        <w:ind w:left="640" w:leftChars="0" w:firstLine="640" w:firstLineChars="200"/>
        <w:outlineLvl w:val="1"/>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2024年度一般公共预算财政拨款支出2099.88万元，主要用于以下方面:文化旅游体育与传媒支出1.28万元，占0.1%，社会保障和就业支出252.66万元，占12%；卫生健康支出48.71万元，占2.3%；</w:t>
      </w:r>
      <w:r>
        <w:rPr>
          <w:rFonts w:hint="eastAsia" w:ascii="仿宋_GB2312" w:hAnsi="仿宋_GB2312" w:eastAsia="仿宋_GB2312" w:cs="Times New Roman"/>
          <w:color w:val="auto"/>
          <w:kern w:val="2"/>
          <w:sz w:val="32"/>
          <w:szCs w:val="24"/>
          <w:lang w:val="zh-CN" w:eastAsia="zh-CN" w:bidi="ar-SA"/>
        </w:rPr>
        <w:t>城乡社区支出</w:t>
      </w:r>
      <w:r>
        <w:rPr>
          <w:rFonts w:hint="eastAsia" w:ascii="仿宋_GB2312" w:hAnsi="仿宋_GB2312" w:eastAsia="仿宋_GB2312" w:cs="Times New Roman"/>
          <w:color w:val="auto"/>
          <w:kern w:val="2"/>
          <w:sz w:val="32"/>
          <w:szCs w:val="24"/>
          <w:lang w:val="en-US" w:eastAsia="zh-CN" w:bidi="ar-SA"/>
        </w:rPr>
        <w:t>1686.09</w:t>
      </w:r>
      <w:r>
        <w:rPr>
          <w:rFonts w:hint="eastAsia" w:ascii="仿宋_GB2312" w:hAnsi="仿宋_GB2312" w:eastAsia="仿宋_GB2312" w:cs="Times New Roman"/>
          <w:color w:val="auto"/>
          <w:kern w:val="2"/>
          <w:sz w:val="32"/>
          <w:szCs w:val="24"/>
          <w:lang w:val="zh-CN" w:eastAsia="zh-CN" w:bidi="ar-SA"/>
        </w:rPr>
        <w:t>万元，占</w:t>
      </w:r>
      <w:r>
        <w:rPr>
          <w:rFonts w:hint="eastAsia" w:ascii="仿宋_GB2312" w:hAnsi="仿宋_GB2312" w:eastAsia="仿宋_GB2312" w:cs="Times New Roman"/>
          <w:color w:val="auto"/>
          <w:kern w:val="2"/>
          <w:sz w:val="32"/>
          <w:szCs w:val="24"/>
          <w:lang w:val="en-US" w:eastAsia="zh-CN" w:bidi="ar-SA"/>
        </w:rPr>
        <w:t>80.3</w:t>
      </w:r>
      <w:r>
        <w:rPr>
          <w:rFonts w:hint="eastAsia" w:ascii="仿宋_GB2312" w:hAnsi="仿宋_GB2312" w:eastAsia="仿宋_GB2312" w:cs="Times New Roman"/>
          <w:color w:val="auto"/>
          <w:kern w:val="2"/>
          <w:sz w:val="32"/>
          <w:szCs w:val="24"/>
          <w:lang w:val="zh-CN" w:eastAsia="zh-CN" w:bidi="ar-SA"/>
        </w:rPr>
        <w:t>%；交通运输支出</w:t>
      </w:r>
      <w:r>
        <w:rPr>
          <w:rFonts w:hint="eastAsia" w:ascii="仿宋_GB2312" w:hAnsi="仿宋_GB2312" w:eastAsia="仿宋_GB2312" w:cs="Times New Roman"/>
          <w:color w:val="auto"/>
          <w:kern w:val="2"/>
          <w:sz w:val="32"/>
          <w:szCs w:val="24"/>
          <w:lang w:val="en-US" w:eastAsia="zh-CN" w:bidi="ar-SA"/>
        </w:rPr>
        <w:t>1.36</w:t>
      </w:r>
      <w:r>
        <w:rPr>
          <w:rFonts w:hint="eastAsia" w:ascii="仿宋_GB2312" w:hAnsi="仿宋_GB2312" w:eastAsia="仿宋_GB2312" w:cs="Times New Roman"/>
          <w:color w:val="auto"/>
          <w:kern w:val="2"/>
          <w:sz w:val="32"/>
          <w:szCs w:val="24"/>
          <w:lang w:val="zh-CN" w:eastAsia="zh-CN" w:bidi="ar-SA"/>
        </w:rPr>
        <w:t>万元，占</w:t>
      </w:r>
      <w:r>
        <w:rPr>
          <w:rFonts w:hint="eastAsia" w:ascii="仿宋_GB2312" w:hAnsi="仿宋_GB2312" w:eastAsia="仿宋_GB2312" w:cs="Times New Roman"/>
          <w:color w:val="auto"/>
          <w:kern w:val="2"/>
          <w:sz w:val="32"/>
          <w:szCs w:val="24"/>
          <w:lang w:val="en-US" w:eastAsia="zh-CN" w:bidi="ar-SA"/>
        </w:rPr>
        <w:t>0.1</w:t>
      </w:r>
      <w:r>
        <w:rPr>
          <w:rFonts w:hint="eastAsia" w:ascii="仿宋_GB2312" w:hAnsi="仿宋_GB2312" w:eastAsia="仿宋_GB2312" w:cs="Times New Roman"/>
          <w:color w:val="auto"/>
          <w:kern w:val="2"/>
          <w:sz w:val="32"/>
          <w:szCs w:val="24"/>
          <w:lang w:val="zh-CN" w:eastAsia="zh-CN" w:bidi="ar-SA"/>
        </w:rPr>
        <w:t>%；</w:t>
      </w:r>
      <w:r>
        <w:rPr>
          <w:rFonts w:hint="eastAsia" w:ascii="仿宋_GB2312" w:hAnsi="仿宋_GB2312" w:eastAsia="仿宋_GB2312" w:cs="Times New Roman"/>
          <w:color w:val="auto"/>
          <w:kern w:val="2"/>
          <w:sz w:val="32"/>
          <w:szCs w:val="24"/>
          <w:lang w:val="en-US" w:eastAsia="zh-CN" w:bidi="ar-SA"/>
        </w:rPr>
        <w:t>住房保障支出109.78万元，占5.2%。</w:t>
      </w:r>
    </w:p>
    <w:p w14:paraId="5B3B176C">
      <w:pPr>
        <w:pStyle w:val="30"/>
        <w:numPr>
          <w:ilvl w:val="0"/>
          <w:numId w:val="0"/>
        </w:numPr>
        <w:spacing w:line="600" w:lineRule="exact"/>
        <w:ind w:left="640" w:leftChars="0" w:firstLine="640" w:firstLineChars="200"/>
        <w:outlineLvl w:val="1"/>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图6：一般公共预算财政拨款支出决算结构</w:t>
      </w:r>
    </w:p>
    <w:p w14:paraId="6D8A1869">
      <w:pPr>
        <w:spacing w:line="24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4358640" cy="3413760"/>
            <wp:effectExtent l="0" t="0" r="3810" b="15240"/>
            <wp:docPr id="14" name="图片 14"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图片6"/>
                    <pic:cNvPicPr>
                      <a:picLocks noChangeAspect="1"/>
                    </pic:cNvPicPr>
                  </pic:nvPicPr>
                  <pic:blipFill>
                    <a:blip r:embed="rId13"/>
                    <a:stretch>
                      <a:fillRect/>
                    </a:stretch>
                  </pic:blipFill>
                  <pic:spPr>
                    <a:xfrm>
                      <a:off x="0" y="0"/>
                      <a:ext cx="4358640" cy="3413760"/>
                    </a:xfrm>
                    <a:prstGeom prst="rect">
                      <a:avLst/>
                    </a:prstGeom>
                  </pic:spPr>
                </pic:pic>
              </a:graphicData>
            </a:graphic>
          </wp:inline>
        </w:drawing>
      </w:r>
    </w:p>
    <w:p w14:paraId="0AB2E034">
      <w:pPr>
        <w:spacing w:line="600" w:lineRule="exact"/>
        <w:ind w:firstLine="643" w:firstLineChars="200"/>
        <w:outlineLvl w:val="2"/>
        <w:rPr>
          <w:rFonts w:ascii="仿宋" w:hAnsi="仿宋" w:eastAsia="仿宋"/>
          <w:b/>
          <w:sz w:val="32"/>
          <w:szCs w:val="32"/>
        </w:rPr>
      </w:pPr>
      <w:bookmarkStart w:id="44" w:name="_Toc15377212"/>
      <w:r>
        <w:rPr>
          <w:rFonts w:hint="eastAsia" w:ascii="仿宋" w:hAnsi="仿宋" w:eastAsia="仿宋"/>
          <w:b/>
          <w:sz w:val="32"/>
          <w:szCs w:val="32"/>
        </w:rPr>
        <w:t>（三）一般公共预算财政拨款支出决算具体情况</w:t>
      </w:r>
      <w:bookmarkEnd w:id="44"/>
    </w:p>
    <w:p w14:paraId="42892CE3">
      <w:pPr>
        <w:spacing w:line="600" w:lineRule="exact"/>
        <w:ind w:firstLine="643" w:firstLineChars="200"/>
        <w:outlineLvl w:val="1"/>
        <w:rPr>
          <w:rStyle w:val="20"/>
          <w:rFonts w:hint="eastAsia" w:ascii="仿宋" w:hAnsi="仿宋" w:eastAsia="仿宋"/>
          <w:bCs/>
          <w:sz w:val="32"/>
          <w:szCs w:val="32"/>
        </w:rPr>
      </w:pPr>
      <w:bookmarkStart w:id="45" w:name="_Toc15377213"/>
      <w:bookmarkStart w:id="46" w:name="_Toc15378460"/>
      <w:bookmarkStart w:id="47" w:name="_Toc12014"/>
      <w:bookmarkStart w:id="48" w:name="_Toc15377444"/>
      <w:r>
        <w:rPr>
          <w:rFonts w:hint="eastAsia" w:ascii="仿宋" w:hAnsi="仿宋" w:eastAsia="仿宋"/>
          <w:b/>
          <w:sz w:val="32"/>
          <w:szCs w:val="32"/>
          <w:lang w:eastAsia="zh-CN"/>
        </w:rPr>
        <w:t>2024</w:t>
      </w:r>
      <w:r>
        <w:rPr>
          <w:rFonts w:hint="eastAsia" w:ascii="仿宋" w:hAnsi="仿宋" w:eastAsia="仿宋"/>
          <w:b/>
          <w:sz w:val="32"/>
          <w:szCs w:val="32"/>
        </w:rPr>
        <w:t>年度一般公共预算支出决算数为</w:t>
      </w:r>
      <w:r>
        <w:rPr>
          <w:rFonts w:hint="eastAsia"/>
          <w:sz w:val="32"/>
          <w:szCs w:val="32"/>
        </w:rPr>
        <w:t>2099.88</w:t>
      </w:r>
      <w:r>
        <w:rPr>
          <w:rFonts w:hint="eastAsia"/>
          <w:sz w:val="32"/>
          <w:szCs w:val="32"/>
          <w:lang w:eastAsia="zh-CN"/>
        </w:rPr>
        <w:t>万元</w:t>
      </w:r>
      <w:r>
        <w:rPr>
          <w:rFonts w:hint="eastAsia" w:ascii="仿宋" w:hAnsi="仿宋" w:eastAsia="仿宋"/>
          <w:sz w:val="32"/>
          <w:szCs w:val="32"/>
        </w:rPr>
        <w:t>，</w:t>
      </w:r>
      <w:r>
        <w:rPr>
          <w:rStyle w:val="20"/>
          <w:rFonts w:hint="eastAsia" w:ascii="仿宋" w:hAnsi="仿宋" w:eastAsia="仿宋"/>
          <w:bCs/>
          <w:sz w:val="32"/>
          <w:szCs w:val="32"/>
        </w:rPr>
        <w:t>完成预算</w:t>
      </w:r>
      <w:r>
        <w:rPr>
          <w:rStyle w:val="20"/>
          <w:rFonts w:hint="eastAsia" w:ascii="仿宋" w:hAnsi="仿宋" w:eastAsia="仿宋"/>
          <w:bCs/>
          <w:sz w:val="32"/>
          <w:szCs w:val="32"/>
          <w:lang w:val="en-US" w:eastAsia="zh-CN"/>
        </w:rPr>
        <w:t>98.7%</w:t>
      </w:r>
      <w:r>
        <w:rPr>
          <w:rStyle w:val="20"/>
          <w:rFonts w:hint="eastAsia" w:ascii="仿宋" w:hAnsi="仿宋" w:eastAsia="仿宋"/>
          <w:bCs/>
          <w:sz w:val="32"/>
          <w:szCs w:val="32"/>
        </w:rPr>
        <w:t>。其中：</w:t>
      </w:r>
      <w:bookmarkEnd w:id="45"/>
      <w:bookmarkEnd w:id="46"/>
      <w:bookmarkEnd w:id="47"/>
      <w:bookmarkEnd w:id="48"/>
    </w:p>
    <w:p w14:paraId="147ACB7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1、文化旅游体育与传媒支出（类）文化和旅游（款）群众文化（项）：支出决算为1.28万元，完成预算100%。决算数等于预算数。</w:t>
      </w:r>
    </w:p>
    <w:p w14:paraId="0BC0904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2、社会保障和就业（类）行政事业单位养老支出（款）机关事业单位基本养老保险缴费支出（项）: 支出决算为133.54万元，完成预算100%。决算数等于预算数。</w:t>
      </w:r>
    </w:p>
    <w:p w14:paraId="107B8AD7">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3、社会保障和就业（类）行政事业单位养老支出（款）机关事业单位职业年金缴费支出（项）: 支出决算为72.79万元，完成预算100%。决算数等于预算数。</w:t>
      </w:r>
    </w:p>
    <w:p w14:paraId="5CF9C46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4、社会保障和就业（类）行政事业单位养老支出（款）其他行政事业单位养老支出（项）: 支出决算为12.80万元，完成预算100%。决算数等于预算数。</w:t>
      </w:r>
    </w:p>
    <w:p w14:paraId="3DE8AB84">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5、社会保障和就业（类）就业补助（款） 公益性岗位补贴（项）: 支出决算为24.40万元，完成预算100%。决算数等于预算数。</w:t>
      </w:r>
    </w:p>
    <w:p w14:paraId="0B354769">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6、社会保障和就业（类）其他社会保障和就业支出（款） 其他社会保障和就业支出（项）: 支出决算为9.14万元，完成预算100%。决算数等于预算数。</w:t>
      </w:r>
    </w:p>
    <w:p w14:paraId="4AADFE1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7、卫生健康（类）行政事业单位医疗（款）行政单位医疗（项）:支出决算为39.41万元，完成预算100%。决算数等于预算数。</w:t>
      </w:r>
    </w:p>
    <w:p w14:paraId="25DFB4F7">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8、卫生健康（类）行政事业单位医疗（款）公务员医疗补助（项）:支出决算为9.3万元，完成预算100%。决算数等于预算数。</w:t>
      </w:r>
    </w:p>
    <w:p w14:paraId="1C6C60C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9、城乡社区支出（类）城乡社区管理事务（款）行政运行（项）:支出决算为1,640.09万元，完成预算100%。决算数等于预算数。</w:t>
      </w:r>
    </w:p>
    <w:p w14:paraId="11BA0135">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10、城乡社区支出（类）城乡社区管理事务（款）城管执法（项）:支出决算为45.99万元，预算数为73.82万元，决算数小于预算数27.83万元，完成预算62.3%。决算数小于预算数的原因是“</w:t>
      </w:r>
      <w:r>
        <w:rPr>
          <w:rFonts w:hint="default" w:ascii="Times New Roman" w:hAnsi="Times New Roman" w:eastAsia="仿宋_GB2312" w:cs="仿宋_GB2312"/>
          <w:color w:val="auto"/>
          <w:kern w:val="2"/>
          <w:sz w:val="32"/>
          <w:szCs w:val="32"/>
          <w:highlight w:val="none"/>
          <w:lang w:val="en-US" w:eastAsia="zh-CN" w:bidi="ar-SA"/>
        </w:rPr>
        <w:t>补助执法人员误餐、加班、差旅经费</w:t>
      </w:r>
      <w:r>
        <w:rPr>
          <w:rFonts w:hint="eastAsia" w:ascii="Times New Roman" w:hAnsi="Times New Roman" w:eastAsia="仿宋_GB2312" w:cs="仿宋_GB2312"/>
          <w:color w:val="auto"/>
          <w:kern w:val="2"/>
          <w:sz w:val="32"/>
          <w:szCs w:val="32"/>
          <w:highlight w:val="none"/>
          <w:lang w:val="en-US" w:eastAsia="zh-CN" w:bidi="ar-SA"/>
        </w:rPr>
        <w:t>”项目未到位资金22.83万元、</w:t>
      </w:r>
      <w:r>
        <w:rPr>
          <w:rFonts w:hint="default" w:ascii="Times New Roman" w:hAnsi="Times New Roman" w:eastAsia="仿宋_GB2312" w:cs="仿宋_GB2312"/>
          <w:color w:val="auto"/>
          <w:kern w:val="2"/>
          <w:sz w:val="32"/>
          <w:szCs w:val="32"/>
          <w:highlight w:val="none"/>
          <w:lang w:val="en-US" w:eastAsia="zh-CN" w:bidi="ar-SA"/>
        </w:rPr>
        <w:t>购置制式服装项目</w:t>
      </w:r>
      <w:r>
        <w:rPr>
          <w:rFonts w:hint="eastAsia" w:ascii="Times New Roman" w:hAnsi="Times New Roman" w:eastAsia="仿宋_GB2312" w:cs="仿宋_GB2312"/>
          <w:color w:val="auto"/>
          <w:kern w:val="2"/>
          <w:sz w:val="32"/>
          <w:szCs w:val="32"/>
          <w:highlight w:val="none"/>
          <w:lang w:val="en-US" w:eastAsia="zh-CN" w:bidi="ar-SA"/>
        </w:rPr>
        <w:t>未到位资金5万元所</w:t>
      </w:r>
      <w:r>
        <w:rPr>
          <w:rFonts w:hint="eastAsia" w:eastAsia="仿宋_GB2312" w:cs="仿宋_GB2312"/>
          <w:color w:val="auto"/>
          <w:kern w:val="2"/>
          <w:sz w:val="32"/>
          <w:szCs w:val="32"/>
          <w:highlight w:val="none"/>
          <w:lang w:val="en-US" w:eastAsia="zh-CN" w:bidi="ar-SA"/>
        </w:rPr>
        <w:t>致</w:t>
      </w:r>
      <w:r>
        <w:rPr>
          <w:rFonts w:hint="eastAsia" w:ascii="Times New Roman" w:hAnsi="Times New Roman" w:eastAsia="仿宋_GB2312" w:cs="仿宋_GB2312"/>
          <w:color w:val="auto"/>
          <w:kern w:val="2"/>
          <w:sz w:val="32"/>
          <w:szCs w:val="32"/>
          <w:highlight w:val="none"/>
          <w:lang w:val="en-US" w:eastAsia="zh-CN" w:bidi="ar-SA"/>
        </w:rPr>
        <w:t>。</w:t>
      </w:r>
    </w:p>
    <w:p w14:paraId="52271C6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11、交通运输支出（类）公路水路运输（款） 公路运输管理（项）:支出决算为1.36万元，完成预算100%。决算数等于预算数。</w:t>
      </w:r>
    </w:p>
    <w:p w14:paraId="09A6E1D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12、住房保障支出（类）住房改革支出（款） 住房公积金（项）:支出决算为109.78万元，完成预算100%。决算数等于预算数。</w:t>
      </w:r>
    </w:p>
    <w:p w14:paraId="003831B2">
      <w:pPr>
        <w:tabs>
          <w:tab w:val="right" w:pos="8306"/>
        </w:tabs>
        <w:spacing w:line="600" w:lineRule="exact"/>
        <w:ind w:firstLine="640"/>
        <w:outlineLvl w:val="1"/>
        <w:rPr>
          <w:rStyle w:val="32"/>
        </w:rPr>
      </w:pPr>
      <w:bookmarkStart w:id="49" w:name="_Toc32552"/>
      <w:bookmarkStart w:id="50" w:name="_Toc15377214"/>
      <w:bookmarkStart w:id="51"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2"/>
          <w:rFonts w:hint="eastAsia" w:ascii="黑体" w:hAnsi="黑体" w:eastAsia="黑体"/>
          <w:b w:val="0"/>
        </w:rPr>
        <w:t>般公共预算财政拨款基本支出决算情况说明</w:t>
      </w:r>
      <w:bookmarkEnd w:id="49"/>
      <w:bookmarkEnd w:id="50"/>
      <w:bookmarkEnd w:id="51"/>
      <w:r>
        <w:rPr>
          <w:rStyle w:val="32"/>
          <w:rFonts w:ascii="黑体" w:hAnsi="黑体" w:eastAsia="黑体"/>
          <w:b w:val="0"/>
        </w:rPr>
        <w:tab/>
      </w:r>
    </w:p>
    <w:p w14:paraId="04B3FD9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2024年度一般公共预算财政拨款基本支出2026.85万元，其中：</w:t>
      </w:r>
    </w:p>
    <w:p w14:paraId="32E6E64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1,821.42万元，主要包括：基本工资、津贴补贴、奖金、伙食补助费、机关事业单位基本养老保险缴费、职业年金缴费、医疗费补助、其他社会保障缴费、住房公积金、其他工资福利支出、其他对个人和家庭的补助支出等。</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205.43万元，主要包括：办公费、印刷费、咨询费、水费、电费、邮电费、差旅费、因公出国（境）费用、维修（护）费、租赁费、公务接待费、劳务费、委托业务费、工会经费、福利费、公务用车运行维护费、其他交通费、其他商品和服务支出等。</w:t>
      </w:r>
    </w:p>
    <w:p w14:paraId="22DB2F8B">
      <w:pPr>
        <w:spacing w:line="600" w:lineRule="exact"/>
        <w:ind w:firstLine="640"/>
        <w:outlineLvl w:val="1"/>
        <w:rPr>
          <w:rStyle w:val="32"/>
          <w:rFonts w:ascii="黑体" w:hAnsi="黑体" w:eastAsia="黑体"/>
          <w:b w:val="0"/>
        </w:rPr>
      </w:pPr>
      <w:bookmarkStart w:id="52" w:name="_Toc15396609"/>
      <w:bookmarkStart w:id="53" w:name="_Toc15377215"/>
      <w:bookmarkStart w:id="54" w:name="_Toc21071"/>
      <w:r>
        <w:rPr>
          <w:rFonts w:hint="eastAsia" w:ascii="黑体" w:eastAsia="黑体"/>
          <w:sz w:val="32"/>
          <w:szCs w:val="32"/>
        </w:rPr>
        <w:t>七、</w:t>
      </w:r>
      <w:r>
        <w:rPr>
          <w:rStyle w:val="32"/>
          <w:rFonts w:hint="eastAsia" w:ascii="黑体" w:hAnsi="黑体" w:eastAsia="黑体"/>
          <w:b w:val="0"/>
        </w:rPr>
        <w:t>财政拨款</w:t>
      </w:r>
      <w:r>
        <w:rPr>
          <w:rStyle w:val="32"/>
          <w:rFonts w:hint="eastAsia" w:ascii="黑体" w:hAnsi="黑体" w:eastAsia="黑体"/>
        </w:rPr>
        <w:t>“</w:t>
      </w:r>
      <w:r>
        <w:rPr>
          <w:rStyle w:val="32"/>
          <w:rFonts w:hint="eastAsia" w:ascii="黑体" w:hAnsi="黑体" w:eastAsia="黑体"/>
          <w:b w:val="0"/>
        </w:rPr>
        <w:t>三公”经费支出决算情况说明</w:t>
      </w:r>
      <w:bookmarkEnd w:id="52"/>
      <w:bookmarkEnd w:id="53"/>
      <w:bookmarkEnd w:id="54"/>
    </w:p>
    <w:p w14:paraId="59E64290">
      <w:pPr>
        <w:spacing w:line="600" w:lineRule="exact"/>
        <w:ind w:firstLine="640"/>
        <w:outlineLvl w:val="2"/>
        <w:rPr>
          <w:rFonts w:ascii="仿宋" w:hAnsi="仿宋" w:eastAsia="仿宋"/>
          <w:b/>
          <w:sz w:val="32"/>
          <w:szCs w:val="32"/>
        </w:rPr>
      </w:pPr>
      <w:bookmarkStart w:id="55" w:name="_Toc15377216"/>
      <w:r>
        <w:rPr>
          <w:rFonts w:hint="eastAsia" w:ascii="仿宋" w:hAnsi="仿宋" w:eastAsia="仿宋"/>
          <w:b/>
          <w:sz w:val="32"/>
          <w:szCs w:val="32"/>
        </w:rPr>
        <w:t>（一）“三公”经费财政拨款支出决算总体情况说明</w:t>
      </w:r>
      <w:bookmarkEnd w:id="55"/>
    </w:p>
    <w:p w14:paraId="453B99D6">
      <w:pPr>
        <w:spacing w:line="600" w:lineRule="exact"/>
        <w:ind w:firstLine="645"/>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2024年度“三公”经费财政拨款支出决算为10.24万元，完成预算100%，较上年度10.27</w:t>
      </w:r>
      <w:r>
        <w:rPr>
          <w:rFonts w:hint="eastAsia" w:ascii="Times New Roman" w:hAnsi="Times New Roman" w:eastAsia="仿宋_GB2312" w:cs="仿宋_GB2312"/>
          <w:color w:val="auto"/>
          <w:kern w:val="2"/>
          <w:sz w:val="32"/>
          <w:szCs w:val="32"/>
          <w:highlight w:val="none"/>
          <w:lang w:val="zh-CN" w:eastAsia="zh-CN" w:bidi="ar-SA"/>
        </w:rPr>
        <w:t>万元</w:t>
      </w:r>
      <w:r>
        <w:rPr>
          <w:rFonts w:hint="eastAsia" w:ascii="Times New Roman" w:hAnsi="Times New Roman" w:eastAsia="仿宋_GB2312" w:cs="仿宋_GB2312"/>
          <w:color w:val="auto"/>
          <w:kern w:val="2"/>
          <w:sz w:val="32"/>
          <w:szCs w:val="32"/>
          <w:highlight w:val="none"/>
          <w:lang w:val="en-US" w:eastAsia="zh-CN" w:bidi="ar-SA"/>
        </w:rPr>
        <w:t>减少0.03万元，下降0.3%。决算数与预算数持平。</w:t>
      </w:r>
    </w:p>
    <w:p w14:paraId="0310E93E">
      <w:pPr>
        <w:spacing w:line="600" w:lineRule="exact"/>
        <w:ind w:firstLine="640"/>
        <w:outlineLvl w:val="2"/>
        <w:rPr>
          <w:rFonts w:ascii="仿宋" w:hAnsi="仿宋" w:eastAsia="仿宋"/>
          <w:b/>
          <w:sz w:val="32"/>
          <w:szCs w:val="32"/>
        </w:rPr>
      </w:pPr>
      <w:bookmarkStart w:id="56" w:name="_Toc15377217"/>
      <w:r>
        <w:rPr>
          <w:rFonts w:hint="eastAsia" w:ascii="仿宋" w:hAnsi="仿宋" w:eastAsia="仿宋"/>
          <w:b/>
          <w:sz w:val="32"/>
          <w:szCs w:val="32"/>
        </w:rPr>
        <w:t>（二）“三公”经费财政拨款支出决算具体情况说明</w:t>
      </w:r>
      <w:bookmarkEnd w:id="56"/>
    </w:p>
    <w:p w14:paraId="364D65B8">
      <w:pPr>
        <w:spacing w:line="600" w:lineRule="exact"/>
        <w:ind w:firstLine="645"/>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2024年度“三公”经费财政拨款支出决算中，因公出国（境）费支出决算0万元，占0%；公务用车购置及运行维护费支出决算9.94万元，占97.1%；公务接待费支出决算0.3万元，占2.9%。具体情况如下：</w:t>
      </w:r>
    </w:p>
    <w:p w14:paraId="37A8F91A">
      <w:pPr>
        <w:spacing w:line="600" w:lineRule="exact"/>
        <w:ind w:firstLine="645"/>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w:t>
      </w:r>
    </w:p>
    <w:p w14:paraId="23A01875">
      <w:pPr>
        <w:pStyle w:val="2"/>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4578350" cy="3176270"/>
            <wp:effectExtent l="0" t="0" r="12700" b="5080"/>
            <wp:docPr id="15" name="图片 15" descr="图片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图片7"/>
                    <pic:cNvPicPr>
                      <a:picLocks noChangeAspect="1"/>
                    </pic:cNvPicPr>
                  </pic:nvPicPr>
                  <pic:blipFill>
                    <a:blip r:embed="rId14"/>
                    <a:stretch>
                      <a:fillRect/>
                    </a:stretch>
                  </pic:blipFill>
                  <pic:spPr>
                    <a:xfrm>
                      <a:off x="0" y="0"/>
                      <a:ext cx="4578350" cy="3176270"/>
                    </a:xfrm>
                    <a:prstGeom prst="rect">
                      <a:avLst/>
                    </a:prstGeom>
                  </pic:spPr>
                </pic:pic>
              </a:graphicData>
            </a:graphic>
          </wp:inline>
        </w:drawing>
      </w:r>
    </w:p>
    <w:p w14:paraId="735863D6">
      <w:pPr>
        <w:pStyle w:val="4"/>
        <w:rPr>
          <w:rFonts w:hint="eastAsia" w:ascii="仿宋" w:hAnsi="仿宋" w:eastAsia="仿宋"/>
          <w:sz w:val="32"/>
          <w:szCs w:val="32"/>
        </w:rPr>
      </w:pPr>
    </w:p>
    <w:p w14:paraId="4823BD2E">
      <w:pPr>
        <w:spacing w:line="600" w:lineRule="exact"/>
        <w:ind w:firstLine="645"/>
        <w:rPr>
          <w:rFonts w:hint="eastAsia" w:ascii="Times New Roman" w:hAnsi="Times New Roman" w:eastAsia="仿宋_GB2312" w:cs="仿宋_GB2312"/>
          <w:color w:val="auto"/>
          <w:kern w:val="2"/>
          <w:sz w:val="32"/>
          <w:szCs w:val="32"/>
          <w:highlight w:val="none"/>
          <w:lang w:val="en-US" w:eastAsia="zh-CN" w:bidi="ar-SA"/>
        </w:rPr>
      </w:pPr>
      <w:bookmarkStart w:id="57" w:name="_Toc15377218"/>
      <w:bookmarkStart w:id="58" w:name="_Toc15396610"/>
      <w:r>
        <w:rPr>
          <w:rFonts w:hint="eastAsia" w:ascii="Times New Roman" w:hAnsi="Times New Roman" w:eastAsia="仿宋_GB2312" w:cs="仿宋_GB2312"/>
          <w:color w:val="auto"/>
          <w:kern w:val="2"/>
          <w:sz w:val="32"/>
          <w:szCs w:val="32"/>
          <w:highlight w:val="none"/>
          <w:lang w:val="en-US" w:eastAsia="zh-CN" w:bidi="ar-SA"/>
        </w:rPr>
        <w:t>1.因公出国（境）经费支出0万元，完成预算0%。全年安排因公出国（境）团组0次，出国（境）0人。因公出国（境）支出决算与2023年持平。</w:t>
      </w:r>
    </w:p>
    <w:p w14:paraId="7A614D1D">
      <w:pPr>
        <w:spacing w:line="600" w:lineRule="exact"/>
        <w:ind w:firstLine="645"/>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2.公务用车购置及运行维护费支出9.94万元,完成预算100%。公务用车购置及运行维护费支出决算比2023年度9.97</w:t>
      </w:r>
      <w:r>
        <w:rPr>
          <w:rFonts w:hint="eastAsia" w:ascii="Times New Roman" w:hAnsi="Times New Roman" w:eastAsia="仿宋_GB2312" w:cs="仿宋_GB2312"/>
          <w:color w:val="auto"/>
          <w:kern w:val="2"/>
          <w:sz w:val="32"/>
          <w:szCs w:val="32"/>
          <w:highlight w:val="none"/>
          <w:lang w:val="zh-CN" w:eastAsia="zh-CN" w:bidi="ar-SA"/>
        </w:rPr>
        <w:t>万元</w:t>
      </w:r>
      <w:r>
        <w:rPr>
          <w:rFonts w:hint="eastAsia" w:ascii="Times New Roman" w:hAnsi="Times New Roman" w:eastAsia="仿宋_GB2312" w:cs="仿宋_GB2312"/>
          <w:color w:val="auto"/>
          <w:kern w:val="2"/>
          <w:sz w:val="32"/>
          <w:szCs w:val="32"/>
          <w:highlight w:val="none"/>
          <w:lang w:val="en-US" w:eastAsia="zh-CN" w:bidi="ar-SA"/>
        </w:rPr>
        <w:t>减少0.03万元，下降0.3%。主要原因是增加了执法电瓶车的使用，减少了燃油费支出，相应减少了公务用车运行维护费支出。</w:t>
      </w:r>
    </w:p>
    <w:p w14:paraId="227A47E1">
      <w:pPr>
        <w:spacing w:line="600" w:lineRule="exact"/>
        <w:ind w:firstLine="645"/>
        <w:rPr>
          <w:rFonts w:hint="eastAsia" w:ascii="仿宋_GB2312" w:hAnsi="Times New Roman" w:eastAsia="仿宋_GB2312" w:cs="Times New Roman"/>
          <w:sz w:val="32"/>
          <w:szCs w:val="32"/>
        </w:rPr>
      </w:pPr>
      <w:r>
        <w:rPr>
          <w:rFonts w:hint="eastAsia" w:ascii="Times New Roman" w:hAnsi="Times New Roman" w:eastAsia="仿宋_GB2312" w:cs="仿宋_GB2312"/>
          <w:color w:val="auto"/>
          <w:kern w:val="2"/>
          <w:sz w:val="32"/>
          <w:szCs w:val="32"/>
          <w:highlight w:val="none"/>
          <w:lang w:val="en-US" w:eastAsia="zh-CN" w:bidi="ar-SA"/>
        </w:rPr>
        <w:t>其中：公务用车购置支出0万元。全年按规定</w:t>
      </w:r>
      <w:r>
        <w:rPr>
          <w:rFonts w:hint="eastAsia" w:ascii="仿宋_GB2312" w:hAnsi="Times New Roman" w:eastAsia="仿宋_GB2312" w:cs="Times New Roman"/>
          <w:sz w:val="32"/>
          <w:szCs w:val="32"/>
        </w:rPr>
        <w:t>更新购置公务用车</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辆，其中：轿车</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辆、金额</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万元，越野车</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辆、金额</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万元，载客汽车</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辆、金额</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万元，主要用于</w:t>
      </w:r>
      <w:r>
        <w:rPr>
          <w:rFonts w:hint="eastAsia" w:ascii="仿宋_GB2312" w:hAnsi="Times New Roman" w:eastAsia="仿宋_GB2312" w:cs="Times New Roman"/>
          <w:sz w:val="32"/>
          <w:szCs w:val="32"/>
          <w:lang w:eastAsia="zh-CN"/>
        </w:rPr>
        <w:t>：无</w:t>
      </w:r>
      <w:r>
        <w:rPr>
          <w:rFonts w:hint="eastAsia" w:ascii="仿宋_GB2312" w:hAnsi="Times New Roman" w:eastAsia="仿宋_GB2312" w:cs="Times New Roman"/>
          <w:sz w:val="32"/>
          <w:szCs w:val="32"/>
        </w:rPr>
        <w:t>。截至</w:t>
      </w:r>
      <w:r>
        <w:rPr>
          <w:rFonts w:hint="eastAsia" w:ascii="仿宋_GB2312" w:hAnsi="Times New Roman" w:eastAsia="仿宋_GB2312" w:cs="Times New Roman"/>
          <w:sz w:val="32"/>
          <w:szCs w:val="32"/>
          <w:lang w:eastAsia="zh-CN"/>
        </w:rPr>
        <w:t>2024</w:t>
      </w:r>
      <w:r>
        <w:rPr>
          <w:rFonts w:hint="eastAsia" w:ascii="仿宋_GB2312" w:hAnsi="Times New Roman" w:eastAsia="仿宋_GB2312" w:cs="Times New Roman"/>
          <w:sz w:val="32"/>
          <w:szCs w:val="32"/>
        </w:rPr>
        <w:t>年12月31日，单位共有公务用车</w:t>
      </w:r>
      <w:r>
        <w:rPr>
          <w:rFonts w:hint="eastAsia" w:ascii="仿宋_GB2312" w:eastAsia="仿宋_GB2312" w:cs="Times New Roman"/>
          <w:sz w:val="32"/>
          <w:szCs w:val="32"/>
          <w:lang w:val="en-US" w:eastAsia="zh-CN"/>
        </w:rPr>
        <w:t>20</w:t>
      </w:r>
      <w:r>
        <w:rPr>
          <w:rFonts w:hint="eastAsia" w:ascii="仿宋_GB2312" w:hAnsi="Times New Roman" w:eastAsia="仿宋_GB2312" w:cs="Times New Roman"/>
          <w:sz w:val="32"/>
          <w:szCs w:val="32"/>
        </w:rPr>
        <w:t>辆，其中：轿车</w:t>
      </w:r>
      <w:r>
        <w:rPr>
          <w:rFonts w:hint="eastAsia" w:ascii="仿宋_GB2312" w:eastAsia="仿宋_GB2312" w:cs="Times New Roman"/>
          <w:sz w:val="32"/>
          <w:szCs w:val="32"/>
          <w:lang w:val="en-US" w:eastAsia="zh-CN"/>
        </w:rPr>
        <w:t>20</w:t>
      </w:r>
      <w:r>
        <w:rPr>
          <w:rFonts w:hint="eastAsia" w:ascii="仿宋_GB2312" w:hAnsi="Times New Roman" w:eastAsia="仿宋_GB2312" w:cs="Times New Roman"/>
          <w:sz w:val="32"/>
          <w:szCs w:val="32"/>
        </w:rPr>
        <w:t>辆、越野车</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辆、载客汽车</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辆。</w:t>
      </w:r>
    </w:p>
    <w:p w14:paraId="67558A6D">
      <w:pPr>
        <w:spacing w:line="600" w:lineRule="exact"/>
        <w:ind w:firstLine="640" w:firstLineChars="200"/>
        <w:rPr>
          <w:rFonts w:hint="eastAsia" w:ascii="仿宋_GB2312" w:hAnsi="仿宋_GB2312" w:eastAsia="仿宋_GB2312"/>
          <w:color w:val="000000"/>
          <w:kern w:val="2"/>
          <w:sz w:val="32"/>
          <w:szCs w:val="24"/>
          <w:lang w:val="zh-CN"/>
        </w:rPr>
      </w:pPr>
      <w:r>
        <w:rPr>
          <w:rFonts w:hint="eastAsia" w:ascii="仿宋_GB2312" w:hAnsi="Times New Roman" w:eastAsia="仿宋_GB2312" w:cs="Times New Roman"/>
          <w:sz w:val="32"/>
          <w:szCs w:val="32"/>
        </w:rPr>
        <w:t>公务用车运行维护费支出9.9</w:t>
      </w:r>
      <w:r>
        <w:rPr>
          <w:rFonts w:hint="eastAsia" w:ascii="仿宋_GB2312" w:hAnsi="Times New Roman" w:eastAsia="仿宋_GB2312" w:cs="Times New Roman"/>
          <w:sz w:val="32"/>
          <w:szCs w:val="32"/>
          <w:lang w:val="en-US" w:eastAsia="zh-CN"/>
        </w:rPr>
        <w:t>4</w:t>
      </w:r>
      <w:r>
        <w:rPr>
          <w:rFonts w:hint="eastAsia" w:ascii="仿宋_GB2312" w:hAnsi="Times New Roman" w:eastAsia="仿宋_GB2312" w:cs="Times New Roman"/>
          <w:sz w:val="32"/>
          <w:szCs w:val="32"/>
        </w:rPr>
        <w:t>万元。</w:t>
      </w:r>
      <w:r>
        <w:rPr>
          <w:rFonts w:hint="eastAsia" w:ascii="仿宋_GB2312" w:hAnsi="仿宋_GB2312" w:eastAsia="仿宋_GB2312"/>
          <w:color w:val="000000"/>
          <w:kern w:val="2"/>
          <w:sz w:val="32"/>
          <w:szCs w:val="24"/>
          <w:lang w:val="zh-CN"/>
        </w:rPr>
        <w:t>主要用于卫生监督、</w:t>
      </w:r>
      <w:r>
        <w:rPr>
          <w:rFonts w:hint="eastAsia" w:ascii="仿宋_GB2312" w:hAnsi="仿宋_GB2312" w:eastAsia="仿宋_GB2312"/>
          <w:color w:val="000000"/>
          <w:kern w:val="2"/>
          <w:sz w:val="32"/>
          <w:szCs w:val="24"/>
          <w:highlight w:val="none"/>
          <w:lang w:val="zh-CN"/>
        </w:rPr>
        <w:t>城乡社区执法管理、水利执法监督、公路运输管理等</w:t>
      </w:r>
      <w:r>
        <w:rPr>
          <w:rFonts w:hint="eastAsia" w:ascii="仿宋_GB2312" w:hAnsi="仿宋_GB2312" w:eastAsia="仿宋_GB2312"/>
          <w:color w:val="000000"/>
          <w:kern w:val="2"/>
          <w:sz w:val="32"/>
          <w:szCs w:val="24"/>
          <w:highlight w:val="none"/>
          <w:lang w:val="en-US"/>
        </w:rPr>
        <w:t>工作</w:t>
      </w:r>
      <w:r>
        <w:rPr>
          <w:rFonts w:hint="eastAsia" w:ascii="仿宋_GB2312" w:hAnsi="仿宋_GB2312" w:eastAsia="仿宋_GB2312"/>
          <w:color w:val="000000"/>
          <w:kern w:val="2"/>
          <w:sz w:val="32"/>
          <w:szCs w:val="24"/>
          <w:lang w:val="zh-CN"/>
        </w:rPr>
        <w:t>所需的公务用车燃料费、维修费、过路过桥费、保险费等支出。</w:t>
      </w:r>
    </w:p>
    <w:p w14:paraId="50A21D39">
      <w:pPr>
        <w:spacing w:line="600" w:lineRule="exact"/>
        <w:ind w:firstLine="640"/>
        <w:rPr>
          <w:rFonts w:ascii="仿宋_GB2312" w:eastAsia="仿宋_GB2312"/>
          <w:sz w:val="32"/>
          <w:szCs w:val="32"/>
        </w:rPr>
      </w:pPr>
      <w:r>
        <w:rPr>
          <w:rFonts w:hint="eastAsia" w:ascii="Times New Roman" w:hAnsi="Times New Roman" w:eastAsia="仿宋_GB2312" w:cs="仿宋_GB2312"/>
          <w:color w:val="auto"/>
          <w:kern w:val="2"/>
          <w:sz w:val="32"/>
          <w:szCs w:val="32"/>
          <w:highlight w:val="none"/>
          <w:lang w:val="en-US" w:eastAsia="zh-CN" w:bidi="ar-SA"/>
        </w:rPr>
        <w:t>3.公务接待费支出0.3万元，完成预算100%。公务接</w:t>
      </w:r>
      <w:r>
        <w:rPr>
          <w:rFonts w:hint="eastAsia" w:ascii="仿宋_GB2312" w:eastAsia="仿宋_GB2312"/>
          <w:sz w:val="32"/>
          <w:szCs w:val="32"/>
        </w:rPr>
        <w:t>待费支出决算</w:t>
      </w:r>
      <w:r>
        <w:rPr>
          <w:rFonts w:hint="eastAsia" w:ascii="仿宋_GB2312" w:eastAsia="仿宋_GB2312"/>
          <w:sz w:val="32"/>
          <w:szCs w:val="32"/>
          <w:lang w:eastAsia="zh-CN"/>
        </w:rPr>
        <w:t>与2023</w:t>
      </w:r>
      <w:r>
        <w:rPr>
          <w:rFonts w:hint="eastAsia" w:ascii="仿宋_GB2312" w:eastAsia="仿宋_GB2312"/>
          <w:sz w:val="32"/>
          <w:szCs w:val="32"/>
        </w:rPr>
        <w:t>年度</w:t>
      </w:r>
      <w:r>
        <w:rPr>
          <w:rFonts w:hint="eastAsia" w:ascii="仿宋_GB2312" w:hAnsi="仿宋_GB2312" w:eastAsia="仿宋_GB2312"/>
          <w:color w:val="000000"/>
          <w:kern w:val="2"/>
          <w:sz w:val="32"/>
          <w:szCs w:val="24"/>
          <w:lang w:val="en-US" w:eastAsia="zh-CN"/>
        </w:rPr>
        <w:t>0.3</w:t>
      </w:r>
      <w:r>
        <w:rPr>
          <w:rFonts w:hint="eastAsia" w:ascii="仿宋_GB2312" w:hAnsi="仿宋_GB2312" w:eastAsia="仿宋_GB2312"/>
          <w:color w:val="000000"/>
          <w:kern w:val="2"/>
          <w:sz w:val="32"/>
          <w:szCs w:val="24"/>
          <w:lang w:val="zh-CN"/>
        </w:rPr>
        <w:t>万元</w:t>
      </w:r>
      <w:r>
        <w:rPr>
          <w:rFonts w:hint="eastAsia" w:ascii="仿宋_GB2312" w:eastAsia="仿宋_GB2312"/>
          <w:sz w:val="32"/>
          <w:szCs w:val="32"/>
          <w:lang w:eastAsia="zh-CN"/>
        </w:rPr>
        <w:t>持平。</w:t>
      </w:r>
      <w:r>
        <w:rPr>
          <w:rFonts w:hint="eastAsia" w:ascii="仿宋_GB2312" w:eastAsia="仿宋_GB2312"/>
          <w:sz w:val="32"/>
          <w:szCs w:val="32"/>
        </w:rPr>
        <w:t>其中：</w:t>
      </w:r>
    </w:p>
    <w:p w14:paraId="591936C8">
      <w:pPr>
        <w:spacing w:line="600" w:lineRule="exact"/>
        <w:ind w:firstLine="640"/>
        <w:rPr>
          <w:rFonts w:ascii="仿宋_GB2312" w:eastAsia="仿宋_GB2312"/>
          <w:sz w:val="32"/>
          <w:szCs w:val="32"/>
        </w:rPr>
      </w:pPr>
      <w:r>
        <w:rPr>
          <w:rFonts w:hint="eastAsia" w:ascii="仿宋_GB2312" w:hAnsi="Times New Roman" w:eastAsia="仿宋_GB2312" w:cs="Times New Roman"/>
          <w:sz w:val="32"/>
          <w:szCs w:val="32"/>
          <w:lang w:val="en-US" w:eastAsia="zh-CN"/>
        </w:rPr>
        <w:t>国内公务接待支出0.3</w:t>
      </w:r>
      <w:r>
        <w:rPr>
          <w:rFonts w:hint="eastAsia" w:ascii="仿宋_GB2312" w:hAnsi="Times New Roman" w:eastAsia="仿宋_GB2312" w:cs="Times New Roman"/>
          <w:sz w:val="32"/>
          <w:szCs w:val="32"/>
        </w:rPr>
        <w:t>万元，</w:t>
      </w:r>
      <w:r>
        <w:rPr>
          <w:rFonts w:hint="eastAsia" w:ascii="仿宋_GB2312" w:hAnsi="Times New Roman" w:eastAsia="仿宋_GB2312" w:cs="Times New Roman"/>
          <w:sz w:val="32"/>
          <w:szCs w:val="32"/>
          <w:lang w:val="zh-CN"/>
        </w:rPr>
        <w:t>主要用于</w:t>
      </w:r>
      <w:r>
        <w:rPr>
          <w:rFonts w:hint="eastAsia" w:ascii="仿宋_GB2312" w:hAnsi="Times New Roman" w:eastAsia="仿宋_GB2312" w:cs="Times New Roman"/>
          <w:sz w:val="32"/>
          <w:szCs w:val="32"/>
          <w:lang w:val="en-US"/>
        </w:rPr>
        <w:t>执行公务、开展业务活动开支</w:t>
      </w:r>
      <w:r>
        <w:rPr>
          <w:rFonts w:hint="eastAsia" w:ascii="仿宋_GB2312" w:hAnsi="Times New Roman" w:eastAsia="仿宋_GB2312" w:cs="Times New Roman"/>
          <w:sz w:val="32"/>
          <w:szCs w:val="32"/>
          <w:lang w:val="en-US" w:eastAsia="zh-CN"/>
        </w:rPr>
        <w:t>的</w:t>
      </w:r>
      <w:r>
        <w:rPr>
          <w:rFonts w:hint="eastAsia" w:ascii="仿宋_GB2312" w:hAnsi="Times New Roman" w:eastAsia="仿宋_GB2312" w:cs="Times New Roman"/>
          <w:sz w:val="32"/>
          <w:szCs w:val="32"/>
          <w:lang w:val="en-US"/>
        </w:rPr>
        <w:t>用餐费</w:t>
      </w:r>
      <w:r>
        <w:rPr>
          <w:rFonts w:hint="eastAsia" w:ascii="仿宋_GB2312" w:hAnsi="Times New Roman" w:eastAsia="仿宋_GB2312" w:cs="Times New Roman"/>
          <w:sz w:val="32"/>
          <w:szCs w:val="32"/>
        </w:rPr>
        <w:t>。国内公务</w:t>
      </w:r>
      <w:r>
        <w:rPr>
          <w:rFonts w:hint="eastAsia" w:ascii="仿宋_GB2312" w:eastAsia="仿宋_GB2312"/>
          <w:sz w:val="32"/>
          <w:szCs w:val="32"/>
        </w:rPr>
        <w:t>接待</w:t>
      </w:r>
      <w:r>
        <w:rPr>
          <w:rFonts w:hint="eastAsia" w:ascii="仿宋_GB2312" w:eastAsia="仿宋_GB2312"/>
          <w:sz w:val="32"/>
          <w:szCs w:val="32"/>
          <w:lang w:val="en-US" w:eastAsia="zh-CN"/>
        </w:rPr>
        <w:t>2</w:t>
      </w:r>
      <w:r>
        <w:rPr>
          <w:rFonts w:hint="eastAsia" w:ascii="仿宋_GB2312" w:eastAsia="仿宋_GB2312"/>
          <w:sz w:val="32"/>
          <w:szCs w:val="32"/>
        </w:rPr>
        <w:t>批次，</w:t>
      </w:r>
      <w:r>
        <w:rPr>
          <w:rFonts w:hint="eastAsia" w:ascii="仿宋_GB2312" w:eastAsia="仿宋_GB2312"/>
          <w:sz w:val="32"/>
          <w:szCs w:val="32"/>
          <w:lang w:val="en-US" w:eastAsia="zh-CN"/>
        </w:rPr>
        <w:t>34</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0.30</w:t>
      </w:r>
      <w:r>
        <w:rPr>
          <w:rFonts w:hint="eastAsia" w:ascii="仿宋_GB2312" w:eastAsia="仿宋_GB2312"/>
          <w:sz w:val="32"/>
          <w:szCs w:val="32"/>
        </w:rPr>
        <w:t>万元，具体内容包括：</w:t>
      </w:r>
      <w:r>
        <w:rPr>
          <w:rFonts w:hint="eastAsia" w:ascii="仿宋_GB2312" w:hAnsi="仿宋_GB2312" w:eastAsia="仿宋_GB2312"/>
          <w:color w:val="000000"/>
          <w:kern w:val="2"/>
          <w:sz w:val="32"/>
          <w:szCs w:val="24"/>
          <w:lang w:val="zh-CN"/>
        </w:rPr>
        <w:t>在行政运行经费支出</w:t>
      </w:r>
      <w:r>
        <w:rPr>
          <w:rFonts w:hint="eastAsia" w:ascii="仿宋_GB2312" w:hAnsi="仿宋_GB2312" w:eastAsia="仿宋_GB2312"/>
          <w:color w:val="000000"/>
          <w:kern w:val="2"/>
          <w:sz w:val="32"/>
          <w:szCs w:val="24"/>
          <w:lang w:val="en-US" w:eastAsia="zh-CN"/>
        </w:rPr>
        <w:t>0.30万元。</w:t>
      </w:r>
    </w:p>
    <w:p w14:paraId="20020A39">
      <w:pPr>
        <w:spacing w:line="600" w:lineRule="exact"/>
        <w:ind w:firstLine="64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外事接待支出0万元，主要用于接待：无。外事接待0批次，0人次（不包括陪同人员），共计支出0万元。</w:t>
      </w:r>
    </w:p>
    <w:p w14:paraId="0595F100">
      <w:pPr>
        <w:spacing w:line="600" w:lineRule="exact"/>
        <w:ind w:firstLine="640"/>
        <w:outlineLvl w:val="1"/>
        <w:rPr>
          <w:rStyle w:val="32"/>
          <w:rFonts w:ascii="黑体" w:hAnsi="黑体" w:eastAsia="黑体"/>
        </w:rPr>
      </w:pPr>
      <w:bookmarkStart w:id="59" w:name="_Toc25930"/>
      <w:r>
        <w:rPr>
          <w:rFonts w:hint="eastAsia" w:ascii="黑体" w:eastAsia="黑体"/>
          <w:sz w:val="32"/>
          <w:szCs w:val="32"/>
        </w:rPr>
        <w:t>八、</w:t>
      </w:r>
      <w:r>
        <w:rPr>
          <w:rStyle w:val="32"/>
          <w:rFonts w:hint="eastAsia" w:ascii="黑体" w:hAnsi="黑体" w:eastAsia="黑体"/>
          <w:b w:val="0"/>
        </w:rPr>
        <w:t>政府性基金预算支出决算情况说明</w:t>
      </w:r>
      <w:bookmarkEnd w:id="57"/>
      <w:bookmarkEnd w:id="58"/>
      <w:bookmarkEnd w:id="59"/>
    </w:p>
    <w:p w14:paraId="5E07FFB5">
      <w:pPr>
        <w:spacing w:line="600" w:lineRule="exact"/>
        <w:ind w:firstLine="640"/>
        <w:rPr>
          <w:rFonts w:ascii="仿宋_GB2312" w:eastAsia="仿宋_GB2312"/>
          <w:sz w:val="32"/>
          <w:szCs w:val="32"/>
        </w:rPr>
      </w:pPr>
      <w:r>
        <w:rPr>
          <w:rFonts w:hint="eastAsia" w:ascii="仿宋_GB2312" w:eastAsia="仿宋_GB2312"/>
          <w:sz w:val="32"/>
          <w:szCs w:val="32"/>
          <w:lang w:eastAsia="zh-CN"/>
        </w:rPr>
        <w:t>2024</w:t>
      </w:r>
      <w:r>
        <w:rPr>
          <w:rFonts w:hint="eastAsia" w:ascii="仿宋_GB2312" w:eastAsia="仿宋_GB2312"/>
          <w:sz w:val="32"/>
          <w:szCs w:val="32"/>
        </w:rPr>
        <w:t>年度政府性基金预算财政拨款支出</w:t>
      </w:r>
      <w:r>
        <w:rPr>
          <w:sz w:val="32"/>
          <w:szCs w:val="32"/>
        </w:rPr>
        <w:t>0</w:t>
      </w:r>
      <w:r>
        <w:rPr>
          <w:rFonts w:hint="eastAsia" w:ascii="仿宋_GB2312" w:eastAsia="仿宋_GB2312"/>
          <w:sz w:val="32"/>
          <w:szCs w:val="32"/>
        </w:rPr>
        <w:t>万元。</w:t>
      </w:r>
    </w:p>
    <w:p w14:paraId="4B6881C1">
      <w:pPr>
        <w:numPr>
          <w:ilvl w:val="0"/>
          <w:numId w:val="2"/>
        </w:numPr>
        <w:spacing w:line="600" w:lineRule="exact"/>
        <w:ind w:firstLine="640"/>
        <w:outlineLvl w:val="1"/>
        <w:rPr>
          <w:rStyle w:val="32"/>
          <w:rFonts w:ascii="黑体" w:hAnsi="黑体" w:eastAsia="黑体"/>
          <w:b w:val="0"/>
        </w:rPr>
      </w:pPr>
      <w:bookmarkStart w:id="60" w:name="_Toc15396611"/>
      <w:bookmarkStart w:id="61" w:name="_Toc15377219"/>
      <w:bookmarkStart w:id="62" w:name="_Toc16183"/>
      <w:r>
        <w:rPr>
          <w:rStyle w:val="32"/>
          <w:rFonts w:hint="eastAsia" w:ascii="黑体" w:hAnsi="黑体" w:eastAsia="黑体"/>
          <w:b w:val="0"/>
        </w:rPr>
        <w:t>国有资本经营预算支出决算情况说明</w:t>
      </w:r>
      <w:bookmarkEnd w:id="60"/>
      <w:bookmarkEnd w:id="61"/>
      <w:bookmarkEnd w:id="62"/>
    </w:p>
    <w:p w14:paraId="5B437EA0">
      <w:pPr>
        <w:spacing w:line="600" w:lineRule="exact"/>
        <w:ind w:firstLine="640"/>
        <w:rPr>
          <w:rFonts w:ascii="方正小标宋简体" w:hAnsi="方正小标宋简体" w:eastAsia="方正小标宋简体" w:cs="方正小标宋简体"/>
          <w:sz w:val="44"/>
          <w:szCs w:val="44"/>
        </w:rPr>
      </w:pPr>
      <w:r>
        <w:rPr>
          <w:rFonts w:hint="eastAsia" w:ascii="仿宋_GB2312" w:eastAsia="仿宋_GB2312"/>
          <w:sz w:val="32"/>
          <w:szCs w:val="32"/>
          <w:lang w:eastAsia="zh-CN"/>
        </w:rPr>
        <w:t>2024</w:t>
      </w:r>
      <w:r>
        <w:rPr>
          <w:rFonts w:hint="eastAsia" w:ascii="仿宋_GB2312" w:eastAsia="仿宋_GB2312"/>
          <w:sz w:val="32"/>
          <w:szCs w:val="32"/>
        </w:rPr>
        <w:t>年度国有资本经营预算财政拨款支出</w:t>
      </w:r>
      <w:r>
        <w:rPr>
          <w:sz w:val="32"/>
          <w:szCs w:val="32"/>
        </w:rPr>
        <w:t>0</w:t>
      </w:r>
      <w:r>
        <w:rPr>
          <w:rFonts w:hint="eastAsia" w:ascii="仿宋_GB2312" w:eastAsia="仿宋_GB2312"/>
          <w:sz w:val="32"/>
          <w:szCs w:val="32"/>
        </w:rPr>
        <w:t>万元。</w:t>
      </w:r>
    </w:p>
    <w:p w14:paraId="4DB4FB03">
      <w:pPr>
        <w:numPr>
          <w:ilvl w:val="0"/>
          <w:numId w:val="2"/>
        </w:numPr>
        <w:spacing w:line="600" w:lineRule="exact"/>
        <w:ind w:firstLine="640"/>
        <w:outlineLvl w:val="1"/>
        <w:rPr>
          <w:rStyle w:val="32"/>
          <w:rFonts w:ascii="黑体" w:hAnsi="黑体" w:eastAsia="黑体"/>
          <w:b w:val="0"/>
        </w:rPr>
      </w:pPr>
      <w:bookmarkStart w:id="63" w:name="_Toc15396612"/>
      <w:bookmarkStart w:id="64" w:name="_Toc4164"/>
      <w:bookmarkStart w:id="65" w:name="_Toc15377221"/>
      <w:r>
        <w:rPr>
          <w:rStyle w:val="32"/>
          <w:rFonts w:hint="eastAsia" w:ascii="黑体" w:hAnsi="黑体" w:eastAsia="黑体"/>
          <w:b w:val="0"/>
        </w:rPr>
        <w:t>其他重要事项的情况说明</w:t>
      </w:r>
      <w:bookmarkEnd w:id="63"/>
      <w:bookmarkEnd w:id="64"/>
      <w:bookmarkEnd w:id="65"/>
    </w:p>
    <w:p w14:paraId="796A328B">
      <w:pPr>
        <w:spacing w:line="600" w:lineRule="exact"/>
        <w:ind w:firstLine="643" w:firstLineChars="200"/>
        <w:outlineLvl w:val="2"/>
        <w:rPr>
          <w:rFonts w:ascii="仿宋" w:hAnsi="仿宋" w:eastAsia="仿宋"/>
          <w:sz w:val="32"/>
          <w:szCs w:val="32"/>
        </w:rPr>
      </w:pPr>
      <w:bookmarkStart w:id="66" w:name="_Toc15377222"/>
      <w:r>
        <w:rPr>
          <w:rFonts w:hint="eastAsia" w:ascii="仿宋" w:hAnsi="仿宋" w:eastAsia="仿宋"/>
          <w:b/>
          <w:sz w:val="32"/>
          <w:szCs w:val="32"/>
        </w:rPr>
        <w:t>（一）机关运行经费支出情况</w:t>
      </w:r>
      <w:bookmarkEnd w:id="66"/>
    </w:p>
    <w:p w14:paraId="24DA7115">
      <w:pPr>
        <w:spacing w:beforeLines="0" w:afterLines="0" w:line="576" w:lineRule="exact"/>
        <w:ind w:firstLine="640"/>
        <w:jc w:val="both"/>
        <w:rPr>
          <w:rFonts w:ascii="仿宋_GB2312" w:eastAsia="仿宋_GB2312"/>
          <w:sz w:val="32"/>
          <w:szCs w:val="32"/>
          <w:highlight w:val="none"/>
        </w:rPr>
      </w:pPr>
      <w:r>
        <w:rPr>
          <w:rFonts w:hint="eastAsia" w:ascii="仿宋_GB2312" w:eastAsia="仿宋_GB2312" w:cs="Times New Roman"/>
          <w:sz w:val="32"/>
          <w:szCs w:val="32"/>
          <w:lang w:eastAsia="zh-CN"/>
        </w:rPr>
        <w:t>2024</w:t>
      </w:r>
      <w:r>
        <w:rPr>
          <w:rFonts w:hint="eastAsia" w:ascii="仿宋_GB2312" w:hAnsi="Times New Roman" w:eastAsia="仿宋_GB2312" w:cs="Times New Roman"/>
          <w:sz w:val="32"/>
          <w:szCs w:val="32"/>
        </w:rPr>
        <w:t>年度，乐山市五通桥区综合行政执法局机关运行经费支出205.43万元，</w:t>
      </w:r>
      <w:r>
        <w:rPr>
          <w:rFonts w:hint="eastAsia" w:ascii="仿宋_GB2312" w:eastAsia="仿宋_GB2312"/>
          <w:sz w:val="32"/>
          <w:szCs w:val="32"/>
        </w:rPr>
        <w:t>比</w:t>
      </w:r>
      <w:r>
        <w:rPr>
          <w:rFonts w:hint="eastAsia" w:ascii="仿宋_GB2312" w:eastAsia="仿宋_GB2312"/>
          <w:sz w:val="32"/>
          <w:szCs w:val="32"/>
          <w:lang w:eastAsia="zh-CN"/>
        </w:rPr>
        <w:t>2023</w:t>
      </w:r>
      <w:r>
        <w:rPr>
          <w:rFonts w:hint="eastAsia" w:ascii="仿宋_GB2312" w:eastAsia="仿宋_GB2312"/>
          <w:sz w:val="32"/>
          <w:szCs w:val="32"/>
        </w:rPr>
        <w:t>年度</w:t>
      </w:r>
      <w:r>
        <w:rPr>
          <w:rFonts w:hint="eastAsia" w:ascii="仿宋_GB2312" w:hAnsi="Times New Roman" w:eastAsia="仿宋_GB2312" w:cs="Times New Roman"/>
          <w:sz w:val="32"/>
          <w:szCs w:val="32"/>
        </w:rPr>
        <w:t>207.72</w:t>
      </w:r>
      <w:r>
        <w:rPr>
          <w:rFonts w:hint="eastAsia" w:ascii="仿宋_GB2312" w:hAnsi="仿宋_GB2312" w:eastAsia="仿宋_GB2312"/>
          <w:color w:val="000000"/>
          <w:kern w:val="2"/>
          <w:sz w:val="32"/>
          <w:szCs w:val="24"/>
          <w:lang w:val="zh-CN"/>
        </w:rPr>
        <w:t>万元</w:t>
      </w:r>
      <w:r>
        <w:rPr>
          <w:rFonts w:hint="eastAsia" w:ascii="仿宋_GB2312" w:eastAsia="仿宋_GB2312" w:cs="Times New Roman"/>
          <w:sz w:val="32"/>
          <w:szCs w:val="32"/>
          <w:lang w:eastAsia="zh-CN"/>
        </w:rPr>
        <w:t>减少</w:t>
      </w:r>
      <w:r>
        <w:rPr>
          <w:rFonts w:hint="eastAsia" w:ascii="仿宋_GB2312" w:eastAsia="仿宋_GB2312" w:cs="Times New Roman"/>
          <w:sz w:val="32"/>
          <w:szCs w:val="32"/>
          <w:lang w:val="en-US" w:eastAsia="zh-CN"/>
        </w:rPr>
        <w:t>2.29</w:t>
      </w:r>
      <w:r>
        <w:rPr>
          <w:rFonts w:hint="eastAsia" w:ascii="仿宋_GB2312" w:hAnsi="Times New Roman" w:eastAsia="仿宋_GB2312" w:cs="Times New Roman"/>
          <w:sz w:val="32"/>
          <w:szCs w:val="32"/>
        </w:rPr>
        <w:t>万元，</w:t>
      </w:r>
      <w:r>
        <w:rPr>
          <w:rFonts w:hint="eastAsia" w:ascii="仿宋_GB2312" w:eastAsia="仿宋_GB2312" w:cs="Times New Roman"/>
          <w:sz w:val="32"/>
          <w:szCs w:val="32"/>
          <w:lang w:eastAsia="zh-CN"/>
        </w:rPr>
        <w:t>下降</w:t>
      </w:r>
      <w:r>
        <w:rPr>
          <w:rFonts w:hint="eastAsia" w:ascii="仿宋_GB2312" w:eastAsia="仿宋_GB2312" w:cs="Times New Roman"/>
          <w:sz w:val="32"/>
          <w:szCs w:val="32"/>
          <w:lang w:val="en-US" w:eastAsia="zh-CN"/>
        </w:rPr>
        <w:t>1.1</w:t>
      </w:r>
      <w:r>
        <w:rPr>
          <w:rFonts w:ascii="仿宋_GB2312" w:eastAsia="仿宋_GB2312"/>
          <w:sz w:val="32"/>
          <w:szCs w:val="32"/>
        </w:rPr>
        <w:t>%</w:t>
      </w:r>
      <w:r>
        <w:rPr>
          <w:rFonts w:hint="eastAsia" w:ascii="仿宋_GB2312" w:eastAsia="仿宋_GB2312"/>
          <w:sz w:val="32"/>
          <w:szCs w:val="32"/>
        </w:rPr>
        <w:t>。</w:t>
      </w:r>
      <w:r>
        <w:rPr>
          <w:rFonts w:hint="eastAsia" w:ascii="仿宋_GB2312" w:eastAsia="仿宋_GB2312"/>
          <w:sz w:val="32"/>
          <w:szCs w:val="32"/>
          <w:highlight w:val="none"/>
        </w:rPr>
        <w:t>主要原因是</w:t>
      </w:r>
      <w:r>
        <w:rPr>
          <w:rFonts w:hint="eastAsia" w:ascii="仿宋_GB2312" w:hAnsi="仿宋_GB2312" w:eastAsia="仿宋_GB2312"/>
          <w:color w:val="000000"/>
          <w:kern w:val="2"/>
          <w:sz w:val="32"/>
          <w:szCs w:val="24"/>
          <w:highlight w:val="none"/>
          <w:lang w:val="zh-CN"/>
        </w:rPr>
        <w:t>办公费增加</w:t>
      </w:r>
      <w:r>
        <w:rPr>
          <w:rFonts w:hint="eastAsia" w:ascii="仿宋_GB2312" w:hAnsi="仿宋_GB2312" w:eastAsia="仿宋_GB2312"/>
          <w:color w:val="000000"/>
          <w:kern w:val="2"/>
          <w:sz w:val="32"/>
          <w:szCs w:val="24"/>
          <w:highlight w:val="none"/>
          <w:lang w:val="en-US" w:eastAsia="zh-CN"/>
        </w:rPr>
        <w:t>1.38</w:t>
      </w:r>
      <w:r>
        <w:rPr>
          <w:rFonts w:hint="eastAsia" w:ascii="仿宋_GB2312" w:hAnsi="仿宋_GB2312" w:eastAsia="仿宋_GB2312"/>
          <w:color w:val="000000"/>
          <w:kern w:val="2"/>
          <w:sz w:val="32"/>
          <w:szCs w:val="24"/>
          <w:highlight w:val="none"/>
          <w:lang w:val="zh-CN"/>
        </w:rPr>
        <w:t>万元、印刷费减少</w:t>
      </w:r>
      <w:r>
        <w:rPr>
          <w:rFonts w:hint="eastAsia" w:ascii="仿宋_GB2312" w:hAnsi="仿宋_GB2312" w:eastAsia="仿宋_GB2312"/>
          <w:color w:val="000000"/>
          <w:kern w:val="2"/>
          <w:sz w:val="32"/>
          <w:szCs w:val="24"/>
          <w:highlight w:val="none"/>
          <w:lang w:val="en-US" w:eastAsia="zh-CN"/>
        </w:rPr>
        <w:t>0.1</w:t>
      </w:r>
      <w:r>
        <w:rPr>
          <w:rFonts w:hint="eastAsia" w:ascii="仿宋_GB2312" w:hAnsi="仿宋_GB2312" w:eastAsia="仿宋_GB2312"/>
          <w:color w:val="000000"/>
          <w:kern w:val="2"/>
          <w:sz w:val="32"/>
          <w:szCs w:val="24"/>
          <w:highlight w:val="none"/>
          <w:lang w:val="zh-CN"/>
        </w:rPr>
        <w:t>万元、 咨询费增加</w:t>
      </w:r>
      <w:r>
        <w:rPr>
          <w:rFonts w:hint="eastAsia" w:ascii="仿宋_GB2312" w:hAnsi="仿宋_GB2312" w:eastAsia="仿宋_GB2312"/>
          <w:color w:val="000000"/>
          <w:kern w:val="2"/>
          <w:sz w:val="32"/>
          <w:szCs w:val="24"/>
          <w:highlight w:val="none"/>
          <w:lang w:val="en-US" w:eastAsia="zh-CN"/>
        </w:rPr>
        <w:t>0.65万元、</w:t>
      </w:r>
      <w:r>
        <w:rPr>
          <w:rFonts w:hint="eastAsia" w:ascii="仿宋_GB2312" w:hAnsi="仿宋_GB2312" w:eastAsia="仿宋_GB2312"/>
          <w:color w:val="000000"/>
          <w:kern w:val="2"/>
          <w:sz w:val="32"/>
          <w:szCs w:val="24"/>
          <w:highlight w:val="none"/>
          <w:lang w:val="zh-CN"/>
        </w:rPr>
        <w:t xml:space="preserve"> 水、电费增加</w:t>
      </w:r>
      <w:r>
        <w:rPr>
          <w:rFonts w:hint="eastAsia" w:ascii="仿宋_GB2312" w:hAnsi="仿宋_GB2312" w:eastAsia="仿宋_GB2312"/>
          <w:color w:val="000000"/>
          <w:kern w:val="2"/>
          <w:sz w:val="32"/>
          <w:szCs w:val="24"/>
          <w:highlight w:val="none"/>
          <w:lang w:val="en-US" w:eastAsia="zh-CN"/>
        </w:rPr>
        <w:t>1.13</w:t>
      </w:r>
      <w:r>
        <w:rPr>
          <w:rFonts w:hint="eastAsia" w:ascii="仿宋_GB2312" w:hAnsi="仿宋_GB2312" w:eastAsia="仿宋_GB2312"/>
          <w:color w:val="000000"/>
          <w:kern w:val="2"/>
          <w:sz w:val="32"/>
          <w:szCs w:val="24"/>
          <w:highlight w:val="none"/>
          <w:lang w:val="zh-CN"/>
        </w:rPr>
        <w:t>万元、邮电费增加</w:t>
      </w:r>
      <w:r>
        <w:rPr>
          <w:rFonts w:hint="eastAsia" w:ascii="仿宋_GB2312" w:hAnsi="仿宋_GB2312" w:eastAsia="仿宋_GB2312"/>
          <w:color w:val="000000"/>
          <w:kern w:val="2"/>
          <w:sz w:val="32"/>
          <w:szCs w:val="24"/>
          <w:highlight w:val="none"/>
          <w:lang w:val="en-US" w:eastAsia="zh-CN"/>
        </w:rPr>
        <w:t>0.07</w:t>
      </w:r>
      <w:r>
        <w:rPr>
          <w:rFonts w:hint="eastAsia" w:ascii="仿宋_GB2312" w:hAnsi="仿宋_GB2312" w:eastAsia="仿宋_GB2312"/>
          <w:color w:val="000000"/>
          <w:kern w:val="2"/>
          <w:sz w:val="32"/>
          <w:szCs w:val="24"/>
          <w:highlight w:val="none"/>
          <w:lang w:val="zh-CN"/>
        </w:rPr>
        <w:t>万元、差旅费减少</w:t>
      </w:r>
      <w:r>
        <w:rPr>
          <w:rFonts w:hint="eastAsia" w:ascii="仿宋_GB2312" w:hAnsi="仿宋_GB2312" w:eastAsia="仿宋_GB2312"/>
          <w:color w:val="000000"/>
          <w:kern w:val="2"/>
          <w:sz w:val="32"/>
          <w:szCs w:val="24"/>
          <w:highlight w:val="none"/>
          <w:lang w:val="en-US" w:eastAsia="zh-CN"/>
        </w:rPr>
        <w:t>10.41</w:t>
      </w:r>
      <w:r>
        <w:rPr>
          <w:rFonts w:hint="eastAsia" w:ascii="仿宋_GB2312" w:hAnsi="仿宋_GB2312" w:eastAsia="仿宋_GB2312"/>
          <w:color w:val="000000"/>
          <w:kern w:val="2"/>
          <w:sz w:val="32"/>
          <w:szCs w:val="24"/>
          <w:highlight w:val="none"/>
          <w:lang w:val="zh-CN"/>
        </w:rPr>
        <w:t>万元、维修（护）费减少</w:t>
      </w:r>
      <w:r>
        <w:rPr>
          <w:rFonts w:hint="eastAsia" w:ascii="仿宋_GB2312" w:hAnsi="仿宋_GB2312" w:eastAsia="仿宋_GB2312"/>
          <w:color w:val="000000"/>
          <w:kern w:val="2"/>
          <w:sz w:val="32"/>
          <w:szCs w:val="24"/>
          <w:highlight w:val="none"/>
          <w:lang w:val="en-US" w:eastAsia="zh-CN"/>
        </w:rPr>
        <w:t>1</w:t>
      </w:r>
      <w:r>
        <w:rPr>
          <w:rFonts w:hint="eastAsia" w:ascii="仿宋_GB2312" w:hAnsi="仿宋_GB2312" w:eastAsia="仿宋_GB2312"/>
          <w:color w:val="000000"/>
          <w:kern w:val="2"/>
          <w:sz w:val="32"/>
          <w:szCs w:val="24"/>
          <w:highlight w:val="none"/>
          <w:lang w:val="zh-CN"/>
        </w:rPr>
        <w:t>万元、租赁费增加0.</w:t>
      </w:r>
      <w:r>
        <w:rPr>
          <w:rFonts w:hint="eastAsia" w:ascii="仿宋_GB2312" w:hAnsi="仿宋_GB2312" w:eastAsia="仿宋_GB2312"/>
          <w:color w:val="000000"/>
          <w:kern w:val="2"/>
          <w:sz w:val="32"/>
          <w:szCs w:val="24"/>
          <w:highlight w:val="none"/>
          <w:lang w:val="en-US" w:eastAsia="zh-CN"/>
        </w:rPr>
        <w:t>77</w:t>
      </w:r>
      <w:r>
        <w:rPr>
          <w:rFonts w:hint="eastAsia" w:ascii="仿宋_GB2312" w:hAnsi="仿宋_GB2312" w:eastAsia="仿宋_GB2312"/>
          <w:color w:val="000000"/>
          <w:kern w:val="2"/>
          <w:sz w:val="32"/>
          <w:szCs w:val="24"/>
          <w:highlight w:val="none"/>
          <w:lang w:val="zh-CN"/>
        </w:rPr>
        <w:t>万元、劳务费增加</w:t>
      </w:r>
      <w:r>
        <w:rPr>
          <w:rFonts w:hint="eastAsia" w:ascii="仿宋_GB2312" w:hAnsi="仿宋_GB2312" w:eastAsia="仿宋_GB2312"/>
          <w:color w:val="000000"/>
          <w:kern w:val="2"/>
          <w:sz w:val="32"/>
          <w:szCs w:val="24"/>
          <w:highlight w:val="none"/>
          <w:lang w:val="en-US" w:eastAsia="zh-CN"/>
        </w:rPr>
        <w:t>2.17</w:t>
      </w:r>
      <w:r>
        <w:rPr>
          <w:rFonts w:hint="eastAsia" w:ascii="仿宋_GB2312" w:hAnsi="仿宋_GB2312" w:eastAsia="仿宋_GB2312"/>
          <w:color w:val="000000"/>
          <w:kern w:val="2"/>
          <w:sz w:val="32"/>
          <w:szCs w:val="24"/>
          <w:highlight w:val="none"/>
          <w:lang w:val="zh-CN"/>
        </w:rPr>
        <w:t>万元、委托业务费减少</w:t>
      </w:r>
      <w:r>
        <w:rPr>
          <w:rFonts w:hint="eastAsia" w:ascii="仿宋_GB2312" w:hAnsi="仿宋_GB2312" w:eastAsia="仿宋_GB2312"/>
          <w:color w:val="000000"/>
          <w:kern w:val="2"/>
          <w:sz w:val="32"/>
          <w:szCs w:val="24"/>
          <w:highlight w:val="none"/>
          <w:lang w:val="en-US" w:eastAsia="zh-CN"/>
        </w:rPr>
        <w:t>0.62</w:t>
      </w:r>
      <w:r>
        <w:rPr>
          <w:rFonts w:hint="eastAsia" w:ascii="仿宋_GB2312" w:hAnsi="仿宋_GB2312" w:eastAsia="仿宋_GB2312"/>
          <w:color w:val="000000"/>
          <w:kern w:val="2"/>
          <w:sz w:val="32"/>
          <w:szCs w:val="24"/>
          <w:highlight w:val="none"/>
          <w:lang w:val="zh-CN"/>
        </w:rPr>
        <w:t>万元、工会经费减少</w:t>
      </w:r>
      <w:r>
        <w:rPr>
          <w:rFonts w:hint="eastAsia" w:ascii="仿宋_GB2312" w:hAnsi="仿宋_GB2312" w:eastAsia="仿宋_GB2312"/>
          <w:color w:val="000000"/>
          <w:kern w:val="2"/>
          <w:sz w:val="32"/>
          <w:szCs w:val="24"/>
          <w:highlight w:val="none"/>
          <w:lang w:val="en-US" w:eastAsia="zh-CN"/>
        </w:rPr>
        <w:t>0.01</w:t>
      </w:r>
      <w:r>
        <w:rPr>
          <w:rFonts w:hint="eastAsia" w:ascii="仿宋_GB2312" w:hAnsi="仿宋_GB2312" w:eastAsia="仿宋_GB2312"/>
          <w:color w:val="000000"/>
          <w:kern w:val="2"/>
          <w:sz w:val="32"/>
          <w:szCs w:val="24"/>
          <w:highlight w:val="none"/>
          <w:lang w:val="zh-CN"/>
        </w:rPr>
        <w:t>万元、福利费增加</w:t>
      </w:r>
      <w:r>
        <w:rPr>
          <w:rFonts w:hint="eastAsia" w:ascii="仿宋_GB2312" w:hAnsi="仿宋_GB2312" w:eastAsia="仿宋_GB2312"/>
          <w:color w:val="000000"/>
          <w:kern w:val="2"/>
          <w:sz w:val="32"/>
          <w:szCs w:val="24"/>
          <w:highlight w:val="none"/>
          <w:lang w:val="en-US" w:eastAsia="zh-CN"/>
        </w:rPr>
        <w:t>0.22</w:t>
      </w:r>
      <w:r>
        <w:rPr>
          <w:rFonts w:hint="eastAsia" w:ascii="仿宋_GB2312" w:hAnsi="仿宋_GB2312" w:eastAsia="仿宋_GB2312"/>
          <w:color w:val="000000"/>
          <w:kern w:val="2"/>
          <w:sz w:val="32"/>
          <w:szCs w:val="24"/>
          <w:highlight w:val="none"/>
          <w:lang w:val="zh-CN"/>
        </w:rPr>
        <w:t>万元、公务用车运行维护减少</w:t>
      </w:r>
      <w:r>
        <w:rPr>
          <w:rFonts w:hint="eastAsia" w:ascii="仿宋_GB2312" w:hAnsi="仿宋_GB2312" w:eastAsia="仿宋_GB2312"/>
          <w:color w:val="000000"/>
          <w:kern w:val="2"/>
          <w:sz w:val="32"/>
          <w:szCs w:val="24"/>
          <w:highlight w:val="none"/>
          <w:lang w:val="en-US" w:eastAsia="zh-CN"/>
        </w:rPr>
        <w:t>0.03</w:t>
      </w:r>
      <w:r>
        <w:rPr>
          <w:rFonts w:hint="eastAsia" w:ascii="仿宋_GB2312" w:hAnsi="仿宋_GB2312" w:eastAsia="仿宋_GB2312"/>
          <w:color w:val="000000"/>
          <w:kern w:val="2"/>
          <w:sz w:val="32"/>
          <w:szCs w:val="24"/>
          <w:highlight w:val="none"/>
          <w:lang w:val="zh-CN"/>
        </w:rPr>
        <w:t>万元、其他交通费用增加</w:t>
      </w:r>
      <w:r>
        <w:rPr>
          <w:rFonts w:hint="eastAsia" w:ascii="仿宋_GB2312" w:hAnsi="仿宋_GB2312" w:eastAsia="仿宋_GB2312"/>
          <w:color w:val="000000"/>
          <w:kern w:val="2"/>
          <w:sz w:val="32"/>
          <w:szCs w:val="24"/>
          <w:highlight w:val="none"/>
          <w:lang w:val="en-US" w:eastAsia="zh-CN"/>
        </w:rPr>
        <w:t>1.65</w:t>
      </w:r>
      <w:r>
        <w:rPr>
          <w:rFonts w:hint="eastAsia" w:ascii="仿宋_GB2312" w:hAnsi="仿宋_GB2312" w:eastAsia="仿宋_GB2312"/>
          <w:color w:val="000000"/>
          <w:kern w:val="2"/>
          <w:sz w:val="32"/>
          <w:szCs w:val="24"/>
          <w:highlight w:val="none"/>
          <w:lang w:val="zh-CN"/>
        </w:rPr>
        <w:t>万元、其他商品和服务支出增加</w:t>
      </w:r>
      <w:r>
        <w:rPr>
          <w:rFonts w:hint="eastAsia" w:ascii="仿宋_GB2312" w:hAnsi="仿宋_GB2312" w:eastAsia="仿宋_GB2312"/>
          <w:color w:val="000000"/>
          <w:kern w:val="2"/>
          <w:sz w:val="32"/>
          <w:szCs w:val="24"/>
          <w:highlight w:val="none"/>
          <w:lang w:val="en-US" w:eastAsia="zh-CN"/>
        </w:rPr>
        <w:t>1.85</w:t>
      </w:r>
      <w:r>
        <w:rPr>
          <w:rFonts w:hint="eastAsia" w:ascii="仿宋_GB2312" w:hAnsi="仿宋_GB2312" w:eastAsia="仿宋_GB2312"/>
          <w:color w:val="000000"/>
          <w:kern w:val="2"/>
          <w:sz w:val="32"/>
          <w:szCs w:val="24"/>
          <w:highlight w:val="none"/>
          <w:lang w:val="zh-CN"/>
        </w:rPr>
        <w:t>万元等所致。</w:t>
      </w:r>
    </w:p>
    <w:p w14:paraId="54EEE8D9">
      <w:pPr>
        <w:autoSpaceDE w:val="0"/>
        <w:autoSpaceDN w:val="0"/>
        <w:adjustRightInd w:val="0"/>
        <w:spacing w:line="600" w:lineRule="exact"/>
        <w:ind w:firstLine="643" w:firstLineChars="200"/>
        <w:jc w:val="left"/>
        <w:outlineLvl w:val="2"/>
        <w:rPr>
          <w:rFonts w:ascii="仿宋" w:hAnsi="仿宋" w:eastAsia="仿宋"/>
          <w:b/>
          <w:sz w:val="32"/>
          <w:szCs w:val="32"/>
        </w:rPr>
      </w:pPr>
      <w:bookmarkStart w:id="67" w:name="_Toc15377223"/>
      <w:r>
        <w:rPr>
          <w:rFonts w:hint="eastAsia" w:ascii="仿宋" w:hAnsi="仿宋" w:eastAsia="仿宋"/>
          <w:b/>
          <w:sz w:val="32"/>
          <w:szCs w:val="32"/>
        </w:rPr>
        <w:t>（二）政府采购支出情况</w:t>
      </w:r>
      <w:bookmarkEnd w:id="67"/>
    </w:p>
    <w:p w14:paraId="201E6B64">
      <w:pPr>
        <w:spacing w:line="600" w:lineRule="exact"/>
        <w:ind w:firstLine="640" w:firstLineChars="200"/>
        <w:rPr>
          <w:rFonts w:ascii="仿宋_GB2312" w:eastAsia="仿宋_GB2312"/>
          <w:sz w:val="32"/>
          <w:szCs w:val="32"/>
        </w:rPr>
      </w:pPr>
      <w:r>
        <w:rPr>
          <w:rFonts w:hint="eastAsia" w:ascii="仿宋_GB2312" w:eastAsia="仿宋_GB2312" w:cs="Times New Roman"/>
          <w:sz w:val="32"/>
          <w:szCs w:val="32"/>
          <w:lang w:eastAsia="zh-CN"/>
        </w:rPr>
        <w:t>2024</w:t>
      </w:r>
      <w:r>
        <w:rPr>
          <w:rFonts w:hint="eastAsia" w:ascii="仿宋_GB2312" w:hAnsi="Times New Roman" w:eastAsia="仿宋_GB2312" w:cs="Times New Roman"/>
          <w:sz w:val="32"/>
          <w:szCs w:val="32"/>
        </w:rPr>
        <w:t>年度，乐山市五通桥区综合行政执法局政府采购支</w:t>
      </w:r>
      <w:r>
        <w:rPr>
          <w:rFonts w:hint="eastAsia" w:ascii="仿宋_GB2312" w:eastAsia="仿宋_GB2312"/>
          <w:sz w:val="32"/>
          <w:szCs w:val="32"/>
        </w:rPr>
        <w:t>出总额</w:t>
      </w:r>
      <w:r>
        <w:rPr>
          <w:rFonts w:hint="eastAsia" w:eastAsia="仿宋_GB2312"/>
          <w:sz w:val="32"/>
          <w:szCs w:val="32"/>
          <w:lang w:val="en-US" w:eastAsia="zh-CN"/>
        </w:rPr>
        <w:t>0</w:t>
      </w:r>
      <w:r>
        <w:rPr>
          <w:rFonts w:hint="eastAsia" w:ascii="仿宋_GB2312" w:eastAsia="仿宋_GB2312"/>
          <w:sz w:val="32"/>
          <w:szCs w:val="32"/>
        </w:rPr>
        <w:t>万元，其中：政府采购货物支出</w:t>
      </w:r>
      <w:r>
        <w:rPr>
          <w:rFonts w:hint="eastAsia" w:eastAsia="仿宋_GB2312"/>
          <w:sz w:val="32"/>
          <w:szCs w:val="32"/>
          <w:lang w:val="en-US" w:eastAsia="zh-CN"/>
        </w:rPr>
        <w:t>0</w:t>
      </w:r>
      <w:r>
        <w:rPr>
          <w:rFonts w:hint="eastAsia" w:ascii="仿宋_GB2312" w:eastAsia="仿宋_GB2312"/>
          <w:sz w:val="32"/>
          <w:szCs w:val="32"/>
        </w:rPr>
        <w:t>万元、政府采购工程支出</w:t>
      </w:r>
      <w:r>
        <w:rPr>
          <w:sz w:val="32"/>
          <w:szCs w:val="32"/>
        </w:rPr>
        <w:t>0</w:t>
      </w:r>
      <w:r>
        <w:rPr>
          <w:rFonts w:hint="eastAsia" w:ascii="仿宋_GB2312" w:eastAsia="仿宋_GB2312"/>
          <w:sz w:val="32"/>
          <w:szCs w:val="32"/>
        </w:rPr>
        <w:t>万元、政府采购服务支出</w:t>
      </w:r>
      <w:r>
        <w:rPr>
          <w:sz w:val="32"/>
          <w:szCs w:val="32"/>
        </w:rPr>
        <w:t>0</w:t>
      </w:r>
      <w:r>
        <w:rPr>
          <w:rFonts w:hint="eastAsia" w:ascii="仿宋_GB2312" w:eastAsia="仿宋_GB2312"/>
          <w:sz w:val="32"/>
          <w:szCs w:val="32"/>
        </w:rPr>
        <w:t>万元。授予中小企业合同金额</w:t>
      </w:r>
      <w:r>
        <w:rPr>
          <w:rFonts w:hint="eastAsia" w:eastAsia="仿宋_GB2312"/>
          <w:sz w:val="32"/>
          <w:szCs w:val="32"/>
          <w:lang w:val="en-US" w:eastAsia="zh-CN"/>
        </w:rPr>
        <w:t>0</w:t>
      </w:r>
      <w:r>
        <w:rPr>
          <w:rFonts w:hint="eastAsia" w:ascii="仿宋_GB2312" w:eastAsia="仿宋_GB2312"/>
          <w:sz w:val="32"/>
          <w:szCs w:val="32"/>
        </w:rPr>
        <w:t>万元，占政府采购支出总额的</w:t>
      </w:r>
      <w:r>
        <w:rPr>
          <w:rFonts w:hint="eastAsia"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，其中：授予小微企业合同金额</w:t>
      </w:r>
      <w:r>
        <w:rPr>
          <w:sz w:val="32"/>
          <w:szCs w:val="32"/>
        </w:rPr>
        <w:t>0</w:t>
      </w:r>
      <w:r>
        <w:rPr>
          <w:rFonts w:hint="eastAsia" w:ascii="仿宋_GB2312" w:eastAsia="仿宋_GB2312"/>
          <w:sz w:val="32"/>
          <w:szCs w:val="32"/>
        </w:rPr>
        <w:t>万元，占政府采购支出总额的</w:t>
      </w:r>
      <w:r>
        <w:rPr>
          <w:sz w:val="32"/>
          <w:szCs w:val="32"/>
        </w:rPr>
        <w:t>0</w:t>
      </w:r>
      <w:r>
        <w:rPr>
          <w:rFonts w:ascii="仿宋_GB2312" w:eastAsia="仿宋_GB2312"/>
          <w:sz w:val="32"/>
          <w:szCs w:val="32"/>
        </w:rPr>
        <w:t>%</w:t>
      </w:r>
      <w:r>
        <w:rPr>
          <w:rFonts w:hint="eastAsia" w:ascii="仿宋_GB2312" w:eastAsia="仿宋_GB2312"/>
          <w:sz w:val="32"/>
          <w:szCs w:val="32"/>
        </w:rPr>
        <w:t>。</w:t>
      </w:r>
    </w:p>
    <w:p w14:paraId="0ED11E30">
      <w:pPr>
        <w:autoSpaceDE w:val="0"/>
        <w:autoSpaceDN w:val="0"/>
        <w:adjustRightInd w:val="0"/>
        <w:spacing w:line="600" w:lineRule="exact"/>
        <w:ind w:firstLine="643" w:firstLineChars="200"/>
        <w:jc w:val="left"/>
        <w:outlineLvl w:val="2"/>
        <w:rPr>
          <w:rFonts w:ascii="仿宋" w:hAnsi="仿宋" w:eastAsia="仿宋"/>
          <w:b/>
          <w:sz w:val="32"/>
          <w:szCs w:val="32"/>
        </w:rPr>
      </w:pPr>
      <w:bookmarkStart w:id="68" w:name="_Toc15377224"/>
      <w:r>
        <w:rPr>
          <w:rFonts w:hint="eastAsia" w:ascii="仿宋" w:hAnsi="仿宋" w:eastAsia="仿宋"/>
          <w:b/>
          <w:sz w:val="32"/>
          <w:szCs w:val="32"/>
        </w:rPr>
        <w:t>（三）国有资产占有使用情况</w:t>
      </w:r>
      <w:bookmarkEnd w:id="68"/>
    </w:p>
    <w:p w14:paraId="2B7D8432">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eastAsia="zh-CN"/>
        </w:rPr>
        <w:t>2024</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hAnsi="Times New Roman" w:eastAsia="仿宋_GB2312" w:cs="Times New Roman"/>
          <w:sz w:val="32"/>
          <w:szCs w:val="32"/>
        </w:rPr>
        <w:t>，五通桥区综合行政执法局共有车辆2</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辆，其中：主要领导干部用车</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辆、机要通信用车</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辆、应急保障用车</w:t>
      </w:r>
      <w:r>
        <w:rPr>
          <w:rFonts w:hint="eastAsia" w:ascii="仿宋_GB2312" w:hAnsi="Times New Roman" w:eastAsia="仿宋_GB2312" w:cs="Times New Roman"/>
          <w:sz w:val="32"/>
          <w:szCs w:val="32"/>
          <w:lang w:val="en-US" w:eastAsia="zh-CN"/>
        </w:rPr>
        <w:t>14</w:t>
      </w:r>
      <w:r>
        <w:rPr>
          <w:rFonts w:hint="eastAsia" w:ascii="仿宋_GB2312" w:hAnsi="Times New Roman" w:eastAsia="仿宋_GB2312" w:cs="Times New Roman"/>
          <w:sz w:val="32"/>
          <w:szCs w:val="32"/>
        </w:rPr>
        <w:t>辆、执法执勤用车</w:t>
      </w: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rPr>
        <w:t>辆</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特种专业技术用车</w:t>
      </w:r>
      <w:r>
        <w:rPr>
          <w:rFonts w:hint="eastAsia" w:ascii="仿宋_GB2312" w:hAnsi="Times New Roman" w:eastAsia="仿宋_GB2312" w:cs="Times New Roman"/>
          <w:sz w:val="32"/>
          <w:szCs w:val="32"/>
          <w:lang w:val="en-US" w:eastAsia="zh-CN"/>
        </w:rPr>
        <w:t>4辆、</w:t>
      </w:r>
      <w:r>
        <w:rPr>
          <w:rFonts w:hint="eastAsia" w:ascii="仿宋_GB2312" w:hAnsi="Times New Roman" w:eastAsia="仿宋_GB2312" w:cs="Times New Roman"/>
          <w:sz w:val="32"/>
          <w:szCs w:val="32"/>
        </w:rPr>
        <w:t>其他用车</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辆，其他用车主要是用于</w:t>
      </w:r>
      <w:r>
        <w:rPr>
          <w:rFonts w:hint="eastAsia" w:ascii="仿宋_GB2312" w:hAnsi="Times New Roman" w:eastAsia="仿宋_GB2312" w:cs="Times New Roman"/>
          <w:sz w:val="32"/>
          <w:szCs w:val="32"/>
          <w:lang w:eastAsia="zh-CN"/>
        </w:rPr>
        <w:t>：无</w:t>
      </w:r>
      <w:r>
        <w:rPr>
          <w:rFonts w:hint="eastAsia" w:ascii="仿宋_GB2312" w:hAnsi="Times New Roman" w:eastAsia="仿宋_GB2312" w:cs="Times New Roman"/>
          <w:sz w:val="32"/>
          <w:szCs w:val="32"/>
        </w:rPr>
        <w:t>。单价100万元</w:t>
      </w:r>
      <w:r>
        <w:rPr>
          <w:rFonts w:hint="eastAsia" w:ascii="仿宋_GB2312" w:eastAsia="仿宋_GB2312"/>
          <w:sz w:val="32"/>
          <w:szCs w:val="32"/>
        </w:rPr>
        <w:t>以上设备（不含车辆）</w:t>
      </w:r>
      <w:r>
        <w:rPr>
          <w:rFonts w:ascii="仿宋_GB2312" w:eastAsia="仿宋_GB2312"/>
          <w:b/>
          <w:sz w:val="32"/>
          <w:szCs w:val="32"/>
        </w:rPr>
        <w:t>0</w:t>
      </w:r>
      <w:r>
        <w:rPr>
          <w:rFonts w:hint="eastAsia" w:ascii="仿宋_GB2312" w:eastAsia="仿宋_GB2312"/>
          <w:sz w:val="32"/>
          <w:szCs w:val="32"/>
        </w:rPr>
        <w:t>台（套）。</w:t>
      </w:r>
    </w:p>
    <w:p w14:paraId="54A19A6E">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14:paraId="0C1B4D32">
      <w:pPr>
        <w:spacing w:line="600" w:lineRule="exact"/>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sz w:val="32"/>
          <w:szCs w:val="32"/>
          <w:lang w:eastAsia="zh-CN"/>
        </w:rPr>
        <w:t>本部门</w:t>
      </w:r>
      <w:r>
        <w:rPr>
          <w:rFonts w:hint="eastAsia" w:ascii="仿宋_GB2312" w:eastAsia="仿宋_GB2312"/>
          <w:sz w:val="32"/>
          <w:szCs w:val="32"/>
        </w:rPr>
        <w:t>在</w:t>
      </w:r>
      <w:r>
        <w:rPr>
          <w:rFonts w:hint="eastAsia" w:ascii="仿宋_GB2312" w:eastAsia="仿宋_GB2312"/>
          <w:sz w:val="32"/>
          <w:szCs w:val="32"/>
          <w:lang w:eastAsia="zh-CN"/>
        </w:rPr>
        <w:t>2024</w:t>
      </w:r>
      <w:r>
        <w:rPr>
          <w:rFonts w:hint="eastAsia" w:ascii="仿宋_GB2312" w:eastAsia="仿宋_GB2312"/>
          <w:sz w:val="32"/>
          <w:szCs w:val="32"/>
        </w:rPr>
        <w:t>年度预算编制阶段，组织对</w:t>
      </w:r>
      <w:r>
        <w:rPr>
          <w:rFonts w:hint="eastAsia" w:ascii="仿宋_GB2312" w:eastAsia="仿宋_GB2312"/>
          <w:sz w:val="32"/>
          <w:szCs w:val="32"/>
          <w:lang w:eastAsia="zh-CN"/>
        </w:rPr>
        <w:t>“</w:t>
      </w:r>
      <w:r>
        <w:rPr>
          <w:rFonts w:hint="eastAsia" w:ascii="仿宋_GB2312" w:eastAsia="仿宋_GB2312"/>
          <w:sz w:val="32"/>
          <w:szCs w:val="32"/>
        </w:rPr>
        <w:t>龙舟赛</w:t>
      </w:r>
      <w:r>
        <w:rPr>
          <w:rFonts w:hint="eastAsia" w:ascii="仿宋_GB2312" w:eastAsia="仿宋_GB2312"/>
          <w:sz w:val="32"/>
          <w:szCs w:val="32"/>
          <w:lang w:eastAsia="zh-CN"/>
        </w:rPr>
        <w:t>”、“公益性岗位补贴经费”、“补助执法人员误餐、加班、差旅经费”、“违章建筑拆除经费”、“综合执法经费”、“购置制式服装项目”、“路政超限检测站、点视频监控费”</w:t>
      </w:r>
      <w:r>
        <w:rPr>
          <w:rFonts w:hint="eastAsia" w:ascii="仿宋_GB2312" w:eastAsia="仿宋_GB2312"/>
          <w:sz w:val="32"/>
          <w:szCs w:val="32"/>
        </w:rPr>
        <w:t>等</w:t>
      </w:r>
      <w:r>
        <w:rPr>
          <w:rFonts w:hint="eastAsia" w:ascii="仿宋_GB2312" w:eastAsia="仿宋_GB2312"/>
          <w:sz w:val="32"/>
          <w:szCs w:val="32"/>
          <w:lang w:val="en-US" w:eastAsia="zh-CN"/>
        </w:rPr>
        <w:t>7</w:t>
      </w:r>
      <w:r>
        <w:rPr>
          <w:rFonts w:hint="eastAsia" w:ascii="仿宋_GB2312" w:eastAsia="仿宋_GB2312"/>
          <w:sz w:val="32"/>
          <w:szCs w:val="32"/>
        </w:rPr>
        <w:t>个项目开展了预算事前绩效评估，对</w:t>
      </w:r>
      <w:r>
        <w:rPr>
          <w:rFonts w:hint="eastAsia" w:ascii="仿宋_GB2312" w:eastAsia="仿宋_GB2312"/>
          <w:sz w:val="32"/>
          <w:szCs w:val="32"/>
          <w:lang w:val="en-US" w:eastAsia="zh-CN"/>
        </w:rPr>
        <w:t>7</w:t>
      </w:r>
      <w:r>
        <w:rPr>
          <w:rFonts w:hint="eastAsia" w:ascii="仿宋_GB2312" w:eastAsia="仿宋_GB2312"/>
          <w:sz w:val="32"/>
          <w:szCs w:val="32"/>
        </w:rPr>
        <w:t>个项目编制了绩效目标，预算执行过程中，选取</w:t>
      </w:r>
      <w:r>
        <w:rPr>
          <w:rFonts w:hint="eastAsia" w:ascii="仿宋_GB2312" w:eastAsia="仿宋_GB2312"/>
          <w:sz w:val="32"/>
          <w:szCs w:val="32"/>
          <w:lang w:val="en-US" w:eastAsia="zh-CN"/>
        </w:rPr>
        <w:t>7</w:t>
      </w:r>
      <w:r>
        <w:rPr>
          <w:rFonts w:hint="eastAsia" w:ascii="仿宋_GB2312" w:eastAsia="仿宋_GB2312"/>
          <w:sz w:val="32"/>
          <w:szCs w:val="32"/>
        </w:rPr>
        <w:t>个项目开展绩效监控，组织对</w:t>
      </w:r>
      <w:r>
        <w:rPr>
          <w:rFonts w:hint="eastAsia" w:ascii="仿宋_GB2312" w:eastAsia="仿宋_GB2312"/>
          <w:sz w:val="32"/>
          <w:szCs w:val="32"/>
          <w:lang w:val="en-US" w:eastAsia="zh-CN"/>
        </w:rPr>
        <w:t>7</w:t>
      </w:r>
      <w:r>
        <w:rPr>
          <w:rFonts w:hint="eastAsia" w:ascii="仿宋_GB2312" w:eastAsia="仿宋_GB2312"/>
          <w:sz w:val="32"/>
          <w:szCs w:val="32"/>
        </w:rPr>
        <w:t>个项目开展绩效自评，绩效自评表详见第四部分附件。</w:t>
      </w:r>
    </w:p>
    <w:p w14:paraId="1A1520F0">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组织对</w:t>
      </w: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年度一般公共预算等全面开展绩效自评，形成</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乐山市五通桥区综合行政执法局部门整体（含部门预算项目）绩效自评报告</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公益性岗位补贴</w:t>
      </w:r>
      <w:r>
        <w:rPr>
          <w:rFonts w:hint="eastAsia" w:ascii="仿宋_GB2312" w:hAnsi="仿宋_GB2312" w:eastAsia="仿宋_GB2312" w:cs="仿宋_GB2312"/>
          <w:sz w:val="32"/>
          <w:szCs w:val="32"/>
          <w:highlight w:val="none"/>
          <w:lang w:eastAsia="zh-CN"/>
        </w:rPr>
        <w:t>”、“违章建筑拆除经费”</w:t>
      </w:r>
      <w:r>
        <w:rPr>
          <w:rFonts w:hint="eastAsia" w:ascii="仿宋_GB2312" w:hAnsi="仿宋_GB2312" w:eastAsia="仿宋_GB2312" w:cs="仿宋_GB2312"/>
          <w:sz w:val="32"/>
          <w:szCs w:val="32"/>
          <w:highlight w:val="none"/>
        </w:rPr>
        <w:t>等专项预算项目绩效自评报告，其中，乐山市五通桥区综合行政执法局部门整体（含部门预算项目）绩效自评得分为</w:t>
      </w:r>
      <w:r>
        <w:rPr>
          <w:rFonts w:hint="eastAsia" w:ascii="仿宋_GB2312" w:hAnsi="仿宋_GB2312" w:eastAsia="仿宋_GB2312" w:cs="仿宋_GB2312"/>
          <w:sz w:val="32"/>
          <w:szCs w:val="32"/>
          <w:highlight w:val="none"/>
          <w:lang w:val="en-US" w:eastAsia="zh-CN"/>
        </w:rPr>
        <w:t>95</w:t>
      </w:r>
      <w:r>
        <w:rPr>
          <w:rFonts w:hint="eastAsia" w:ascii="仿宋_GB2312" w:hAnsi="仿宋_GB2312" w:eastAsia="仿宋_GB2312" w:cs="仿宋_GB2312"/>
          <w:sz w:val="32"/>
          <w:szCs w:val="32"/>
          <w:highlight w:val="none"/>
        </w:rPr>
        <w:t>分</w:t>
      </w:r>
      <w:r>
        <w:rPr>
          <w:rFonts w:hint="eastAsia" w:ascii="仿宋_GB2312" w:hAnsi="仿宋_GB2312" w:eastAsia="仿宋_GB2312" w:cs="仿宋_GB2312"/>
          <w:sz w:val="32"/>
          <w:szCs w:val="32"/>
          <w:highlight w:val="none"/>
          <w:lang w:eastAsia="zh-CN"/>
        </w:rPr>
        <w:t>（前期打分体系中的评分）</w:t>
      </w:r>
      <w:r>
        <w:rPr>
          <w:rFonts w:hint="eastAsia" w:ascii="仿宋_GB2312" w:hAnsi="仿宋_GB2312" w:eastAsia="仿宋_GB2312" w:cs="仿宋_GB2312"/>
          <w:sz w:val="32"/>
          <w:szCs w:val="32"/>
          <w:highlight w:val="none"/>
        </w:rPr>
        <w:t>，绩效自评综述：绩效自评</w:t>
      </w:r>
      <w:r>
        <w:rPr>
          <w:rFonts w:hint="eastAsia" w:ascii="仿宋_GB2312" w:hAnsi="仿宋_GB2312" w:eastAsia="仿宋_GB2312" w:cs="仿宋_GB2312"/>
          <w:sz w:val="32"/>
          <w:szCs w:val="32"/>
          <w:highlight w:val="none"/>
          <w:lang w:eastAsia="zh-CN"/>
        </w:rPr>
        <w:t>结果为优</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公益性岗位补贴</w:t>
      </w:r>
      <w:r>
        <w:rPr>
          <w:rFonts w:hint="eastAsia" w:ascii="仿宋_GB2312" w:hAnsi="仿宋_GB2312" w:eastAsia="仿宋_GB2312" w:cs="仿宋_GB2312"/>
          <w:sz w:val="32"/>
          <w:szCs w:val="32"/>
          <w:highlight w:val="none"/>
          <w:lang w:eastAsia="zh-CN"/>
        </w:rPr>
        <w:t>”、“违章建筑拆除经费”</w:t>
      </w:r>
      <w:r>
        <w:rPr>
          <w:rFonts w:hint="eastAsia" w:ascii="仿宋_GB2312" w:hAnsi="仿宋_GB2312" w:eastAsia="仿宋_GB2312" w:cs="仿宋_GB2312"/>
          <w:sz w:val="32"/>
          <w:szCs w:val="32"/>
          <w:highlight w:val="none"/>
        </w:rPr>
        <w:t>专项预算项目绩效自评得分</w:t>
      </w:r>
      <w:r>
        <w:rPr>
          <w:rFonts w:hint="eastAsia" w:ascii="仿宋_GB2312" w:hAnsi="仿宋_GB2312" w:eastAsia="仿宋_GB2312" w:cs="仿宋_GB2312"/>
          <w:sz w:val="32"/>
          <w:szCs w:val="32"/>
          <w:highlight w:val="none"/>
          <w:lang w:eastAsia="zh-CN"/>
        </w:rPr>
        <w:t>分别</w:t>
      </w:r>
      <w:r>
        <w:rPr>
          <w:rFonts w:hint="eastAsia" w:ascii="仿宋_GB2312" w:hAnsi="仿宋_GB2312" w:eastAsia="仿宋_GB2312" w:cs="仿宋_GB2312"/>
          <w:sz w:val="32"/>
          <w:szCs w:val="32"/>
          <w:highlight w:val="none"/>
        </w:rPr>
        <w:t>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100分</w:t>
      </w:r>
      <w:r>
        <w:rPr>
          <w:rFonts w:hint="eastAsia" w:ascii="仿宋_GB2312" w:hAnsi="仿宋_GB2312" w:eastAsia="仿宋_GB2312" w:cs="仿宋_GB2312"/>
          <w:sz w:val="32"/>
          <w:szCs w:val="32"/>
          <w:highlight w:val="none"/>
        </w:rPr>
        <w:t>，绩效自评综述：绩效自评</w:t>
      </w:r>
      <w:r>
        <w:rPr>
          <w:rFonts w:hint="eastAsia" w:ascii="仿宋_GB2312" w:hAnsi="仿宋_GB2312" w:eastAsia="仿宋_GB2312" w:cs="仿宋_GB2312"/>
          <w:sz w:val="32"/>
          <w:szCs w:val="32"/>
          <w:highlight w:val="none"/>
          <w:lang w:eastAsia="zh-CN"/>
        </w:rPr>
        <w:t>结果为优</w:t>
      </w:r>
      <w:r>
        <w:rPr>
          <w:rFonts w:hint="eastAsia" w:ascii="仿宋_GB2312" w:hAnsi="仿宋_GB2312" w:eastAsia="仿宋_GB2312" w:cs="仿宋_GB2312"/>
          <w:sz w:val="32"/>
          <w:szCs w:val="32"/>
          <w:highlight w:val="none"/>
        </w:rPr>
        <w:t>。绩效自评报告详见附件。</w:t>
      </w:r>
    </w:p>
    <w:p w14:paraId="0EDE1AEB">
      <w:pPr>
        <w:pStyle w:val="2"/>
        <w:rPr>
          <w:rFonts w:hint="eastAsia"/>
        </w:rPr>
      </w:pPr>
    </w:p>
    <w:p w14:paraId="27998851">
      <w:pPr>
        <w:bidi w:val="0"/>
        <w:rPr>
          <w:rFonts w:hint="eastAsia"/>
        </w:rPr>
      </w:pPr>
    </w:p>
    <w:p w14:paraId="1222D6DB">
      <w:pPr>
        <w:bidi w:val="0"/>
        <w:rPr>
          <w:rFonts w:hint="eastAsia"/>
        </w:rPr>
      </w:pPr>
    </w:p>
    <w:p w14:paraId="5AF650F7">
      <w:pPr>
        <w:bidi w:val="0"/>
        <w:rPr>
          <w:rFonts w:hint="eastAsia"/>
        </w:rPr>
      </w:pPr>
    </w:p>
    <w:p w14:paraId="0380E07F">
      <w:pPr>
        <w:bidi w:val="0"/>
        <w:ind w:firstLine="1767" w:firstLineChars="400"/>
        <w:outlineLvl w:val="0"/>
        <w:rPr>
          <w:rFonts w:hint="eastAsia" w:ascii="Times New Roman" w:hAnsi="Times New Roman" w:eastAsia="宋体" w:cs="Times New Roman"/>
          <w:b/>
          <w:bCs/>
          <w:kern w:val="44"/>
          <w:sz w:val="44"/>
          <w:szCs w:val="44"/>
          <w:lang w:val="en-US" w:eastAsia="zh-CN" w:bidi="ar-SA"/>
        </w:rPr>
      </w:pPr>
      <w:bookmarkStart w:id="69" w:name="_Toc31315"/>
    </w:p>
    <w:p w14:paraId="3779D017">
      <w:pPr>
        <w:bidi w:val="0"/>
        <w:ind w:firstLine="1767" w:firstLineChars="400"/>
        <w:outlineLvl w:val="0"/>
        <w:rPr>
          <w:rFonts w:hint="eastAsia" w:ascii="Times New Roman" w:hAnsi="Times New Roman" w:eastAsia="宋体" w:cs="Times New Roman"/>
          <w:b/>
          <w:bCs/>
          <w:kern w:val="44"/>
          <w:sz w:val="44"/>
          <w:szCs w:val="44"/>
          <w:lang w:val="en-US" w:eastAsia="zh-CN" w:bidi="ar-SA"/>
        </w:rPr>
      </w:pPr>
    </w:p>
    <w:p w14:paraId="1ADE1807">
      <w:pPr>
        <w:bidi w:val="0"/>
        <w:ind w:firstLine="1767" w:firstLineChars="400"/>
        <w:outlineLvl w:val="0"/>
        <w:rPr>
          <w:rFonts w:hint="eastAsia" w:ascii="Times New Roman" w:hAnsi="Times New Roman" w:eastAsia="宋体" w:cs="Times New Roman"/>
          <w:b/>
          <w:bCs/>
          <w:kern w:val="44"/>
          <w:sz w:val="44"/>
          <w:szCs w:val="44"/>
          <w:lang w:val="en-US" w:eastAsia="zh-CN" w:bidi="ar-SA"/>
        </w:rPr>
      </w:pPr>
    </w:p>
    <w:p w14:paraId="5DE607A7">
      <w:pPr>
        <w:bidi w:val="0"/>
        <w:ind w:firstLine="1767" w:firstLineChars="400"/>
        <w:outlineLvl w:val="0"/>
        <w:rPr>
          <w:rFonts w:hint="eastAsia" w:ascii="Times New Roman" w:hAnsi="Times New Roman" w:eastAsia="宋体" w:cs="Times New Roman"/>
          <w:b/>
          <w:bCs/>
          <w:kern w:val="44"/>
          <w:sz w:val="44"/>
          <w:szCs w:val="44"/>
          <w:lang w:val="en-US" w:eastAsia="zh-CN" w:bidi="ar-SA"/>
        </w:rPr>
      </w:pPr>
      <w:r>
        <w:rPr>
          <w:rFonts w:hint="eastAsia" w:ascii="Times New Roman" w:hAnsi="Times New Roman" w:eastAsia="宋体" w:cs="Times New Roman"/>
          <w:b/>
          <w:bCs/>
          <w:kern w:val="44"/>
          <w:sz w:val="44"/>
          <w:szCs w:val="44"/>
          <w:lang w:val="en-US" w:eastAsia="zh-CN" w:bidi="ar-SA"/>
        </w:rPr>
        <w:t>第三部分 名词解释</w:t>
      </w:r>
      <w:bookmarkEnd w:id="69"/>
    </w:p>
    <w:p w14:paraId="7750A6F1"/>
    <w:p w14:paraId="687108B8">
      <w:pPr>
        <w:spacing w:line="580" w:lineRule="exact"/>
        <w:ind w:firstLine="640" w:firstLineChars="200"/>
        <w:rPr>
          <w:rFonts w:hint="eastAsia" w:ascii="仿宋_GB2312" w:hAnsi="仿宋_GB2312" w:eastAsia="仿宋_GB2312" w:cs="仿宋_GB2312"/>
          <w:sz w:val="32"/>
          <w:szCs w:val="32"/>
          <w:highlight w:val="none"/>
          <w:lang w:eastAsia="zh-CN"/>
        </w:rPr>
      </w:pPr>
      <w:bookmarkStart w:id="70" w:name="_Toc30574"/>
      <w:r>
        <w:rPr>
          <w:rFonts w:hint="eastAsia" w:ascii="仿宋_GB2312" w:hAnsi="仿宋_GB2312" w:eastAsia="仿宋_GB2312" w:cs="仿宋_GB2312"/>
          <w:sz w:val="32"/>
          <w:szCs w:val="32"/>
          <w:highlight w:val="none"/>
          <w:lang w:eastAsia="zh-CN"/>
        </w:rPr>
        <w:t>1.财政拨款收入：指单位从同级财政部门取得的财政预算资金。</w:t>
      </w:r>
      <w:bookmarkEnd w:id="70"/>
    </w:p>
    <w:p w14:paraId="09D72FCA">
      <w:pPr>
        <w:spacing w:line="58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2.事业收入：指事业单位开展专业业务活动及辅助活动取得的收入。</w:t>
      </w:r>
    </w:p>
    <w:p w14:paraId="71997A93">
      <w:pPr>
        <w:spacing w:line="58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3.经营收入：指事业单位在专业业务活动及其辅助活动之外开展非独立核算经营活动取得的收入。</w:t>
      </w:r>
    </w:p>
    <w:p w14:paraId="7D0170C9">
      <w:pPr>
        <w:spacing w:line="580" w:lineRule="exact"/>
        <w:ind w:firstLine="640" w:firstLineChars="200"/>
        <w:rPr>
          <w:rFonts w:hint="eastAsia" w:ascii="仿宋_GB2312" w:hAnsi="仿宋_GB2312" w:eastAsia="仿宋_GB2312" w:cs="仿宋_GB2312"/>
          <w:sz w:val="32"/>
          <w:szCs w:val="32"/>
          <w:highlight w:val="none"/>
          <w:lang w:eastAsia="zh-CN"/>
        </w:rPr>
      </w:pPr>
      <w:bookmarkStart w:id="71" w:name="_Toc5495"/>
      <w:r>
        <w:rPr>
          <w:rFonts w:hint="eastAsia" w:ascii="仿宋_GB2312" w:hAnsi="仿宋_GB2312" w:eastAsia="仿宋_GB2312" w:cs="仿宋_GB2312"/>
          <w:sz w:val="32"/>
          <w:szCs w:val="32"/>
          <w:highlight w:val="none"/>
          <w:lang w:eastAsia="zh-CN"/>
        </w:rPr>
        <w:t>4.其他收入：指单位取得的除上述收入以外的各项收入。</w:t>
      </w:r>
      <w:bookmarkEnd w:id="71"/>
    </w:p>
    <w:p w14:paraId="5DC8094E">
      <w:pPr>
        <w:spacing w:line="58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 xml:space="preserve">5.使用非财政拨款结余：指事业单位使用以前年度积累的非财政拨款结余弥补当年收支差额的金额。 </w:t>
      </w:r>
    </w:p>
    <w:p w14:paraId="7A9AD9F4">
      <w:pPr>
        <w:spacing w:line="58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 xml:space="preserve">6.年初结转和结余：指以前年度尚未完成、结转到本年按有关规定继续使用的资金。 </w:t>
      </w:r>
    </w:p>
    <w:p w14:paraId="449FF698">
      <w:pPr>
        <w:spacing w:line="58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7.结余分配：指事业单位按照会计制度规定缴纳的所得税、提取的专用结余以及转入非财政拨款结余的金额等。</w:t>
      </w:r>
    </w:p>
    <w:p w14:paraId="34A71114">
      <w:pPr>
        <w:spacing w:line="58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8、年末结转和结余：指单位按有关规定结转到下年或以后年度继续使用的资金。</w:t>
      </w:r>
    </w:p>
    <w:p w14:paraId="34F87FEB">
      <w:pPr>
        <w:spacing w:line="58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lang w:eastAsia="zh-CN"/>
        </w:rPr>
        <w:t>社会保障和就业（类）政事业单位离退休（款）机关事业单位基本养老保险缴费支出（项）是指机关事业单位实施养老保险制度由单位缴纳的基本养老保险费支出。</w:t>
      </w:r>
    </w:p>
    <w:p w14:paraId="0A5B30BF">
      <w:pPr>
        <w:spacing w:line="58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lang w:eastAsia="zh-CN"/>
        </w:rPr>
        <w:t>. 社会保障和就业（类）政事业单位离退休（款）机关事业单位职业年金缴费支出（项）是指机关事业单位实施养老保险制度由单位缴纳的职业年金缴费支出支出。</w:t>
      </w:r>
    </w:p>
    <w:p w14:paraId="050D2EFF">
      <w:pPr>
        <w:spacing w:line="580" w:lineRule="exact"/>
        <w:ind w:firstLine="640" w:firstLineChars="200"/>
        <w:rPr>
          <w:rFonts w:hint="eastAsia" w:ascii="仿宋_GB2312" w:hAnsi="仿宋_GB2312" w:eastAsia="仿宋_GB2312" w:cs="仿宋_GB2312"/>
          <w:sz w:val="32"/>
          <w:szCs w:val="32"/>
          <w:highlight w:val="none"/>
          <w:lang w:eastAsia="zh-CN"/>
        </w:rPr>
      </w:pPr>
    </w:p>
    <w:p w14:paraId="1F090BB0">
      <w:pPr>
        <w:spacing w:line="58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11、</w:t>
      </w:r>
      <w:r>
        <w:rPr>
          <w:rFonts w:hint="eastAsia" w:ascii="仿宋_GB2312" w:hAnsi="仿宋_GB2312" w:eastAsia="仿宋_GB2312" w:cs="仿宋_GB2312"/>
          <w:sz w:val="32"/>
          <w:szCs w:val="32"/>
          <w:highlight w:val="none"/>
          <w:lang w:eastAsia="zh-CN"/>
        </w:rPr>
        <w:t>社会保障和就业（类）政事业单位离退休（款）其他行政事业单位离退休支出（项）是指其他用于行政事业单位离退休方面的支出。</w:t>
      </w:r>
    </w:p>
    <w:p w14:paraId="7B779FF7">
      <w:pPr>
        <w:spacing w:line="58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12、</w:t>
      </w:r>
      <w:r>
        <w:rPr>
          <w:rFonts w:hint="eastAsia" w:ascii="仿宋_GB2312" w:hAnsi="仿宋_GB2312" w:eastAsia="仿宋_GB2312" w:cs="仿宋_GB2312"/>
          <w:sz w:val="32"/>
          <w:szCs w:val="32"/>
          <w:highlight w:val="none"/>
          <w:lang w:eastAsia="zh-CN"/>
        </w:rPr>
        <w:t>社会保障和就业（类）就业补助（款）其他就业补助支出（项）:就业补助（款）指财政用于就业方面的补助支出。其他就业补助支出（项）指按规定确定的其他用于促进就业的补助支出</w:t>
      </w:r>
    </w:p>
    <w:p w14:paraId="068E2551">
      <w:pPr>
        <w:spacing w:line="58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13、</w:t>
      </w:r>
      <w:r>
        <w:rPr>
          <w:rFonts w:hint="eastAsia" w:ascii="仿宋_GB2312" w:hAnsi="仿宋_GB2312" w:eastAsia="仿宋_GB2312" w:cs="仿宋_GB2312"/>
          <w:sz w:val="32"/>
          <w:szCs w:val="32"/>
          <w:highlight w:val="none"/>
          <w:lang w:eastAsia="zh-CN"/>
        </w:rPr>
        <w:t>卫生健康（类）行政事业单位医疗（款）行政单位医疗（项）是指财政部门集中安排的行政单位基本医疗保险缴费经费，未参加医疗保险的行政单位基本的公费医疗经费，按国家规定享受离休人员、老红军战士待遇人员的医疗经费。</w:t>
      </w:r>
      <w:r>
        <w:rPr>
          <w:rFonts w:hint="eastAsia" w:ascii="仿宋_GB2312" w:hAnsi="仿宋_GB2312" w:eastAsia="仿宋_GB2312" w:cs="仿宋_GB2312"/>
          <w:sz w:val="32"/>
          <w:szCs w:val="32"/>
          <w:highlight w:val="none"/>
          <w:lang w:val="en-US" w:eastAsia="zh-CN"/>
        </w:rPr>
        <w:t xml:space="preserve">       </w:t>
      </w:r>
    </w:p>
    <w:p w14:paraId="02467ED0">
      <w:pPr>
        <w:spacing w:line="58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14、</w:t>
      </w:r>
      <w:r>
        <w:rPr>
          <w:rFonts w:hint="eastAsia" w:ascii="仿宋_GB2312" w:hAnsi="仿宋_GB2312" w:eastAsia="仿宋_GB2312" w:cs="仿宋_GB2312"/>
          <w:sz w:val="32"/>
          <w:szCs w:val="32"/>
          <w:highlight w:val="none"/>
          <w:lang w:eastAsia="zh-CN"/>
        </w:rPr>
        <w:t>卫生健康支出（类）行政事业单位医疗（款）公务员医疗补助（项）：指财政部门安排的公务员医疗补助经经费。</w:t>
      </w:r>
    </w:p>
    <w:p w14:paraId="312AFC80">
      <w:pPr>
        <w:spacing w:line="58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15、</w:t>
      </w:r>
      <w:r>
        <w:rPr>
          <w:rFonts w:hint="eastAsia" w:ascii="仿宋_GB2312" w:hAnsi="仿宋_GB2312" w:eastAsia="仿宋_GB2312" w:cs="仿宋_GB2312"/>
          <w:sz w:val="32"/>
          <w:szCs w:val="32"/>
          <w:highlight w:val="none"/>
          <w:lang w:eastAsia="zh-CN"/>
        </w:rPr>
        <w:t>城乡社区支出（类）城乡社区管理事务（款）行政运行（项）是指行政单位（包括实行公务员管理的事业单位）在城乡社区管理事务中的基本支出。</w:t>
      </w:r>
    </w:p>
    <w:p w14:paraId="6CBB8265">
      <w:pPr>
        <w:spacing w:line="58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lang w:eastAsia="zh-CN"/>
        </w:rPr>
        <w:t>、城乡社区支出（类）城乡社区管理事务（款）城管执法（项）是指用于城市管理综合行政执法、加强城市市容和环境卫生管理方面的支出。</w:t>
      </w:r>
    </w:p>
    <w:p w14:paraId="28329A50">
      <w:pPr>
        <w:spacing w:line="58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17、</w:t>
      </w:r>
      <w:r>
        <w:rPr>
          <w:rFonts w:hint="eastAsia" w:ascii="仿宋_GB2312" w:hAnsi="仿宋_GB2312" w:eastAsia="仿宋_GB2312" w:cs="仿宋_GB2312"/>
          <w:sz w:val="32"/>
          <w:szCs w:val="32"/>
          <w:highlight w:val="none"/>
          <w:lang w:eastAsia="zh-CN"/>
        </w:rPr>
        <w:t>交通运输支出（类）反映交通运输和邮政业方面的支出。公路水路运输（款）：反映公路水路运输相关的支出。公路运输管理（项）:反映公路运输管理支出和公路路政管理支出。</w:t>
      </w:r>
    </w:p>
    <w:p w14:paraId="715FE0BD">
      <w:pPr>
        <w:spacing w:line="58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18.</w:t>
      </w:r>
      <w:r>
        <w:rPr>
          <w:rFonts w:hint="eastAsia" w:ascii="仿宋_GB2312" w:hAnsi="仿宋_GB2312" w:eastAsia="仿宋_GB2312" w:cs="仿宋_GB2312"/>
          <w:sz w:val="32"/>
          <w:szCs w:val="32"/>
          <w:highlight w:val="none"/>
          <w:lang w:eastAsia="zh-CN"/>
        </w:rPr>
        <w:t>住房保障支出（类）：集中反映政府用于住房方面的支出。住房改革支出（款） 反映行政事业单位用财政拨款资金和其他资金等安排的住房改革支出。住房公积金（项）:反映行政事业单位按人力资源和社会保障部、财政部规定的基本工资和津贴补贴以及规定比例为职工缴纳的住房公积金。</w:t>
      </w:r>
    </w:p>
    <w:p w14:paraId="7913A7DA">
      <w:pPr>
        <w:spacing w:line="58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19、</w:t>
      </w:r>
      <w:r>
        <w:rPr>
          <w:rFonts w:hint="eastAsia" w:ascii="仿宋_GB2312" w:hAnsi="仿宋_GB2312" w:eastAsia="仿宋_GB2312" w:cs="仿宋_GB2312"/>
          <w:sz w:val="32"/>
          <w:szCs w:val="32"/>
          <w:highlight w:val="none"/>
          <w:lang w:eastAsia="zh-CN"/>
        </w:rPr>
        <w:t>基本支出：指为保障机构正常运转、完成日常工作任务而发生的人员支出和公用支出。</w:t>
      </w:r>
    </w:p>
    <w:p w14:paraId="2ADEF4F0">
      <w:pPr>
        <w:spacing w:line="58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eastAsia="zh-CN"/>
        </w:rPr>
        <w:t xml:space="preserve">项目支出：指在基本支出之外为完成特定行政任务和事业发展目标所发生的支出。 </w:t>
      </w:r>
    </w:p>
    <w:p w14:paraId="44B37511">
      <w:pPr>
        <w:spacing w:line="58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21、</w:t>
      </w:r>
      <w:r>
        <w:rPr>
          <w:rFonts w:hint="eastAsia" w:ascii="仿宋_GB2312" w:hAnsi="仿宋_GB2312" w:eastAsia="仿宋_GB2312" w:cs="仿宋_GB2312"/>
          <w:sz w:val="32"/>
          <w:szCs w:val="32"/>
          <w:highlight w:val="none"/>
          <w:lang w:eastAsia="zh-CN"/>
        </w:rPr>
        <w:t>经营支出：指事业单位在专业业务活动及其辅助活动之外开展非独立核算经营活动发生的支出。</w:t>
      </w:r>
    </w:p>
    <w:p w14:paraId="34CC24BD">
      <w:pPr>
        <w:spacing w:line="58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22、</w:t>
      </w:r>
      <w:r>
        <w:rPr>
          <w:rFonts w:hint="eastAsia" w:ascii="仿宋_GB2312" w:hAnsi="仿宋_GB2312" w:eastAsia="仿宋_GB2312" w:cs="仿宋_GB2312"/>
          <w:sz w:val="32"/>
          <w:szCs w:val="32"/>
          <w:highlight w:val="none"/>
          <w:lang w:eastAsia="zh-CN"/>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6E7CE789">
      <w:pPr>
        <w:spacing w:line="58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23、</w:t>
      </w:r>
      <w:r>
        <w:rPr>
          <w:rFonts w:hint="eastAsia" w:ascii="仿宋_GB2312" w:hAnsi="仿宋_GB2312" w:eastAsia="仿宋_GB2312" w:cs="仿宋_GB2312"/>
          <w:sz w:val="32"/>
          <w:szCs w:val="32"/>
          <w:highlight w:val="none"/>
          <w:lang w:eastAsia="zh-CN"/>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5690F72">
      <w:pPr>
        <w:spacing w:line="580" w:lineRule="exact"/>
        <w:ind w:firstLine="640" w:firstLineChars="200"/>
        <w:rPr>
          <w:rFonts w:hint="eastAsia" w:ascii="仿宋_GB2312" w:hAnsi="仿宋_GB2312" w:eastAsia="仿宋_GB2312" w:cs="仿宋_GB2312"/>
          <w:sz w:val="32"/>
          <w:szCs w:val="32"/>
          <w:highlight w:val="none"/>
          <w:lang w:eastAsia="zh-CN"/>
        </w:rPr>
      </w:pPr>
    </w:p>
    <w:p w14:paraId="7EE80150">
      <w:pPr>
        <w:spacing w:line="580" w:lineRule="exact"/>
        <w:ind w:firstLine="640" w:firstLineChars="200"/>
        <w:rPr>
          <w:rFonts w:hint="eastAsia" w:ascii="仿宋_GB2312" w:hAnsi="仿宋_GB2312" w:eastAsia="仿宋_GB2312" w:cs="仿宋_GB2312"/>
          <w:sz w:val="32"/>
          <w:szCs w:val="32"/>
          <w:highlight w:val="none"/>
          <w:lang w:eastAsia="zh-CN"/>
        </w:rPr>
      </w:pPr>
    </w:p>
    <w:p w14:paraId="6FA925CA">
      <w:pPr>
        <w:spacing w:line="580" w:lineRule="exact"/>
        <w:ind w:firstLine="640" w:firstLineChars="200"/>
        <w:rPr>
          <w:rFonts w:hint="eastAsia" w:ascii="仿宋_GB2312" w:hAnsi="仿宋_GB2312" w:eastAsia="仿宋_GB2312" w:cs="仿宋_GB2312"/>
          <w:sz w:val="32"/>
          <w:szCs w:val="32"/>
          <w:highlight w:val="none"/>
          <w:lang w:eastAsia="zh-CN"/>
        </w:rPr>
      </w:pPr>
    </w:p>
    <w:p w14:paraId="60ED17BD">
      <w:pPr>
        <w:pStyle w:val="5"/>
        <w:jc w:val="center"/>
        <w:outlineLvl w:val="9"/>
        <w:rPr>
          <w:rFonts w:hint="eastAsia" w:ascii="黑体" w:hAnsi="黑体" w:eastAsia="黑体"/>
          <w:b w:val="0"/>
        </w:rPr>
      </w:pPr>
    </w:p>
    <w:p w14:paraId="5AAB83AD">
      <w:pPr>
        <w:pStyle w:val="5"/>
        <w:jc w:val="center"/>
        <w:outlineLvl w:val="9"/>
        <w:rPr>
          <w:rFonts w:hint="eastAsia" w:ascii="黑体" w:hAnsi="黑体" w:eastAsia="黑体"/>
          <w:b w:val="0"/>
        </w:rPr>
      </w:pPr>
    </w:p>
    <w:p w14:paraId="507CA30D">
      <w:pPr>
        <w:pStyle w:val="5"/>
        <w:jc w:val="center"/>
        <w:outlineLvl w:val="9"/>
        <w:rPr>
          <w:rFonts w:hint="eastAsia" w:ascii="黑体" w:hAnsi="黑体" w:eastAsia="黑体"/>
          <w:b w:val="0"/>
        </w:rPr>
      </w:pPr>
    </w:p>
    <w:p w14:paraId="197B2A05">
      <w:pPr>
        <w:pStyle w:val="5"/>
        <w:jc w:val="center"/>
        <w:outlineLvl w:val="9"/>
        <w:rPr>
          <w:rFonts w:hint="eastAsia" w:ascii="黑体" w:hAnsi="黑体" w:eastAsia="黑体"/>
          <w:b w:val="0"/>
        </w:rPr>
      </w:pPr>
    </w:p>
    <w:p w14:paraId="5F106231">
      <w:pPr>
        <w:jc w:val="both"/>
        <w:outlineLvl w:val="0"/>
        <w:rPr>
          <w:rFonts w:hint="eastAsia" w:ascii="方正小标宋简体" w:hAnsi="方正小标宋简体" w:eastAsia="方正小标宋简体" w:cs="Times New Roman"/>
          <w:sz w:val="44"/>
          <w:szCs w:val="44"/>
        </w:rPr>
      </w:pPr>
      <w:bookmarkStart w:id="72" w:name="_Toc26053"/>
    </w:p>
    <w:p w14:paraId="5C727637">
      <w:pPr>
        <w:jc w:val="center"/>
        <w:outlineLvl w:val="0"/>
        <w:rPr>
          <w:rFonts w:hint="eastAsia" w:ascii="方正小标宋简体" w:hAnsi="方正小标宋简体" w:eastAsia="方正小标宋简体" w:cs="Times New Roman"/>
          <w:sz w:val="44"/>
          <w:szCs w:val="44"/>
        </w:rPr>
      </w:pPr>
    </w:p>
    <w:p w14:paraId="52C633E0">
      <w:pPr>
        <w:pStyle w:val="2"/>
        <w:rPr>
          <w:rFonts w:hint="eastAsia" w:ascii="方正小标宋简体" w:hAnsi="方正小标宋简体" w:eastAsia="方正小标宋简体" w:cs="Times New Roman"/>
          <w:sz w:val="44"/>
          <w:szCs w:val="44"/>
        </w:rPr>
      </w:pPr>
    </w:p>
    <w:p w14:paraId="79A1DA1E">
      <w:pPr>
        <w:pStyle w:val="4"/>
        <w:rPr>
          <w:rFonts w:hint="eastAsia" w:ascii="方正小标宋简体" w:hAnsi="方正小标宋简体" w:eastAsia="方正小标宋简体" w:cs="Times New Roman"/>
          <w:sz w:val="44"/>
          <w:szCs w:val="44"/>
        </w:rPr>
      </w:pPr>
    </w:p>
    <w:p w14:paraId="678A5699">
      <w:pPr>
        <w:pStyle w:val="4"/>
        <w:rPr>
          <w:rFonts w:hint="eastAsia" w:ascii="方正小标宋简体" w:hAnsi="方正小标宋简体" w:eastAsia="方正小标宋简体" w:cs="Times New Roman"/>
          <w:sz w:val="44"/>
          <w:szCs w:val="44"/>
        </w:rPr>
      </w:pPr>
    </w:p>
    <w:p w14:paraId="1AE752D7">
      <w:pPr>
        <w:jc w:val="left"/>
        <w:outlineLvl w:val="0"/>
        <w:rPr>
          <w:rFonts w:hint="eastAsia" w:ascii="方正小标宋简体" w:hAnsi="方正小标宋简体" w:eastAsia="方正小标宋简体" w:cs="Times New Roman"/>
          <w:sz w:val="44"/>
          <w:szCs w:val="44"/>
        </w:rPr>
      </w:pPr>
      <w:r>
        <w:rPr>
          <w:rFonts w:hint="eastAsia" w:ascii="方正黑体_GBK" w:hAnsi="宋体" w:eastAsia="方正黑体_GBK"/>
          <w:sz w:val="33"/>
          <w:szCs w:val="33"/>
          <w:lang w:val="zh-CN"/>
        </w:rPr>
        <w:t>附件</w:t>
      </w:r>
      <w:r>
        <w:rPr>
          <w:rFonts w:hint="eastAsia" w:eastAsia="方正黑体_GBK"/>
          <w:sz w:val="33"/>
          <w:szCs w:val="33"/>
        </w:rPr>
        <w:t>1</w:t>
      </w:r>
      <w:r>
        <w:rPr>
          <w:rFonts w:hint="eastAsia" w:eastAsia="方正黑体_GBK"/>
          <w:sz w:val="33"/>
          <w:szCs w:val="33"/>
          <w:lang w:val="en-US" w:eastAsia="zh-CN"/>
        </w:rPr>
        <w:t xml:space="preserve">              </w:t>
      </w:r>
      <w:r>
        <w:rPr>
          <w:rFonts w:hint="eastAsia" w:ascii="方正小标宋简体" w:hAnsi="方正小标宋简体" w:eastAsia="方正小标宋简体" w:cs="Times New Roman"/>
          <w:sz w:val="44"/>
          <w:szCs w:val="44"/>
        </w:rPr>
        <w:t>第四部分 附件</w:t>
      </w:r>
      <w:bookmarkEnd w:id="72"/>
    </w:p>
    <w:p w14:paraId="16C3AA0C"/>
    <w:p w14:paraId="5141A00C">
      <w:pPr>
        <w:keepNext w:val="0"/>
        <w:keepLines w:val="0"/>
        <w:pageBreakBefore w:val="0"/>
        <w:kinsoku/>
        <w:wordWrap/>
        <w:overflowPunct/>
        <w:topLinePunct w:val="0"/>
        <w:autoSpaceDE/>
        <w:autoSpaceDN/>
        <w:bidi w:val="0"/>
        <w:adjustRightInd/>
        <w:snapToGrid/>
        <w:spacing w:line="580" w:lineRule="exact"/>
        <w:ind w:firstLine="880" w:firstLineChars="20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五通桥区综合行政执法局2024年</w:t>
      </w:r>
    </w:p>
    <w:p w14:paraId="6CB57159">
      <w:pPr>
        <w:keepNext w:val="0"/>
        <w:keepLines w:val="0"/>
        <w:pageBreakBefore w:val="0"/>
        <w:kinsoku/>
        <w:wordWrap/>
        <w:overflowPunct/>
        <w:topLinePunct w:val="0"/>
        <w:autoSpaceDE/>
        <w:autoSpaceDN/>
        <w:bidi w:val="0"/>
        <w:adjustRightInd/>
        <w:snapToGrid/>
        <w:spacing w:line="580" w:lineRule="exact"/>
        <w:ind w:firstLine="880" w:firstLineChars="20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区级部门整体绩效自评报告</w:t>
      </w:r>
    </w:p>
    <w:p w14:paraId="339BA254">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黑体" w:hAnsi="黑体" w:eastAsia="黑体" w:cs="黑体"/>
          <w:sz w:val="32"/>
          <w:szCs w:val="32"/>
        </w:rPr>
      </w:pPr>
    </w:p>
    <w:p w14:paraId="21F77EEE">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一、部门基本情况</w:t>
      </w:r>
    </w:p>
    <w:p w14:paraId="5191B9AF">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（一）机构组成：</w:t>
      </w:r>
    </w:p>
    <w:p w14:paraId="635E819F">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五通桥区综合行政执法局是执行政府会计制度的行政单位，下属参照公务员法管理的事业单位1个。下属二级预算单位0个。</w:t>
      </w:r>
    </w:p>
    <w:p w14:paraId="0E8F4742">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机构职能和人员概况。</w:t>
      </w:r>
    </w:p>
    <w:p w14:paraId="2A5703EF">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1、基本职能 </w:t>
      </w:r>
    </w:p>
    <w:p w14:paraId="42F43BE8">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区综合行政执法局负责集中行使除公安、税务、农业农村、应急管理、保密部门和生态环境部分领域以外的本级行政部门的行政处罚权和相应的行政检查权、行政强制权。行使发展和改革、经济和信息化、教育管理、民政管理、司法、财政、人力资源和社会保障、住房和城乡建设、城市管理、交通运输、水务、文化体育和旅游、卫生健康、退役军人事务、审计、市场监督管理、统计、医疗保障、商务和经济合作、残疾人权益保护、民族宗教、网信、档案、自然资源等领域所有的行政处罚权和相应的行政检查权、行政强制权。          </w:t>
      </w:r>
    </w:p>
    <w:p w14:paraId="07D7EC94">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2、人员概况：</w:t>
      </w:r>
    </w:p>
    <w:p w14:paraId="44405141">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我局人员编制数为110人，其中行政编制数为12人，行政工勤1名，参公事业编制数是97人。2024年末实有人数89人，其中行政在职人员20人，参公事业人员68人，行政工勤1人。</w:t>
      </w:r>
    </w:p>
    <w:p w14:paraId="33E28E37">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三</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年度主要工作任务：</w:t>
      </w:r>
    </w:p>
    <w:p w14:paraId="111B53F6">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强化理论武装。深入开展学习贯彻习近平新时代中国特色社会主义思想主题教育，推动主题教育走深走实，努力把学习成效转化为思想解放、能力提升、作风转变、工作落实的生动实践，推动全局整体主题教育取得实实在在的成效。</w:t>
      </w:r>
    </w:p>
    <w:p w14:paraId="19E97D9E">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二是加强队伍建设。开展形式多样的培训活动，增强执法人员业务能力，提高执法队伍综合素质。进一步增强执法队员文明执法、依法行政的意识，打造一支履职尽责、务实高效的城市管理和综合行政执法队伍。</w:t>
      </w:r>
    </w:p>
    <w:p w14:paraId="4FFEFB47">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狠抓作风建设。结合道路交通安全和运输执法领域突出问题专项整治工作，对全局执法人员进行廉洁自律教育，严厉杜绝借工作职务之便“吃拿卡要”等行为，严肃查处违法违纪等问题。全面贯彻以人民为中心的执法理念，做到执法有力度、执法有温度。要继续深化政务公开的范围和内容，不断增强执法工作的透明度。</w:t>
      </w:r>
    </w:p>
    <w:p w14:paraId="2EBEE741">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是加大执法力度。围绕区委区政府的决策部署，结合创卫复审和创文迎检工作，进一步解放思想、开动脑筋、加强学习，对城市管理违法行为“零容忍”，特别是对于群众反映强烈的道路扬尘、餐饮油烟、违章建筑等问题，要形成“处理一个、教育一批、警醒一片”的效应。</w:t>
      </w:r>
    </w:p>
    <w:p w14:paraId="14569EAC">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四</w:t>
      </w:r>
      <w:r>
        <w:rPr>
          <w:rFonts w:hint="eastAsia" w:ascii="楷体_GB2312" w:hAnsi="楷体_GB2312" w:eastAsia="楷体_GB2312" w:cs="楷体_GB2312"/>
          <w:sz w:val="32"/>
          <w:szCs w:val="32"/>
        </w:rPr>
        <w:t>）部门整体支出绩效目标：</w:t>
      </w:r>
    </w:p>
    <w:p w14:paraId="5E6274F5">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2024年综合行政执法局</w:t>
      </w:r>
      <w:r>
        <w:rPr>
          <w:rFonts w:hint="eastAsia" w:ascii="仿宋_GB2312" w:hAnsi="仿宋_GB2312" w:eastAsia="仿宋_GB2312" w:cs="仿宋_GB2312"/>
          <w:sz w:val="32"/>
          <w:szCs w:val="32"/>
          <w:lang w:eastAsia="zh-CN"/>
        </w:rPr>
        <w:t>年初</w:t>
      </w:r>
      <w:r>
        <w:rPr>
          <w:rFonts w:hint="eastAsia" w:ascii="仿宋_GB2312" w:hAnsi="仿宋_GB2312" w:eastAsia="仿宋_GB2312" w:cs="仿宋_GB2312"/>
          <w:sz w:val="32"/>
          <w:szCs w:val="32"/>
        </w:rPr>
        <w:t>计划使用财政资金1900.95万元，用于基本运转、综合执法工作、违章建筑拆除、路政超限检测站、点视频监控经费、 路政检测站设施维护等,通过以上项目的实施，为我单位行使除公安、税务、农业农村、应急管理、保密部门及生态环境部份领域以外本级行政部门的行政处罚权提供资金保障，为完成各领域执法工作任务提供资金保障。以达到稳步推进机构改革，不断提升执法效能，进一步完善综合执法治理体系，不断提升服务质量，增强群众满意度的目标。</w:t>
      </w:r>
    </w:p>
    <w:p w14:paraId="6BAB4CF2">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二、部门财政资金收支情况</w:t>
      </w:r>
    </w:p>
    <w:p w14:paraId="5D0C69D5">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（一）部门财政资金收入情况：</w:t>
      </w:r>
    </w:p>
    <w:p w14:paraId="152F590F">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本部门2024年财政资金拨款收入2,099.88万元，其中基本支出拨款收入2,026.85万元，项目支出拨款收入73.03万元。</w:t>
      </w:r>
    </w:p>
    <w:p w14:paraId="5E6B5A8E">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（二）部门财政资金支出情况：</w:t>
      </w:r>
    </w:p>
    <w:p w14:paraId="38800380">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1、按项目功能分类：文化旅游体育与传媒支出1.28万元；社会保障和就业支出252.66万元；卫生健康支出48.71万元；城乡社区支出1,686.09万元；交通运输支出1.36万元；住房保障支出109.78万元，具体如下表：</w:t>
      </w:r>
    </w:p>
    <w:tbl>
      <w:tblPr>
        <w:tblStyle w:val="17"/>
        <w:tblpPr w:leftFromText="180" w:rightFromText="180" w:vertAnchor="text" w:horzAnchor="page" w:tblpX="2275" w:tblpY="275"/>
        <w:tblOverlap w:val="never"/>
        <w:tblW w:w="72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50"/>
        <w:gridCol w:w="1395"/>
        <w:gridCol w:w="1320"/>
        <w:gridCol w:w="1305"/>
        <w:gridCol w:w="1560"/>
      </w:tblGrid>
      <w:tr w14:paraId="3358E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230" w:type="dxa"/>
            <w:gridSpan w:val="5"/>
            <w:tcBorders>
              <w:top w:val="nil"/>
              <w:left w:val="nil"/>
              <w:bottom w:val="nil"/>
              <w:right w:val="nil"/>
            </w:tcBorders>
            <w:shd w:val="clear" w:color="auto" w:fill="auto"/>
            <w:vAlign w:val="center"/>
          </w:tcPr>
          <w:p w14:paraId="6713E648">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预算支出执行情况表(一）</w:t>
            </w:r>
          </w:p>
        </w:tc>
      </w:tr>
      <w:tr w14:paraId="234BB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650" w:type="dxa"/>
            <w:tcBorders>
              <w:top w:val="nil"/>
              <w:left w:val="nil"/>
              <w:bottom w:val="nil"/>
              <w:right w:val="nil"/>
            </w:tcBorders>
            <w:shd w:val="clear" w:color="auto" w:fill="auto"/>
            <w:vAlign w:val="center"/>
          </w:tcPr>
          <w:p w14:paraId="4BD1E3C3">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ascii="仿宋_GB2312" w:hAnsi="宋体" w:eastAsia="仿宋_GB2312" w:cs="仿宋_GB2312"/>
                <w:b/>
                <w:bCs/>
                <w:i w:val="0"/>
                <w:iCs w:val="0"/>
                <w:color w:val="000000"/>
                <w:sz w:val="22"/>
                <w:szCs w:val="22"/>
                <w:u w:val="none"/>
              </w:rPr>
            </w:pPr>
            <w:r>
              <w:rPr>
                <w:rFonts w:hint="default" w:ascii="仿宋_GB2312" w:hAnsi="宋体" w:eastAsia="仿宋_GB2312" w:cs="仿宋_GB2312"/>
                <w:b/>
                <w:bCs/>
                <w:i w:val="0"/>
                <w:iCs w:val="0"/>
                <w:color w:val="000000"/>
                <w:kern w:val="0"/>
                <w:sz w:val="22"/>
                <w:szCs w:val="22"/>
                <w:u w:val="none"/>
                <w:lang w:val="en-US" w:eastAsia="zh-CN" w:bidi="ar"/>
              </w:rPr>
              <w:t>单位：万元</w:t>
            </w:r>
          </w:p>
        </w:tc>
        <w:tc>
          <w:tcPr>
            <w:tcW w:w="1395" w:type="dxa"/>
            <w:tcBorders>
              <w:top w:val="nil"/>
              <w:left w:val="nil"/>
              <w:bottom w:val="nil"/>
              <w:right w:val="nil"/>
            </w:tcBorders>
            <w:shd w:val="clear" w:color="auto" w:fill="auto"/>
            <w:vAlign w:val="center"/>
          </w:tcPr>
          <w:p w14:paraId="4DD6BBF4">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2"/>
                <w:szCs w:val="22"/>
                <w:u w:val="none"/>
              </w:rPr>
            </w:pPr>
          </w:p>
        </w:tc>
        <w:tc>
          <w:tcPr>
            <w:tcW w:w="1320" w:type="dxa"/>
            <w:tcBorders>
              <w:top w:val="nil"/>
              <w:left w:val="nil"/>
              <w:bottom w:val="nil"/>
              <w:right w:val="nil"/>
            </w:tcBorders>
            <w:shd w:val="clear" w:color="auto" w:fill="auto"/>
            <w:noWrap/>
            <w:vAlign w:val="center"/>
          </w:tcPr>
          <w:p w14:paraId="5074ECB3">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2"/>
                <w:szCs w:val="22"/>
                <w:u w:val="none"/>
              </w:rPr>
            </w:pPr>
          </w:p>
        </w:tc>
        <w:tc>
          <w:tcPr>
            <w:tcW w:w="1305" w:type="dxa"/>
            <w:tcBorders>
              <w:top w:val="nil"/>
              <w:left w:val="nil"/>
              <w:bottom w:val="nil"/>
              <w:right w:val="nil"/>
            </w:tcBorders>
            <w:shd w:val="clear" w:color="auto" w:fill="auto"/>
            <w:noWrap/>
            <w:vAlign w:val="center"/>
          </w:tcPr>
          <w:p w14:paraId="7EEBB467">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2"/>
                <w:szCs w:val="22"/>
                <w:u w:val="none"/>
              </w:rPr>
            </w:pPr>
          </w:p>
        </w:tc>
        <w:tc>
          <w:tcPr>
            <w:tcW w:w="1560" w:type="dxa"/>
            <w:tcBorders>
              <w:top w:val="nil"/>
              <w:left w:val="nil"/>
              <w:bottom w:val="nil"/>
              <w:right w:val="nil"/>
            </w:tcBorders>
            <w:shd w:val="clear" w:color="auto" w:fill="auto"/>
            <w:noWrap/>
            <w:vAlign w:val="center"/>
          </w:tcPr>
          <w:p w14:paraId="04B66C87">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2"/>
                <w:szCs w:val="22"/>
                <w:u w:val="none"/>
              </w:rPr>
            </w:pPr>
          </w:p>
        </w:tc>
      </w:tr>
      <w:tr w14:paraId="15A15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B1888">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2"/>
                <w:szCs w:val="22"/>
                <w:u w:val="none"/>
              </w:rPr>
            </w:pPr>
            <w:r>
              <w:rPr>
                <w:rFonts w:hint="default" w:ascii="仿宋_GB2312" w:hAnsi="宋体" w:eastAsia="仿宋_GB2312" w:cs="仿宋_GB2312"/>
                <w:b/>
                <w:bCs/>
                <w:i w:val="0"/>
                <w:iCs w:val="0"/>
                <w:color w:val="000000"/>
                <w:kern w:val="0"/>
                <w:sz w:val="22"/>
                <w:szCs w:val="22"/>
                <w:u w:val="none"/>
                <w:lang w:val="en-US" w:eastAsia="zh-CN" w:bidi="ar"/>
              </w:rPr>
              <w:t>项目（按功能分类）</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4E6FA">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2"/>
                <w:szCs w:val="22"/>
                <w:u w:val="none"/>
              </w:rPr>
            </w:pPr>
            <w:r>
              <w:rPr>
                <w:rFonts w:hint="default" w:ascii="仿宋_GB2312" w:hAnsi="宋体" w:eastAsia="仿宋_GB2312" w:cs="仿宋_GB2312"/>
                <w:b/>
                <w:bCs/>
                <w:i w:val="0"/>
                <w:iCs w:val="0"/>
                <w:color w:val="000000"/>
                <w:kern w:val="0"/>
                <w:sz w:val="22"/>
                <w:szCs w:val="22"/>
                <w:u w:val="none"/>
                <w:lang w:val="en-US" w:eastAsia="zh-CN" w:bidi="ar"/>
              </w:rPr>
              <w:t>年初预算数</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CBCED">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2"/>
                <w:szCs w:val="22"/>
                <w:u w:val="none"/>
              </w:rPr>
            </w:pPr>
            <w:r>
              <w:rPr>
                <w:rFonts w:hint="default" w:ascii="仿宋_GB2312" w:hAnsi="宋体" w:eastAsia="仿宋_GB2312" w:cs="仿宋_GB2312"/>
                <w:b/>
                <w:bCs/>
                <w:i w:val="0"/>
                <w:iCs w:val="0"/>
                <w:color w:val="000000"/>
                <w:kern w:val="0"/>
                <w:sz w:val="22"/>
                <w:szCs w:val="22"/>
                <w:u w:val="none"/>
                <w:lang w:val="en-US" w:eastAsia="zh-CN" w:bidi="ar"/>
              </w:rPr>
              <w:t>全年预算数</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75BD3">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2"/>
                <w:szCs w:val="22"/>
                <w:u w:val="none"/>
              </w:rPr>
            </w:pPr>
            <w:r>
              <w:rPr>
                <w:rFonts w:hint="default" w:ascii="仿宋_GB2312" w:hAnsi="宋体" w:eastAsia="仿宋_GB2312" w:cs="仿宋_GB2312"/>
                <w:b/>
                <w:bCs/>
                <w:i w:val="0"/>
                <w:iCs w:val="0"/>
                <w:color w:val="000000"/>
                <w:kern w:val="0"/>
                <w:sz w:val="22"/>
                <w:szCs w:val="22"/>
                <w:u w:val="none"/>
                <w:lang w:val="en-US" w:eastAsia="zh-CN" w:bidi="ar"/>
              </w:rPr>
              <w:t>决算数</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3FFF6">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2"/>
                <w:szCs w:val="22"/>
                <w:u w:val="none"/>
              </w:rPr>
            </w:pPr>
            <w:r>
              <w:rPr>
                <w:rFonts w:hint="default" w:ascii="仿宋_GB2312" w:hAnsi="宋体" w:eastAsia="仿宋_GB2312" w:cs="仿宋_GB2312"/>
                <w:b/>
                <w:bCs/>
                <w:i w:val="0"/>
                <w:iCs w:val="0"/>
                <w:color w:val="000000"/>
                <w:kern w:val="0"/>
                <w:sz w:val="22"/>
                <w:szCs w:val="22"/>
                <w:u w:val="none"/>
                <w:lang w:val="en-US" w:eastAsia="zh-CN" w:bidi="ar"/>
              </w:rPr>
              <w:t>决算与全年预算差异</w:t>
            </w:r>
          </w:p>
        </w:tc>
      </w:tr>
      <w:tr w14:paraId="3758C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C7963">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文化旅游体育与传媒支出</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BD59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2"/>
                <w:szCs w:val="22"/>
                <w:u w:val="none"/>
              </w:rPr>
            </w:pPr>
            <w:r>
              <w:rPr>
                <w:rFonts w:hint="default" w:ascii="仿宋_GB2312" w:hAnsi="宋体" w:eastAsia="仿宋_GB2312" w:cs="仿宋_GB2312"/>
                <w:b/>
                <w:bCs/>
                <w:i w:val="0"/>
                <w:iCs w:val="0"/>
                <w:color w:val="000000"/>
                <w:kern w:val="0"/>
                <w:sz w:val="22"/>
                <w:szCs w:val="22"/>
                <w:u w:val="none"/>
                <w:lang w:val="en-US" w:eastAsia="zh-CN" w:bidi="ar"/>
              </w:rPr>
              <w:t>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03FB1">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1.28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9AE98">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1.28</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A5BF7">
            <w:pPr>
              <w:keepNext w:val="0"/>
              <w:keepLines w:val="0"/>
              <w:pageBreakBefore w:val="0"/>
              <w:kinsoku/>
              <w:wordWrap/>
              <w:overflowPunct/>
              <w:topLinePunct w:val="0"/>
              <w:autoSpaceDE/>
              <w:autoSpaceDN/>
              <w:bidi w:val="0"/>
              <w:adjustRightInd/>
              <w:snapToGrid/>
              <w:spacing w:line="580" w:lineRule="exact"/>
              <w:jc w:val="left"/>
              <w:rPr>
                <w:rFonts w:hint="default" w:ascii="仿宋_GB2312" w:hAnsi="宋体" w:eastAsia="仿宋_GB2312" w:cs="仿宋_GB2312"/>
                <w:b/>
                <w:bCs/>
                <w:i w:val="0"/>
                <w:iCs w:val="0"/>
                <w:color w:val="000000"/>
                <w:sz w:val="22"/>
                <w:szCs w:val="22"/>
                <w:u w:val="none"/>
              </w:rPr>
            </w:pPr>
          </w:p>
        </w:tc>
      </w:tr>
      <w:tr w14:paraId="11BF9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39EBC">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社会保障和就业支出</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1F2D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208.61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80A8A">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252.66</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CF168">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252.66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7B319">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0</w:t>
            </w:r>
          </w:p>
        </w:tc>
      </w:tr>
      <w:tr w14:paraId="1B94E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430CC">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卫生健康支出</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D8D83">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44.31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E1C46">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48.71</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13FF4">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48.71</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34C6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0</w:t>
            </w:r>
          </w:p>
        </w:tc>
      </w:tr>
      <w:tr w14:paraId="5831D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FEFB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城乡社区支出</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0EADB">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1,530.63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B3053">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1,713.92</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F63DA">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1,686.09</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B319C">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-27.83</w:t>
            </w:r>
          </w:p>
        </w:tc>
      </w:tr>
      <w:tr w14:paraId="587CA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9AE0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交通运输支出</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FD5C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16.24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9B978">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1.36</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413B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1.36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FB6DD">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0</w:t>
            </w:r>
          </w:p>
        </w:tc>
      </w:tr>
      <w:tr w14:paraId="36FAD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58F8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住房保障支出</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BFA7B">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2"/>
                <w:szCs w:val="22"/>
                <w:u w:val="none"/>
              </w:rPr>
            </w:pPr>
            <w:r>
              <w:rPr>
                <w:rFonts w:hint="default" w:ascii="仿宋_GB2312" w:hAnsi="宋体" w:eastAsia="仿宋_GB2312" w:cs="仿宋_GB2312"/>
                <w:b/>
                <w:bCs/>
                <w:i w:val="0"/>
                <w:iCs w:val="0"/>
                <w:color w:val="000000"/>
                <w:kern w:val="0"/>
                <w:sz w:val="22"/>
                <w:szCs w:val="22"/>
                <w:u w:val="none"/>
                <w:lang w:val="en-US" w:eastAsia="zh-CN" w:bidi="ar"/>
              </w:rPr>
              <w:t>101.16</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D241A">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2"/>
                <w:szCs w:val="22"/>
                <w:u w:val="none"/>
              </w:rPr>
            </w:pPr>
            <w:r>
              <w:rPr>
                <w:rFonts w:hint="default" w:ascii="仿宋_GB2312" w:hAnsi="宋体" w:eastAsia="仿宋_GB2312" w:cs="仿宋_GB2312"/>
                <w:b/>
                <w:bCs/>
                <w:i w:val="0"/>
                <w:iCs w:val="0"/>
                <w:color w:val="000000"/>
                <w:kern w:val="0"/>
                <w:sz w:val="22"/>
                <w:szCs w:val="22"/>
                <w:u w:val="none"/>
                <w:lang w:val="en-US" w:eastAsia="zh-CN" w:bidi="ar"/>
              </w:rPr>
              <w:t>109.78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FC031">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2"/>
                <w:szCs w:val="22"/>
                <w:u w:val="none"/>
              </w:rPr>
            </w:pPr>
            <w:r>
              <w:rPr>
                <w:rFonts w:hint="default" w:ascii="仿宋_GB2312" w:hAnsi="宋体" w:eastAsia="仿宋_GB2312" w:cs="仿宋_GB2312"/>
                <w:b/>
                <w:bCs/>
                <w:i w:val="0"/>
                <w:iCs w:val="0"/>
                <w:color w:val="000000"/>
                <w:kern w:val="0"/>
                <w:sz w:val="22"/>
                <w:szCs w:val="22"/>
                <w:u w:val="none"/>
                <w:lang w:val="en-US" w:eastAsia="zh-CN" w:bidi="ar"/>
              </w:rPr>
              <w:t>109.78</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B48B6">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0</w:t>
            </w:r>
          </w:p>
        </w:tc>
      </w:tr>
      <w:tr w14:paraId="2ED74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59B5D">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合计</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1391C">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2"/>
                <w:szCs w:val="22"/>
                <w:u w:val="none"/>
              </w:rPr>
            </w:pPr>
            <w:r>
              <w:rPr>
                <w:rFonts w:hint="default" w:ascii="仿宋_GB2312" w:hAnsi="宋体" w:eastAsia="仿宋_GB2312" w:cs="仿宋_GB2312"/>
                <w:b/>
                <w:bCs/>
                <w:i w:val="0"/>
                <w:iCs w:val="0"/>
                <w:color w:val="000000"/>
                <w:kern w:val="0"/>
                <w:sz w:val="22"/>
                <w:szCs w:val="22"/>
                <w:u w:val="none"/>
                <w:lang w:val="en-US" w:eastAsia="zh-CN" w:bidi="ar"/>
              </w:rPr>
              <w:t>1900.95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E495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2"/>
                <w:szCs w:val="22"/>
                <w:u w:val="none"/>
              </w:rPr>
            </w:pPr>
            <w:r>
              <w:rPr>
                <w:rFonts w:hint="default" w:ascii="仿宋_GB2312" w:hAnsi="宋体" w:eastAsia="仿宋_GB2312" w:cs="仿宋_GB2312"/>
                <w:b/>
                <w:bCs/>
                <w:i w:val="0"/>
                <w:iCs w:val="0"/>
                <w:color w:val="000000"/>
                <w:kern w:val="0"/>
                <w:sz w:val="22"/>
                <w:szCs w:val="22"/>
                <w:u w:val="none"/>
                <w:lang w:val="en-US" w:eastAsia="zh-CN" w:bidi="ar"/>
              </w:rPr>
              <w:t>2127.71</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A1411">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2"/>
                <w:szCs w:val="22"/>
                <w:u w:val="none"/>
              </w:rPr>
            </w:pPr>
            <w:r>
              <w:rPr>
                <w:rFonts w:hint="default" w:ascii="仿宋_GB2312" w:hAnsi="宋体" w:eastAsia="仿宋_GB2312" w:cs="仿宋_GB2312"/>
                <w:b/>
                <w:bCs/>
                <w:i w:val="0"/>
                <w:iCs w:val="0"/>
                <w:color w:val="000000"/>
                <w:kern w:val="0"/>
                <w:sz w:val="22"/>
                <w:szCs w:val="22"/>
                <w:u w:val="none"/>
                <w:lang w:val="en-US" w:eastAsia="zh-CN" w:bidi="ar"/>
              </w:rPr>
              <w:t>2099.88</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71B5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2"/>
                <w:szCs w:val="22"/>
                <w:u w:val="none"/>
              </w:rPr>
            </w:pPr>
            <w:r>
              <w:rPr>
                <w:rFonts w:hint="default" w:ascii="仿宋_GB2312" w:hAnsi="宋体" w:eastAsia="仿宋_GB2312" w:cs="仿宋_GB2312"/>
                <w:b/>
                <w:bCs/>
                <w:i w:val="0"/>
                <w:iCs w:val="0"/>
                <w:color w:val="000000"/>
                <w:kern w:val="0"/>
                <w:sz w:val="22"/>
                <w:szCs w:val="22"/>
                <w:u w:val="none"/>
                <w:lang w:val="en-US" w:eastAsia="zh-CN" w:bidi="ar"/>
              </w:rPr>
              <w:t>-27.83</w:t>
            </w:r>
          </w:p>
        </w:tc>
      </w:tr>
    </w:tbl>
    <w:p w14:paraId="1C6331E4">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p>
    <w:p w14:paraId="5D0803A2">
      <w:pPr>
        <w:pStyle w:val="2"/>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p>
    <w:p w14:paraId="45342904">
      <w:pPr>
        <w:pStyle w:val="4"/>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p>
    <w:p w14:paraId="0675BE58">
      <w:pPr>
        <w:pStyle w:val="4"/>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p>
    <w:p w14:paraId="323B10C8">
      <w:pPr>
        <w:pStyle w:val="4"/>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p>
    <w:p w14:paraId="53986945">
      <w:pPr>
        <w:pStyle w:val="4"/>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p>
    <w:p w14:paraId="5B7CEB85">
      <w:pPr>
        <w:pStyle w:val="4"/>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p>
    <w:p w14:paraId="356E61B4">
      <w:pPr>
        <w:pStyle w:val="4"/>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p>
    <w:p w14:paraId="38F5BB23">
      <w:pPr>
        <w:keepNext w:val="0"/>
        <w:keepLines w:val="0"/>
        <w:pageBreakBefore w:val="0"/>
        <w:kinsoku/>
        <w:wordWrap/>
        <w:overflowPunct/>
        <w:topLinePunct w:val="0"/>
        <w:autoSpaceDE/>
        <w:autoSpaceDN/>
        <w:bidi w:val="0"/>
        <w:adjustRightInd/>
        <w:snapToGrid/>
        <w:spacing w:line="580" w:lineRule="exact"/>
        <w:jc w:val="left"/>
        <w:rPr>
          <w:rFonts w:hint="eastAsia" w:ascii="仿宋_GB2312" w:hAnsi="仿宋_GB2312" w:eastAsia="仿宋_GB2312" w:cs="仿宋_GB2312"/>
          <w:sz w:val="32"/>
          <w:szCs w:val="32"/>
        </w:rPr>
      </w:pPr>
    </w:p>
    <w:p w14:paraId="528B958B">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p>
    <w:p w14:paraId="5103F106">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2、2024年资金支出情况按支出性质和经济分类:基本支出2026.85万元，其中人员经费1,821.42万元，公用经费205.43万元，项目支出73.03万元。具体如下表：</w:t>
      </w:r>
    </w:p>
    <w:tbl>
      <w:tblPr>
        <w:tblStyle w:val="17"/>
        <w:tblW w:w="72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50"/>
        <w:gridCol w:w="1395"/>
        <w:gridCol w:w="1320"/>
        <w:gridCol w:w="1305"/>
        <w:gridCol w:w="1560"/>
      </w:tblGrid>
      <w:tr w14:paraId="07FB2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7230" w:type="dxa"/>
            <w:gridSpan w:val="5"/>
            <w:tcBorders>
              <w:top w:val="nil"/>
              <w:left w:val="nil"/>
              <w:bottom w:val="nil"/>
              <w:right w:val="nil"/>
            </w:tcBorders>
            <w:shd w:val="clear" w:color="auto" w:fill="auto"/>
            <w:vAlign w:val="center"/>
          </w:tcPr>
          <w:p w14:paraId="1CCB3BC4">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预算支出执行情况表（二）</w:t>
            </w:r>
          </w:p>
        </w:tc>
      </w:tr>
      <w:tr w14:paraId="108E7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650" w:type="dxa"/>
            <w:tcBorders>
              <w:top w:val="nil"/>
              <w:left w:val="nil"/>
              <w:bottom w:val="nil"/>
              <w:right w:val="nil"/>
            </w:tcBorders>
            <w:shd w:val="clear" w:color="auto" w:fill="auto"/>
            <w:vAlign w:val="center"/>
          </w:tcPr>
          <w:p w14:paraId="5D68B871">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单位：万元</w:t>
            </w:r>
          </w:p>
        </w:tc>
        <w:tc>
          <w:tcPr>
            <w:tcW w:w="1395" w:type="dxa"/>
            <w:tcBorders>
              <w:top w:val="nil"/>
              <w:left w:val="nil"/>
              <w:bottom w:val="nil"/>
              <w:right w:val="nil"/>
            </w:tcBorders>
            <w:shd w:val="clear" w:color="auto" w:fill="auto"/>
            <w:vAlign w:val="center"/>
          </w:tcPr>
          <w:p w14:paraId="13FF921A">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14:paraId="1E594B54">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14:paraId="3EBB1965">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4"/>
                <w:szCs w:val="24"/>
                <w:u w:val="none"/>
              </w:rPr>
            </w:pPr>
          </w:p>
        </w:tc>
        <w:tc>
          <w:tcPr>
            <w:tcW w:w="0" w:type="auto"/>
            <w:tcBorders>
              <w:top w:val="nil"/>
              <w:left w:val="nil"/>
              <w:bottom w:val="nil"/>
              <w:right w:val="nil"/>
            </w:tcBorders>
            <w:shd w:val="clear" w:color="auto" w:fill="auto"/>
            <w:noWrap/>
            <w:vAlign w:val="center"/>
          </w:tcPr>
          <w:p w14:paraId="04F08F00">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4"/>
                <w:szCs w:val="24"/>
                <w:u w:val="none"/>
              </w:rPr>
            </w:pPr>
          </w:p>
        </w:tc>
      </w:tr>
      <w:tr w14:paraId="7767B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16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4CC42B">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项目（按支出性质和经济分类）</w:t>
            </w:r>
          </w:p>
        </w:tc>
        <w:tc>
          <w:tcPr>
            <w:tcW w:w="1395" w:type="dxa"/>
            <w:tcBorders>
              <w:top w:val="single" w:color="000000" w:sz="8" w:space="0"/>
              <w:left w:val="nil"/>
              <w:bottom w:val="single" w:color="000000" w:sz="8" w:space="0"/>
              <w:right w:val="single" w:color="000000" w:sz="8" w:space="0"/>
            </w:tcBorders>
            <w:shd w:val="clear" w:color="auto" w:fill="auto"/>
            <w:vAlign w:val="center"/>
          </w:tcPr>
          <w:p w14:paraId="403BF328">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年初预算数</w:t>
            </w:r>
          </w:p>
        </w:tc>
        <w:tc>
          <w:tcPr>
            <w:tcW w:w="1320" w:type="dxa"/>
            <w:tcBorders>
              <w:top w:val="single" w:color="000000" w:sz="8" w:space="0"/>
              <w:left w:val="nil"/>
              <w:bottom w:val="single" w:color="000000" w:sz="8" w:space="0"/>
              <w:right w:val="single" w:color="000000" w:sz="8" w:space="0"/>
            </w:tcBorders>
            <w:shd w:val="clear" w:color="auto" w:fill="auto"/>
            <w:vAlign w:val="center"/>
          </w:tcPr>
          <w:p w14:paraId="4C51DF12">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全年预算数</w:t>
            </w:r>
          </w:p>
        </w:tc>
        <w:tc>
          <w:tcPr>
            <w:tcW w:w="1305" w:type="dxa"/>
            <w:tcBorders>
              <w:top w:val="single" w:color="000000" w:sz="8" w:space="0"/>
              <w:left w:val="nil"/>
              <w:bottom w:val="single" w:color="000000" w:sz="8" w:space="0"/>
              <w:right w:val="single" w:color="000000" w:sz="8" w:space="0"/>
            </w:tcBorders>
            <w:shd w:val="clear" w:color="auto" w:fill="auto"/>
            <w:vAlign w:val="center"/>
          </w:tcPr>
          <w:p w14:paraId="5270B1A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决算数</w:t>
            </w:r>
          </w:p>
        </w:tc>
        <w:tc>
          <w:tcPr>
            <w:tcW w:w="1560" w:type="dxa"/>
            <w:tcBorders>
              <w:top w:val="single" w:color="000000" w:sz="8" w:space="0"/>
              <w:left w:val="nil"/>
              <w:bottom w:val="single" w:color="000000" w:sz="8" w:space="0"/>
              <w:right w:val="single" w:color="000000" w:sz="8" w:space="0"/>
            </w:tcBorders>
            <w:shd w:val="clear" w:color="auto" w:fill="auto"/>
            <w:vAlign w:val="center"/>
          </w:tcPr>
          <w:p w14:paraId="5560F4D4">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决算与全年预算差异</w:t>
            </w:r>
          </w:p>
        </w:tc>
      </w:tr>
      <w:tr w14:paraId="0E1A0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1650" w:type="dxa"/>
            <w:tcBorders>
              <w:top w:val="nil"/>
              <w:left w:val="single" w:color="000000" w:sz="8" w:space="0"/>
              <w:bottom w:val="single" w:color="000000" w:sz="8" w:space="0"/>
              <w:right w:val="single" w:color="000000" w:sz="8" w:space="0"/>
            </w:tcBorders>
            <w:shd w:val="clear" w:color="auto" w:fill="auto"/>
            <w:vAlign w:val="center"/>
          </w:tcPr>
          <w:p w14:paraId="3CCF08BD">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一、基本支出</w:t>
            </w:r>
          </w:p>
        </w:tc>
        <w:tc>
          <w:tcPr>
            <w:tcW w:w="1395" w:type="dxa"/>
            <w:tcBorders>
              <w:top w:val="nil"/>
              <w:left w:val="nil"/>
              <w:bottom w:val="single" w:color="000000" w:sz="12" w:space="0"/>
              <w:right w:val="single" w:color="000000" w:sz="12" w:space="0"/>
            </w:tcBorders>
            <w:shd w:val="clear" w:color="auto" w:fill="auto"/>
            <w:vAlign w:val="center"/>
          </w:tcPr>
          <w:p w14:paraId="6A4B84FC">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1,821.71</w:t>
            </w:r>
          </w:p>
        </w:tc>
        <w:tc>
          <w:tcPr>
            <w:tcW w:w="1320" w:type="dxa"/>
            <w:tcBorders>
              <w:top w:val="nil"/>
              <w:left w:val="nil"/>
              <w:bottom w:val="single" w:color="000000" w:sz="12" w:space="0"/>
              <w:right w:val="single" w:color="000000" w:sz="12" w:space="0"/>
            </w:tcBorders>
            <w:shd w:val="clear" w:color="auto" w:fill="auto"/>
            <w:vAlign w:val="center"/>
          </w:tcPr>
          <w:p w14:paraId="7A4DB64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2,026.85</w:t>
            </w:r>
          </w:p>
        </w:tc>
        <w:tc>
          <w:tcPr>
            <w:tcW w:w="1305" w:type="dxa"/>
            <w:tcBorders>
              <w:top w:val="nil"/>
              <w:left w:val="nil"/>
              <w:bottom w:val="single" w:color="000000" w:sz="12" w:space="0"/>
              <w:right w:val="single" w:color="000000" w:sz="12" w:space="0"/>
            </w:tcBorders>
            <w:shd w:val="clear" w:color="auto" w:fill="auto"/>
            <w:vAlign w:val="center"/>
          </w:tcPr>
          <w:p w14:paraId="375A151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2,026.85</w:t>
            </w:r>
          </w:p>
        </w:tc>
        <w:tc>
          <w:tcPr>
            <w:tcW w:w="1560" w:type="dxa"/>
            <w:tcBorders>
              <w:top w:val="nil"/>
              <w:left w:val="nil"/>
              <w:bottom w:val="single" w:color="000000" w:sz="8" w:space="0"/>
              <w:right w:val="single" w:color="000000" w:sz="8" w:space="0"/>
            </w:tcBorders>
            <w:shd w:val="clear" w:color="auto" w:fill="auto"/>
            <w:vAlign w:val="center"/>
          </w:tcPr>
          <w:p w14:paraId="7C28225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0</w:t>
            </w:r>
          </w:p>
        </w:tc>
      </w:tr>
      <w:tr w14:paraId="674BA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1650" w:type="dxa"/>
            <w:tcBorders>
              <w:top w:val="nil"/>
              <w:left w:val="single" w:color="000000" w:sz="8" w:space="0"/>
              <w:bottom w:val="single" w:color="000000" w:sz="8" w:space="0"/>
              <w:right w:val="single" w:color="000000" w:sz="8" w:space="0"/>
            </w:tcBorders>
            <w:shd w:val="clear" w:color="auto" w:fill="auto"/>
            <w:vAlign w:val="center"/>
          </w:tcPr>
          <w:p w14:paraId="51D42A16">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人员经费</w:t>
            </w:r>
          </w:p>
        </w:tc>
        <w:tc>
          <w:tcPr>
            <w:tcW w:w="1395" w:type="dxa"/>
            <w:tcBorders>
              <w:top w:val="nil"/>
              <w:left w:val="nil"/>
              <w:bottom w:val="single" w:color="000000" w:sz="12" w:space="0"/>
              <w:right w:val="single" w:color="000000" w:sz="12" w:space="0"/>
            </w:tcBorders>
            <w:shd w:val="clear" w:color="auto" w:fill="auto"/>
            <w:vAlign w:val="center"/>
          </w:tcPr>
          <w:p w14:paraId="4C05D509">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1,636.11</w:t>
            </w:r>
          </w:p>
        </w:tc>
        <w:tc>
          <w:tcPr>
            <w:tcW w:w="1320" w:type="dxa"/>
            <w:tcBorders>
              <w:top w:val="nil"/>
              <w:left w:val="nil"/>
              <w:bottom w:val="single" w:color="000000" w:sz="12" w:space="0"/>
              <w:right w:val="single" w:color="000000" w:sz="12" w:space="0"/>
            </w:tcBorders>
            <w:shd w:val="clear" w:color="auto" w:fill="auto"/>
            <w:vAlign w:val="center"/>
          </w:tcPr>
          <w:p w14:paraId="7A51FFB8">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1,821.42</w:t>
            </w:r>
          </w:p>
        </w:tc>
        <w:tc>
          <w:tcPr>
            <w:tcW w:w="1305" w:type="dxa"/>
            <w:tcBorders>
              <w:top w:val="nil"/>
              <w:left w:val="nil"/>
              <w:bottom w:val="single" w:color="000000" w:sz="12" w:space="0"/>
              <w:right w:val="single" w:color="000000" w:sz="12" w:space="0"/>
            </w:tcBorders>
            <w:shd w:val="clear" w:color="auto" w:fill="auto"/>
            <w:vAlign w:val="center"/>
          </w:tcPr>
          <w:p w14:paraId="5BF62FD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1,821.42</w:t>
            </w:r>
          </w:p>
        </w:tc>
        <w:tc>
          <w:tcPr>
            <w:tcW w:w="1560" w:type="dxa"/>
            <w:tcBorders>
              <w:top w:val="nil"/>
              <w:left w:val="nil"/>
              <w:bottom w:val="single" w:color="000000" w:sz="8" w:space="0"/>
              <w:right w:val="single" w:color="000000" w:sz="8" w:space="0"/>
            </w:tcBorders>
            <w:shd w:val="clear" w:color="auto" w:fill="auto"/>
            <w:vAlign w:val="center"/>
          </w:tcPr>
          <w:p w14:paraId="38DC7D53">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0</w:t>
            </w:r>
          </w:p>
        </w:tc>
      </w:tr>
      <w:tr w14:paraId="29A0A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1650" w:type="dxa"/>
            <w:tcBorders>
              <w:top w:val="nil"/>
              <w:left w:val="single" w:color="000000" w:sz="8" w:space="0"/>
              <w:bottom w:val="single" w:color="000000" w:sz="8" w:space="0"/>
              <w:right w:val="single" w:color="000000" w:sz="8" w:space="0"/>
            </w:tcBorders>
            <w:shd w:val="clear" w:color="auto" w:fill="auto"/>
            <w:vAlign w:val="center"/>
          </w:tcPr>
          <w:p w14:paraId="41A2944B">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公用经费</w:t>
            </w:r>
          </w:p>
        </w:tc>
        <w:tc>
          <w:tcPr>
            <w:tcW w:w="1395" w:type="dxa"/>
            <w:tcBorders>
              <w:top w:val="nil"/>
              <w:left w:val="nil"/>
              <w:bottom w:val="single" w:color="000000" w:sz="12" w:space="0"/>
              <w:right w:val="single" w:color="000000" w:sz="12" w:space="0"/>
            </w:tcBorders>
            <w:shd w:val="clear" w:color="auto" w:fill="auto"/>
            <w:vAlign w:val="center"/>
          </w:tcPr>
          <w:p w14:paraId="3B626D26">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185.6</w:t>
            </w:r>
          </w:p>
        </w:tc>
        <w:tc>
          <w:tcPr>
            <w:tcW w:w="1320" w:type="dxa"/>
            <w:tcBorders>
              <w:top w:val="nil"/>
              <w:left w:val="nil"/>
              <w:bottom w:val="single" w:color="000000" w:sz="12" w:space="0"/>
              <w:right w:val="single" w:color="000000" w:sz="12" w:space="0"/>
            </w:tcBorders>
            <w:shd w:val="clear" w:color="auto" w:fill="auto"/>
            <w:vAlign w:val="center"/>
          </w:tcPr>
          <w:p w14:paraId="6FF443AD">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205.43</w:t>
            </w:r>
          </w:p>
        </w:tc>
        <w:tc>
          <w:tcPr>
            <w:tcW w:w="1305" w:type="dxa"/>
            <w:tcBorders>
              <w:top w:val="nil"/>
              <w:left w:val="nil"/>
              <w:bottom w:val="single" w:color="000000" w:sz="12" w:space="0"/>
              <w:right w:val="single" w:color="000000" w:sz="12" w:space="0"/>
            </w:tcBorders>
            <w:shd w:val="clear" w:color="auto" w:fill="auto"/>
            <w:vAlign w:val="center"/>
          </w:tcPr>
          <w:p w14:paraId="63369B0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205.43</w:t>
            </w:r>
          </w:p>
        </w:tc>
        <w:tc>
          <w:tcPr>
            <w:tcW w:w="1560" w:type="dxa"/>
            <w:tcBorders>
              <w:top w:val="nil"/>
              <w:left w:val="nil"/>
              <w:bottom w:val="single" w:color="000000" w:sz="8" w:space="0"/>
              <w:right w:val="single" w:color="000000" w:sz="8" w:space="0"/>
            </w:tcBorders>
            <w:shd w:val="clear" w:color="auto" w:fill="auto"/>
            <w:vAlign w:val="center"/>
          </w:tcPr>
          <w:p w14:paraId="0FCBE1BA">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0</w:t>
            </w:r>
          </w:p>
        </w:tc>
      </w:tr>
      <w:tr w14:paraId="35A05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1650" w:type="dxa"/>
            <w:tcBorders>
              <w:top w:val="nil"/>
              <w:left w:val="single" w:color="000000" w:sz="8" w:space="0"/>
              <w:bottom w:val="single" w:color="000000" w:sz="8" w:space="0"/>
              <w:right w:val="single" w:color="000000" w:sz="8" w:space="0"/>
            </w:tcBorders>
            <w:shd w:val="clear" w:color="auto" w:fill="auto"/>
            <w:vAlign w:val="center"/>
          </w:tcPr>
          <w:p w14:paraId="6F963614">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二、项目支出</w:t>
            </w:r>
          </w:p>
        </w:tc>
        <w:tc>
          <w:tcPr>
            <w:tcW w:w="1395" w:type="dxa"/>
            <w:tcBorders>
              <w:top w:val="nil"/>
              <w:left w:val="nil"/>
              <w:bottom w:val="single" w:color="000000" w:sz="12" w:space="0"/>
              <w:right w:val="single" w:color="000000" w:sz="12" w:space="0"/>
            </w:tcBorders>
            <w:shd w:val="clear" w:color="auto" w:fill="auto"/>
            <w:vAlign w:val="center"/>
          </w:tcPr>
          <w:p w14:paraId="11E8188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79.24</w:t>
            </w:r>
          </w:p>
        </w:tc>
        <w:tc>
          <w:tcPr>
            <w:tcW w:w="1320" w:type="dxa"/>
            <w:tcBorders>
              <w:top w:val="nil"/>
              <w:left w:val="nil"/>
              <w:bottom w:val="single" w:color="000000" w:sz="12" w:space="0"/>
              <w:right w:val="single" w:color="000000" w:sz="12" w:space="0"/>
            </w:tcBorders>
            <w:shd w:val="clear" w:color="auto" w:fill="auto"/>
            <w:vAlign w:val="center"/>
          </w:tcPr>
          <w:p w14:paraId="5D386C6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100.86</w:t>
            </w:r>
          </w:p>
        </w:tc>
        <w:tc>
          <w:tcPr>
            <w:tcW w:w="1305" w:type="dxa"/>
            <w:tcBorders>
              <w:top w:val="nil"/>
              <w:left w:val="nil"/>
              <w:bottom w:val="single" w:color="000000" w:sz="12" w:space="0"/>
              <w:right w:val="single" w:color="000000" w:sz="12" w:space="0"/>
            </w:tcBorders>
            <w:shd w:val="clear" w:color="auto" w:fill="auto"/>
            <w:vAlign w:val="center"/>
          </w:tcPr>
          <w:p w14:paraId="49CF5F53">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73.03</w:t>
            </w:r>
          </w:p>
        </w:tc>
        <w:tc>
          <w:tcPr>
            <w:tcW w:w="1560" w:type="dxa"/>
            <w:tcBorders>
              <w:top w:val="nil"/>
              <w:left w:val="nil"/>
              <w:bottom w:val="single" w:color="000000" w:sz="8" w:space="0"/>
              <w:right w:val="single" w:color="000000" w:sz="8" w:space="0"/>
            </w:tcBorders>
            <w:shd w:val="clear" w:color="auto" w:fill="auto"/>
            <w:vAlign w:val="center"/>
          </w:tcPr>
          <w:p w14:paraId="6DB2957D">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-27.83</w:t>
            </w:r>
          </w:p>
        </w:tc>
      </w:tr>
      <w:tr w14:paraId="2E426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1650" w:type="dxa"/>
            <w:tcBorders>
              <w:top w:val="nil"/>
              <w:left w:val="single" w:color="000000" w:sz="8" w:space="0"/>
              <w:bottom w:val="single" w:color="000000" w:sz="8" w:space="0"/>
              <w:right w:val="single" w:color="000000" w:sz="8" w:space="0"/>
            </w:tcBorders>
            <w:shd w:val="clear" w:color="auto" w:fill="auto"/>
            <w:vAlign w:val="center"/>
          </w:tcPr>
          <w:p w14:paraId="27B6536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合计</w:t>
            </w:r>
          </w:p>
        </w:tc>
        <w:tc>
          <w:tcPr>
            <w:tcW w:w="1395" w:type="dxa"/>
            <w:tcBorders>
              <w:top w:val="nil"/>
              <w:left w:val="nil"/>
              <w:bottom w:val="single" w:color="000000" w:sz="12" w:space="0"/>
              <w:right w:val="single" w:color="000000" w:sz="12" w:space="0"/>
            </w:tcBorders>
            <w:shd w:val="clear" w:color="auto" w:fill="auto"/>
            <w:vAlign w:val="center"/>
          </w:tcPr>
          <w:p w14:paraId="2967AF36">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1900.95</w:t>
            </w:r>
          </w:p>
        </w:tc>
        <w:tc>
          <w:tcPr>
            <w:tcW w:w="1320" w:type="dxa"/>
            <w:tcBorders>
              <w:top w:val="nil"/>
              <w:left w:val="nil"/>
              <w:bottom w:val="single" w:color="000000" w:sz="12" w:space="0"/>
              <w:right w:val="single" w:color="000000" w:sz="12" w:space="0"/>
            </w:tcBorders>
            <w:shd w:val="clear" w:color="auto" w:fill="auto"/>
            <w:vAlign w:val="center"/>
          </w:tcPr>
          <w:p w14:paraId="5FDF869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2127.71</w:t>
            </w:r>
          </w:p>
        </w:tc>
        <w:tc>
          <w:tcPr>
            <w:tcW w:w="1305" w:type="dxa"/>
            <w:tcBorders>
              <w:top w:val="nil"/>
              <w:left w:val="nil"/>
              <w:bottom w:val="single" w:color="000000" w:sz="12" w:space="0"/>
              <w:right w:val="single" w:color="000000" w:sz="12" w:space="0"/>
            </w:tcBorders>
            <w:shd w:val="clear" w:color="auto" w:fill="auto"/>
            <w:vAlign w:val="center"/>
          </w:tcPr>
          <w:p w14:paraId="5150477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2099.88</w:t>
            </w:r>
          </w:p>
        </w:tc>
        <w:tc>
          <w:tcPr>
            <w:tcW w:w="1560" w:type="dxa"/>
            <w:tcBorders>
              <w:top w:val="nil"/>
              <w:left w:val="nil"/>
              <w:bottom w:val="single" w:color="000000" w:sz="8" w:space="0"/>
              <w:right w:val="single" w:color="000000" w:sz="8" w:space="0"/>
            </w:tcBorders>
            <w:shd w:val="clear" w:color="auto" w:fill="auto"/>
            <w:vAlign w:val="center"/>
          </w:tcPr>
          <w:p w14:paraId="60E18D99">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-27.83</w:t>
            </w:r>
          </w:p>
        </w:tc>
      </w:tr>
    </w:tbl>
    <w:p w14:paraId="30E526D6">
      <w:pPr>
        <w:keepNext w:val="0"/>
        <w:keepLines w:val="0"/>
        <w:pageBreakBefore w:val="0"/>
        <w:kinsoku/>
        <w:wordWrap/>
        <w:overflowPunct/>
        <w:topLinePunct w:val="0"/>
        <w:autoSpaceDE/>
        <w:autoSpaceDN/>
        <w:bidi w:val="0"/>
        <w:adjustRightInd/>
        <w:snapToGrid/>
        <w:spacing w:line="580" w:lineRule="exact"/>
        <w:jc w:val="left"/>
        <w:rPr>
          <w:rFonts w:hint="eastAsia" w:ascii="仿宋_GB2312" w:hAnsi="仿宋_GB2312" w:eastAsia="仿宋_GB2312" w:cs="仿宋_GB2312"/>
          <w:sz w:val="32"/>
          <w:szCs w:val="32"/>
        </w:rPr>
      </w:pPr>
    </w:p>
    <w:p w14:paraId="77F4444A">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3、2024年资金支出情况按经济分类支出：工资福利支出1,824.16万元、商品和服务支出238.52万元、对个人和家庭的补助37.20万元。    </w:t>
      </w:r>
    </w:p>
    <w:p w14:paraId="6D91422C">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（三）部门财政资金结转结余情况：</w:t>
      </w:r>
    </w:p>
    <w:p w14:paraId="3BFE1BBF">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决算报表反映，2024年年末结转和结余0.00万元，无历年财政资金结转结余。</w:t>
      </w:r>
    </w:p>
    <w:p w14:paraId="1B0939C5">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三、部门整体绩效管理情况：</w:t>
      </w:r>
    </w:p>
    <w:p w14:paraId="29944DAD">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（一）部门整体履职绩效分析。</w:t>
      </w:r>
    </w:p>
    <w:p w14:paraId="4B1AD41A">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1.整体绩效目标完成情况。</w:t>
      </w:r>
    </w:p>
    <w:p w14:paraId="03E3DAF7">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根据本单位的部门整体支出绩效目标申报表，本单位2024年申报了绩效目标的项目共9个，后调整预算为7个项目。从数量指标设置情况来看该项目全面完成。</w:t>
      </w:r>
    </w:p>
    <w:p w14:paraId="66A01B5E">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2.部门履职情况。</w:t>
      </w:r>
    </w:p>
    <w:p w14:paraId="362F305A">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深化改革，执法工作更加规范。将区自然资源局自然资源综合行政执法大队及我局原有的5支行政执法大队职能集中归并，规范设置为2支执法队伍，优化重组机构，不断提升执法水平。梳理编制26个领域3200余项行政执法事项目录，擦亮“执法为民”服务招牌。</w:t>
      </w:r>
    </w:p>
    <w:p w14:paraId="39AA3CF9">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依法有为，城市环境更加有序。一是打造有序的市容环境。发布《关于对中心城区街道实行分类管理的通告》，制作《五通桥中心城区城市道路管理标准示意图》，联合公安、交警、竹根镇等部门，签订“门前五包责任书”1300余份，圆满完成五通桥区二十一届龙舟文化节保障工作。二是依法查处违法行为。扎实开展2024年“春雷行动”和民生领域案件查办“铁拳”行动，查办违法案件125件，结案108件，移送司法机关2件。系统录入率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三是扎实做好“两违”整治。</w:t>
      </w:r>
    </w:p>
    <w:p w14:paraId="11C330D7">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（二）特定目标类项目绩效分析：</w:t>
      </w:r>
    </w:p>
    <w:p w14:paraId="2C602543">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1.整体情况</w:t>
      </w:r>
    </w:p>
    <w:p w14:paraId="592642DA">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绩效目标制定方面，2024年，我局根据三定方案制定了本单位的绩效目标任务，按要求填报了部门整体支出绩效目标以及项目支出绩效目标。认真开展部门内部绩效目标审核工作，各项目绩效目标的产出指标、效益指标、成本指标及满意度指标三大要素完整。</w:t>
      </w:r>
    </w:p>
    <w:p w14:paraId="6F95025F">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（2）在目标实现方面，2024年度部门预算整体支出绩效目标及预算项目绩效目标实际实现程度良好。</w:t>
      </w:r>
    </w:p>
    <w:tbl>
      <w:tblPr>
        <w:tblStyle w:val="18"/>
        <w:tblW w:w="9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1575"/>
        <w:gridCol w:w="2887"/>
        <w:gridCol w:w="1425"/>
        <w:gridCol w:w="2685"/>
      </w:tblGrid>
      <w:tr w14:paraId="009D6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1138" w:type="dxa"/>
            <w:vAlign w:val="center"/>
          </w:tcPr>
          <w:p w14:paraId="179CF0D8">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b/>
                <w:kern w:val="0"/>
                <w:sz w:val="15"/>
                <w:szCs w:val="32"/>
                <w:highlight w:val="none"/>
              </w:rPr>
            </w:pPr>
            <w:r>
              <w:rPr>
                <w:rFonts w:ascii="仿宋" w:hAnsi="仿宋" w:eastAsia="仿宋" w:cs="仿宋_GB2312"/>
                <w:b/>
                <w:kern w:val="0"/>
                <w:sz w:val="15"/>
                <w:szCs w:val="32"/>
                <w:highlight w:val="none"/>
              </w:rPr>
              <w:t>一级指标</w:t>
            </w:r>
          </w:p>
        </w:tc>
        <w:tc>
          <w:tcPr>
            <w:tcW w:w="1575" w:type="dxa"/>
            <w:vAlign w:val="center"/>
          </w:tcPr>
          <w:p w14:paraId="183D3E8A">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b/>
                <w:kern w:val="0"/>
                <w:sz w:val="15"/>
                <w:szCs w:val="32"/>
                <w:highlight w:val="none"/>
              </w:rPr>
            </w:pPr>
            <w:r>
              <w:rPr>
                <w:rFonts w:ascii="仿宋" w:hAnsi="仿宋" w:eastAsia="仿宋" w:cs="仿宋_GB2312"/>
                <w:b/>
                <w:kern w:val="0"/>
                <w:sz w:val="15"/>
                <w:szCs w:val="32"/>
                <w:highlight w:val="none"/>
              </w:rPr>
              <w:t>二级指标</w:t>
            </w:r>
          </w:p>
        </w:tc>
        <w:tc>
          <w:tcPr>
            <w:tcW w:w="2887" w:type="dxa"/>
            <w:vAlign w:val="center"/>
          </w:tcPr>
          <w:p w14:paraId="013FFDC7">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b/>
                <w:kern w:val="0"/>
                <w:sz w:val="15"/>
                <w:szCs w:val="32"/>
                <w:highlight w:val="none"/>
              </w:rPr>
            </w:pPr>
            <w:r>
              <w:rPr>
                <w:rFonts w:ascii="仿宋" w:hAnsi="仿宋" w:eastAsia="仿宋" w:cs="仿宋_GB2312"/>
                <w:b/>
                <w:kern w:val="0"/>
                <w:sz w:val="15"/>
                <w:szCs w:val="32"/>
                <w:highlight w:val="none"/>
              </w:rPr>
              <w:t>三级指标</w:t>
            </w:r>
          </w:p>
        </w:tc>
        <w:tc>
          <w:tcPr>
            <w:tcW w:w="1425" w:type="dxa"/>
            <w:vAlign w:val="center"/>
          </w:tcPr>
          <w:p w14:paraId="73882FFB">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b/>
                <w:kern w:val="0"/>
                <w:sz w:val="15"/>
                <w:szCs w:val="32"/>
                <w:highlight w:val="none"/>
              </w:rPr>
            </w:pPr>
            <w:r>
              <w:rPr>
                <w:rFonts w:hint="eastAsia" w:ascii="仿宋" w:hAnsi="仿宋" w:eastAsia="仿宋" w:cs="仿宋_GB2312"/>
                <w:b/>
                <w:kern w:val="0"/>
                <w:sz w:val="15"/>
                <w:szCs w:val="32"/>
                <w:highlight w:val="none"/>
              </w:rPr>
              <w:t>预期指标值</w:t>
            </w:r>
          </w:p>
          <w:p w14:paraId="718652E4">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b/>
                <w:kern w:val="0"/>
                <w:sz w:val="15"/>
                <w:szCs w:val="32"/>
                <w:highlight w:val="none"/>
              </w:rPr>
            </w:pPr>
            <w:r>
              <w:rPr>
                <w:rFonts w:ascii="仿宋" w:hAnsi="仿宋" w:eastAsia="仿宋" w:cs="仿宋_GB2312"/>
                <w:b/>
                <w:kern w:val="0"/>
                <w:sz w:val="15"/>
                <w:szCs w:val="32"/>
                <w:highlight w:val="none"/>
              </w:rPr>
              <w:t>(包含数字及文字描述)</w:t>
            </w:r>
          </w:p>
        </w:tc>
        <w:tc>
          <w:tcPr>
            <w:tcW w:w="2685" w:type="dxa"/>
            <w:vAlign w:val="center"/>
          </w:tcPr>
          <w:p w14:paraId="665CECD5">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b/>
                <w:kern w:val="0"/>
                <w:sz w:val="15"/>
                <w:szCs w:val="32"/>
                <w:highlight w:val="none"/>
              </w:rPr>
            </w:pPr>
            <w:r>
              <w:rPr>
                <w:rFonts w:hint="eastAsia" w:ascii="仿宋" w:hAnsi="仿宋" w:eastAsia="仿宋" w:cs="仿宋_GB2312"/>
                <w:b/>
                <w:kern w:val="0"/>
                <w:sz w:val="15"/>
                <w:szCs w:val="32"/>
                <w:highlight w:val="none"/>
              </w:rPr>
              <w:t>实际完成指标值</w:t>
            </w:r>
          </w:p>
        </w:tc>
      </w:tr>
      <w:tr w14:paraId="0A9E1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138" w:type="dxa"/>
            <w:vMerge w:val="restart"/>
            <w:vAlign w:val="center"/>
          </w:tcPr>
          <w:p w14:paraId="261D001B">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r>
              <w:rPr>
                <w:rFonts w:hint="eastAsia" w:ascii="仿宋" w:hAnsi="仿宋" w:eastAsia="仿宋" w:cs="仿宋_GB2312"/>
                <w:sz w:val="18"/>
                <w:szCs w:val="32"/>
                <w:highlight w:val="none"/>
              </w:rPr>
              <w:t>完成指标</w:t>
            </w:r>
          </w:p>
        </w:tc>
        <w:tc>
          <w:tcPr>
            <w:tcW w:w="1575" w:type="dxa"/>
            <w:vMerge w:val="restart"/>
            <w:vAlign w:val="center"/>
          </w:tcPr>
          <w:p w14:paraId="6F729988">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r>
              <w:rPr>
                <w:rFonts w:hint="eastAsia" w:ascii="仿宋" w:hAnsi="仿宋" w:eastAsia="仿宋" w:cs="仿宋_GB2312"/>
                <w:sz w:val="18"/>
                <w:szCs w:val="32"/>
                <w:highlight w:val="none"/>
              </w:rPr>
              <w:t>数量指标</w:t>
            </w:r>
          </w:p>
        </w:tc>
        <w:tc>
          <w:tcPr>
            <w:tcW w:w="2887" w:type="dxa"/>
            <w:vAlign w:val="center"/>
          </w:tcPr>
          <w:p w14:paraId="27DADA6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sz w:val="21"/>
                <w:szCs w:val="21"/>
                <w:highlight w:val="yellow"/>
              </w:rPr>
            </w:pPr>
            <w:r>
              <w:rPr>
                <w:rFonts w:ascii="宋体" w:hAnsi="宋体" w:eastAsia="宋体" w:cs="宋体"/>
                <w:i w:val="0"/>
                <w:iCs w:val="0"/>
                <w:color w:val="000000"/>
                <w:kern w:val="0"/>
                <w:sz w:val="18"/>
                <w:szCs w:val="18"/>
                <w:u w:val="none"/>
                <w:lang w:val="en-US" w:eastAsia="zh-CN" w:bidi="ar"/>
              </w:rPr>
              <w:t>全年用电数量</w:t>
            </w:r>
          </w:p>
        </w:tc>
        <w:tc>
          <w:tcPr>
            <w:tcW w:w="1425" w:type="dxa"/>
            <w:vAlign w:val="center"/>
          </w:tcPr>
          <w:p w14:paraId="73B3E391">
            <w:pPr>
              <w:keepNext w:val="0"/>
              <w:keepLines w:val="0"/>
              <w:pageBreakBefore w:val="0"/>
              <w:widowControl/>
              <w:suppressLineNumbers w:val="0"/>
              <w:tabs>
                <w:tab w:val="left" w:pos="387"/>
              </w:tabs>
              <w:kinsoku/>
              <w:wordWrap/>
              <w:overflowPunct/>
              <w:topLinePunct w:val="0"/>
              <w:autoSpaceDE/>
              <w:autoSpaceDN/>
              <w:bidi w:val="0"/>
              <w:adjustRightInd/>
              <w:snapToGrid/>
              <w:spacing w:line="580" w:lineRule="exact"/>
              <w:jc w:val="left"/>
              <w:textAlignment w:val="center"/>
              <w:rPr>
                <w:rFonts w:hint="eastAsia" w:ascii="仿宋" w:hAnsi="仿宋" w:eastAsia="仿宋" w:cs="仿宋"/>
                <w:sz w:val="21"/>
                <w:szCs w:val="21"/>
                <w:highlight w:val="none"/>
              </w:rPr>
            </w:pPr>
            <w:r>
              <w:rPr>
                <w:rFonts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52000千瓦时</w:t>
            </w:r>
          </w:p>
        </w:tc>
        <w:tc>
          <w:tcPr>
            <w:tcW w:w="2685" w:type="dxa"/>
            <w:vAlign w:val="center"/>
          </w:tcPr>
          <w:p w14:paraId="5538A2AC">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
                <w:sz w:val="21"/>
                <w:szCs w:val="21"/>
                <w:highlight w:val="none"/>
                <w:lang w:val="en-US" w:eastAsia="zh-Hans"/>
              </w:rPr>
            </w:pPr>
            <w:r>
              <w:rPr>
                <w:rFonts w:hint="eastAsia" w:ascii="仿宋" w:hAnsi="仿宋" w:eastAsia="仿宋" w:cs="仿宋_GB2312"/>
                <w:sz w:val="18"/>
                <w:szCs w:val="32"/>
                <w:highlight w:val="none"/>
                <w:lang w:val="en-US" w:eastAsia="zh-Hans"/>
              </w:rPr>
              <w:t>完成</w:t>
            </w:r>
          </w:p>
        </w:tc>
      </w:tr>
      <w:tr w14:paraId="32AFF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8" w:type="dxa"/>
            <w:vMerge w:val="continue"/>
          </w:tcPr>
          <w:p w14:paraId="09FB1EA0">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tcPr>
          <w:p w14:paraId="23E76046">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2887" w:type="dxa"/>
            <w:vAlign w:val="center"/>
          </w:tcPr>
          <w:p w14:paraId="05523D8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highlight w:val="yellow"/>
                <w:u w:val="none"/>
                <w:lang w:val="en-US" w:eastAsia="zh-CN" w:bidi="ar"/>
              </w:rPr>
            </w:pPr>
            <w:r>
              <w:rPr>
                <w:rFonts w:ascii="宋体" w:hAnsi="宋体" w:eastAsia="宋体" w:cs="宋体"/>
                <w:i w:val="0"/>
                <w:iCs w:val="0"/>
                <w:color w:val="000000"/>
                <w:kern w:val="0"/>
                <w:sz w:val="18"/>
                <w:szCs w:val="18"/>
                <w:u w:val="none"/>
                <w:lang w:val="en-US" w:eastAsia="zh-CN" w:bidi="ar"/>
              </w:rPr>
              <w:t>全年用水数量</w:t>
            </w:r>
          </w:p>
        </w:tc>
        <w:tc>
          <w:tcPr>
            <w:tcW w:w="1425" w:type="dxa"/>
            <w:vAlign w:val="center"/>
          </w:tcPr>
          <w:p w14:paraId="6A8CEFB3">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650立方米</w:t>
            </w:r>
          </w:p>
        </w:tc>
        <w:tc>
          <w:tcPr>
            <w:tcW w:w="2685" w:type="dxa"/>
            <w:vAlign w:val="center"/>
          </w:tcPr>
          <w:p w14:paraId="2C31F0BF">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
                <w:sz w:val="21"/>
                <w:szCs w:val="21"/>
                <w:highlight w:val="none"/>
              </w:rPr>
            </w:pPr>
            <w:r>
              <w:rPr>
                <w:rFonts w:hint="eastAsia" w:ascii="仿宋" w:hAnsi="仿宋" w:eastAsia="仿宋" w:cs="仿宋_GB2312"/>
                <w:sz w:val="18"/>
                <w:szCs w:val="32"/>
                <w:highlight w:val="none"/>
                <w:lang w:val="en-US" w:eastAsia="zh-Hans"/>
              </w:rPr>
              <w:t>完成</w:t>
            </w:r>
          </w:p>
        </w:tc>
      </w:tr>
      <w:tr w14:paraId="45EB0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138" w:type="dxa"/>
            <w:vMerge w:val="continue"/>
          </w:tcPr>
          <w:p w14:paraId="0E0FB3A0">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tcPr>
          <w:p w14:paraId="569C027C">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2887" w:type="dxa"/>
            <w:vAlign w:val="center"/>
          </w:tcPr>
          <w:p w14:paraId="4C3CD64B">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highlight w:val="yellow"/>
                <w:u w:val="none"/>
                <w:lang w:val="en-US" w:eastAsia="zh-CN" w:bidi="ar"/>
              </w:rPr>
            </w:pPr>
            <w:r>
              <w:rPr>
                <w:rFonts w:ascii="宋体" w:hAnsi="宋体" w:eastAsia="宋体" w:cs="宋体"/>
                <w:i w:val="0"/>
                <w:iCs w:val="0"/>
                <w:color w:val="000000"/>
                <w:kern w:val="0"/>
                <w:sz w:val="18"/>
                <w:szCs w:val="18"/>
                <w:u w:val="none"/>
                <w:lang w:val="en-US" w:eastAsia="zh-CN" w:bidi="ar"/>
              </w:rPr>
              <w:t>通讯电话保障数量</w:t>
            </w:r>
          </w:p>
        </w:tc>
        <w:tc>
          <w:tcPr>
            <w:tcW w:w="1425" w:type="dxa"/>
            <w:vAlign w:val="center"/>
          </w:tcPr>
          <w:p w14:paraId="02FF1BA6">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2条</w:t>
            </w:r>
          </w:p>
        </w:tc>
        <w:tc>
          <w:tcPr>
            <w:tcW w:w="2685" w:type="dxa"/>
            <w:vAlign w:val="center"/>
          </w:tcPr>
          <w:p w14:paraId="1F9BAAE0">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
                <w:sz w:val="21"/>
                <w:szCs w:val="21"/>
                <w:highlight w:val="none"/>
              </w:rPr>
            </w:pPr>
            <w:r>
              <w:rPr>
                <w:rFonts w:hint="eastAsia" w:ascii="仿宋" w:hAnsi="仿宋" w:eastAsia="仿宋" w:cs="仿宋_GB2312"/>
                <w:sz w:val="18"/>
                <w:szCs w:val="32"/>
                <w:highlight w:val="none"/>
                <w:lang w:val="en-US" w:eastAsia="zh-Hans"/>
              </w:rPr>
              <w:t>完成</w:t>
            </w:r>
          </w:p>
        </w:tc>
      </w:tr>
      <w:tr w14:paraId="45547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138" w:type="dxa"/>
            <w:vMerge w:val="continue"/>
          </w:tcPr>
          <w:p w14:paraId="5EBBCC8F">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tcPr>
          <w:p w14:paraId="2BA0C8F2">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2887" w:type="dxa"/>
            <w:vAlign w:val="center"/>
          </w:tcPr>
          <w:p w14:paraId="61DE85C8">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highlight w:val="yellow"/>
                <w:u w:val="none"/>
                <w:lang w:val="en-US" w:eastAsia="zh-CN" w:bidi="ar"/>
              </w:rPr>
            </w:pPr>
            <w:r>
              <w:rPr>
                <w:rFonts w:hint="eastAsia" w:ascii="宋体" w:hAnsi="宋体" w:eastAsia="宋体" w:cs="宋体"/>
                <w:i w:val="0"/>
                <w:iCs w:val="0"/>
                <w:color w:val="000000"/>
                <w:kern w:val="0"/>
                <w:sz w:val="18"/>
                <w:szCs w:val="18"/>
                <w:u w:val="none"/>
                <w:lang w:val="en-US" w:eastAsia="zh-CN" w:bidi="ar"/>
              </w:rPr>
              <w:t>“小西湖”核心区临街面屋面整治面积</w:t>
            </w:r>
          </w:p>
        </w:tc>
        <w:tc>
          <w:tcPr>
            <w:tcW w:w="1425" w:type="dxa"/>
            <w:vAlign w:val="center"/>
          </w:tcPr>
          <w:p w14:paraId="4269184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18"/>
                <w:szCs w:val="18"/>
                <w:u w:val="none"/>
                <w:lang w:val="en-US" w:eastAsia="zh-CN" w:bidi="ar"/>
              </w:rPr>
              <w:t>≥5780平米</w:t>
            </w:r>
          </w:p>
        </w:tc>
        <w:tc>
          <w:tcPr>
            <w:tcW w:w="2685" w:type="dxa"/>
            <w:vAlign w:val="center"/>
          </w:tcPr>
          <w:p w14:paraId="1247DF7A">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77FD4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138" w:type="dxa"/>
            <w:vMerge w:val="continue"/>
          </w:tcPr>
          <w:p w14:paraId="34FB3BAE">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tcPr>
          <w:p w14:paraId="003D36F7">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2887" w:type="dxa"/>
            <w:vAlign w:val="center"/>
          </w:tcPr>
          <w:p w14:paraId="42336053">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办公设施零星维修维护次数</w:t>
            </w:r>
          </w:p>
        </w:tc>
        <w:tc>
          <w:tcPr>
            <w:tcW w:w="1425" w:type="dxa"/>
            <w:vAlign w:val="center"/>
          </w:tcPr>
          <w:p w14:paraId="227C9F69">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4次/年</w:t>
            </w:r>
          </w:p>
        </w:tc>
        <w:tc>
          <w:tcPr>
            <w:tcW w:w="2685" w:type="dxa"/>
            <w:vAlign w:val="center"/>
          </w:tcPr>
          <w:p w14:paraId="658BAE6A">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59DD9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138" w:type="dxa"/>
            <w:vMerge w:val="continue"/>
          </w:tcPr>
          <w:p w14:paraId="3218BC9C">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tcPr>
          <w:p w14:paraId="01EC223B">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2887" w:type="dxa"/>
            <w:vAlign w:val="center"/>
          </w:tcPr>
          <w:p w14:paraId="539D19F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购买办公用品批次</w:t>
            </w:r>
          </w:p>
        </w:tc>
        <w:tc>
          <w:tcPr>
            <w:tcW w:w="1425" w:type="dxa"/>
            <w:vAlign w:val="center"/>
          </w:tcPr>
          <w:p w14:paraId="4FBBF95A">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4次/年</w:t>
            </w:r>
          </w:p>
        </w:tc>
        <w:tc>
          <w:tcPr>
            <w:tcW w:w="2685" w:type="dxa"/>
            <w:vAlign w:val="center"/>
          </w:tcPr>
          <w:p w14:paraId="03009179">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44315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138" w:type="dxa"/>
            <w:vMerge w:val="continue"/>
          </w:tcPr>
          <w:p w14:paraId="43E4064C">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tcPr>
          <w:p w14:paraId="3D9DB02B">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2887" w:type="dxa"/>
            <w:vAlign w:val="center"/>
          </w:tcPr>
          <w:p w14:paraId="7F37BBB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路政超限检测站、点视频监控工作时间</w:t>
            </w:r>
          </w:p>
        </w:tc>
        <w:tc>
          <w:tcPr>
            <w:tcW w:w="1425" w:type="dxa"/>
            <w:vAlign w:val="center"/>
          </w:tcPr>
          <w:p w14:paraId="6DD928B9">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365天</w:t>
            </w:r>
          </w:p>
        </w:tc>
        <w:tc>
          <w:tcPr>
            <w:tcW w:w="2685" w:type="dxa"/>
            <w:vAlign w:val="center"/>
          </w:tcPr>
          <w:p w14:paraId="101DB46E">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670FE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138" w:type="dxa"/>
            <w:vMerge w:val="continue"/>
          </w:tcPr>
          <w:p w14:paraId="681AD882">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tcPr>
          <w:p w14:paraId="797E910F">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2887" w:type="dxa"/>
            <w:vAlign w:val="center"/>
          </w:tcPr>
          <w:p w14:paraId="67F331F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路政超限检测站、点视频每天监控点数量</w:t>
            </w:r>
          </w:p>
        </w:tc>
        <w:tc>
          <w:tcPr>
            <w:tcW w:w="1425" w:type="dxa"/>
            <w:vAlign w:val="center"/>
          </w:tcPr>
          <w:p w14:paraId="339477D3">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1个</w:t>
            </w:r>
          </w:p>
        </w:tc>
        <w:tc>
          <w:tcPr>
            <w:tcW w:w="2685" w:type="dxa"/>
            <w:vAlign w:val="center"/>
          </w:tcPr>
          <w:p w14:paraId="442C0534">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3CBC1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138" w:type="dxa"/>
            <w:vMerge w:val="continue"/>
          </w:tcPr>
          <w:p w14:paraId="634D35BD">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tcPr>
          <w:p w14:paraId="2F2F1A03">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2887" w:type="dxa"/>
            <w:vAlign w:val="center"/>
          </w:tcPr>
          <w:p w14:paraId="46ED20A2">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路政超限检测站、点视频每天监控时间</w:t>
            </w:r>
          </w:p>
        </w:tc>
        <w:tc>
          <w:tcPr>
            <w:tcW w:w="1425" w:type="dxa"/>
            <w:vAlign w:val="center"/>
          </w:tcPr>
          <w:p w14:paraId="32776B1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24小时/天</w:t>
            </w:r>
          </w:p>
        </w:tc>
        <w:tc>
          <w:tcPr>
            <w:tcW w:w="2685" w:type="dxa"/>
            <w:vAlign w:val="center"/>
          </w:tcPr>
          <w:p w14:paraId="0F9AC86F">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7F91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138" w:type="dxa"/>
            <w:vMerge w:val="continue"/>
          </w:tcPr>
          <w:p w14:paraId="06AB021C">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tcPr>
          <w:p w14:paraId="023367F4">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2887" w:type="dxa"/>
            <w:vAlign w:val="center"/>
          </w:tcPr>
          <w:p w14:paraId="60296E5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路政设施维修维护次数</w:t>
            </w:r>
          </w:p>
        </w:tc>
        <w:tc>
          <w:tcPr>
            <w:tcW w:w="1425" w:type="dxa"/>
            <w:vAlign w:val="center"/>
          </w:tcPr>
          <w:p w14:paraId="5627D5C6">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1次/年</w:t>
            </w:r>
          </w:p>
        </w:tc>
        <w:tc>
          <w:tcPr>
            <w:tcW w:w="2685" w:type="dxa"/>
            <w:vAlign w:val="center"/>
          </w:tcPr>
          <w:p w14:paraId="0FD6B335">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11F65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138" w:type="dxa"/>
            <w:vMerge w:val="continue"/>
          </w:tcPr>
          <w:p w14:paraId="0ED3A20E">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tcPr>
          <w:p w14:paraId="7D33276B">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2887" w:type="dxa"/>
            <w:vAlign w:val="center"/>
          </w:tcPr>
          <w:p w14:paraId="0AA6880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全年出差人次</w:t>
            </w:r>
          </w:p>
        </w:tc>
        <w:tc>
          <w:tcPr>
            <w:tcW w:w="1425" w:type="dxa"/>
            <w:vAlign w:val="center"/>
          </w:tcPr>
          <w:p w14:paraId="2B9BDE6D">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4300人次</w:t>
            </w:r>
          </w:p>
        </w:tc>
        <w:tc>
          <w:tcPr>
            <w:tcW w:w="2685" w:type="dxa"/>
            <w:vAlign w:val="center"/>
          </w:tcPr>
          <w:p w14:paraId="6ACB590E">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58847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138" w:type="dxa"/>
            <w:vMerge w:val="continue"/>
          </w:tcPr>
          <w:p w14:paraId="5BB16458">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tcPr>
          <w:p w14:paraId="07EE80D4">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2887" w:type="dxa"/>
            <w:vAlign w:val="center"/>
          </w:tcPr>
          <w:p w14:paraId="69C01E8D">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全年社会保险购买人数</w:t>
            </w:r>
          </w:p>
        </w:tc>
        <w:tc>
          <w:tcPr>
            <w:tcW w:w="1425" w:type="dxa"/>
            <w:vAlign w:val="center"/>
          </w:tcPr>
          <w:p w14:paraId="662FAF2C">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92人</w:t>
            </w:r>
          </w:p>
        </w:tc>
        <w:tc>
          <w:tcPr>
            <w:tcW w:w="2685" w:type="dxa"/>
            <w:vAlign w:val="center"/>
          </w:tcPr>
          <w:p w14:paraId="19A464F5">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0C672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138" w:type="dxa"/>
            <w:vMerge w:val="continue"/>
          </w:tcPr>
          <w:p w14:paraId="1C05FC13">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restart"/>
            <w:vAlign w:val="center"/>
          </w:tcPr>
          <w:p w14:paraId="4E719E77">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r>
              <w:rPr>
                <w:rFonts w:hint="eastAsia" w:ascii="仿宋" w:hAnsi="仿宋" w:eastAsia="仿宋" w:cs="仿宋_GB2312"/>
                <w:sz w:val="18"/>
                <w:szCs w:val="32"/>
                <w:highlight w:val="none"/>
              </w:rPr>
              <w:t>质量指标</w:t>
            </w:r>
          </w:p>
        </w:tc>
        <w:tc>
          <w:tcPr>
            <w:tcW w:w="2887" w:type="dxa"/>
            <w:vAlign w:val="center"/>
          </w:tcPr>
          <w:p w14:paraId="7FBEC7CC">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办公设施零星维修维护验收合格率</w:t>
            </w:r>
          </w:p>
        </w:tc>
        <w:tc>
          <w:tcPr>
            <w:tcW w:w="1425" w:type="dxa"/>
            <w:vAlign w:val="center"/>
          </w:tcPr>
          <w:p w14:paraId="21619E5C">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2A3ABC93">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CN"/>
              </w:rPr>
            </w:pPr>
            <w:r>
              <w:rPr>
                <w:rFonts w:hint="eastAsia" w:ascii="仿宋" w:hAnsi="仿宋" w:eastAsia="仿宋" w:cs="仿宋_GB2312"/>
                <w:sz w:val="18"/>
                <w:szCs w:val="32"/>
                <w:highlight w:val="none"/>
                <w:lang w:val="en-US" w:eastAsia="zh-Hans"/>
              </w:rPr>
              <w:t>完成</w:t>
            </w:r>
          </w:p>
        </w:tc>
      </w:tr>
      <w:tr w14:paraId="44498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138" w:type="dxa"/>
            <w:vMerge w:val="continue"/>
          </w:tcPr>
          <w:p w14:paraId="79E4EE40">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07E07140">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rPr>
            </w:pPr>
          </w:p>
        </w:tc>
        <w:tc>
          <w:tcPr>
            <w:tcW w:w="2887" w:type="dxa"/>
            <w:vAlign w:val="center"/>
          </w:tcPr>
          <w:p w14:paraId="59521CC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办公用品质量合格率</w:t>
            </w:r>
          </w:p>
        </w:tc>
        <w:tc>
          <w:tcPr>
            <w:tcW w:w="1425" w:type="dxa"/>
            <w:vAlign w:val="center"/>
          </w:tcPr>
          <w:p w14:paraId="3061FDC8">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59345E67">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CN"/>
              </w:rPr>
            </w:pPr>
            <w:r>
              <w:rPr>
                <w:rFonts w:hint="eastAsia" w:ascii="仿宋" w:hAnsi="仿宋" w:eastAsia="仿宋" w:cs="仿宋_GB2312"/>
                <w:sz w:val="18"/>
                <w:szCs w:val="32"/>
                <w:highlight w:val="none"/>
                <w:lang w:val="en-US" w:eastAsia="zh-Hans"/>
              </w:rPr>
              <w:t>完成</w:t>
            </w:r>
          </w:p>
        </w:tc>
      </w:tr>
      <w:tr w14:paraId="35245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138" w:type="dxa"/>
            <w:vMerge w:val="continue"/>
          </w:tcPr>
          <w:p w14:paraId="4FD5F148">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0E0C9C28">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rPr>
            </w:pPr>
          </w:p>
        </w:tc>
        <w:tc>
          <w:tcPr>
            <w:tcW w:w="2887" w:type="dxa"/>
            <w:vAlign w:val="center"/>
          </w:tcPr>
          <w:p w14:paraId="3B17DBA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保险购买准确率</w:t>
            </w:r>
          </w:p>
        </w:tc>
        <w:tc>
          <w:tcPr>
            <w:tcW w:w="1425" w:type="dxa"/>
            <w:vAlign w:val="center"/>
          </w:tcPr>
          <w:p w14:paraId="74EFAFF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4567F47A">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405D6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138" w:type="dxa"/>
            <w:vMerge w:val="continue"/>
          </w:tcPr>
          <w:p w14:paraId="20247FF8">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2DA62A04">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rPr>
            </w:pPr>
          </w:p>
        </w:tc>
        <w:tc>
          <w:tcPr>
            <w:tcW w:w="2887" w:type="dxa"/>
            <w:vAlign w:val="center"/>
          </w:tcPr>
          <w:p w14:paraId="0897159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拆除违章建筑准确率</w:t>
            </w:r>
          </w:p>
        </w:tc>
        <w:tc>
          <w:tcPr>
            <w:tcW w:w="1425" w:type="dxa"/>
            <w:vAlign w:val="center"/>
          </w:tcPr>
          <w:p w14:paraId="2445D6F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5C464171">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5054D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138" w:type="dxa"/>
            <w:vMerge w:val="continue"/>
          </w:tcPr>
          <w:p w14:paraId="74BC099E">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49D19503">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rPr>
            </w:pPr>
          </w:p>
        </w:tc>
        <w:tc>
          <w:tcPr>
            <w:tcW w:w="2887" w:type="dxa"/>
            <w:vAlign w:val="center"/>
          </w:tcPr>
          <w:p w14:paraId="32BC5C5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出差差旅费发放准确率</w:t>
            </w:r>
          </w:p>
        </w:tc>
        <w:tc>
          <w:tcPr>
            <w:tcW w:w="1425" w:type="dxa"/>
            <w:vAlign w:val="center"/>
          </w:tcPr>
          <w:p w14:paraId="41571E9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71E9B7AB">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6D740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138" w:type="dxa"/>
            <w:vMerge w:val="continue"/>
          </w:tcPr>
          <w:p w14:paraId="1A067590">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34F923B5">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rPr>
            </w:pPr>
          </w:p>
        </w:tc>
        <w:tc>
          <w:tcPr>
            <w:tcW w:w="2887" w:type="dxa"/>
            <w:vAlign w:val="center"/>
          </w:tcPr>
          <w:p w14:paraId="4AC6A0B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路政超限检测站、点视频监控准确率</w:t>
            </w:r>
          </w:p>
        </w:tc>
        <w:tc>
          <w:tcPr>
            <w:tcW w:w="1425" w:type="dxa"/>
            <w:vAlign w:val="center"/>
          </w:tcPr>
          <w:p w14:paraId="6CC642D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45827489">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26EDE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138" w:type="dxa"/>
            <w:vMerge w:val="continue"/>
          </w:tcPr>
          <w:p w14:paraId="3ACD0C52">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7E5131A2">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rPr>
            </w:pPr>
          </w:p>
        </w:tc>
        <w:tc>
          <w:tcPr>
            <w:tcW w:w="2887" w:type="dxa"/>
            <w:vAlign w:val="center"/>
          </w:tcPr>
          <w:p w14:paraId="22FD5262">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路政设施维修维护验收合格率</w:t>
            </w:r>
          </w:p>
        </w:tc>
        <w:tc>
          <w:tcPr>
            <w:tcW w:w="1425" w:type="dxa"/>
            <w:vAlign w:val="center"/>
          </w:tcPr>
          <w:p w14:paraId="0E4253F9">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75F15071">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5B049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138" w:type="dxa"/>
            <w:vMerge w:val="continue"/>
          </w:tcPr>
          <w:p w14:paraId="4F7BF878">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5CD641A3">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rPr>
            </w:pPr>
          </w:p>
        </w:tc>
        <w:tc>
          <w:tcPr>
            <w:tcW w:w="2887" w:type="dxa"/>
            <w:vAlign w:val="center"/>
          </w:tcPr>
          <w:p w14:paraId="5C49C3B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水、电、通讯费缴纳准确率</w:t>
            </w:r>
          </w:p>
        </w:tc>
        <w:tc>
          <w:tcPr>
            <w:tcW w:w="1425" w:type="dxa"/>
            <w:vAlign w:val="center"/>
          </w:tcPr>
          <w:p w14:paraId="6D83603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02C91C65">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0BD12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138" w:type="dxa"/>
            <w:vMerge w:val="continue"/>
          </w:tcPr>
          <w:p w14:paraId="5094A622">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1C258346">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rPr>
            </w:pPr>
          </w:p>
        </w:tc>
        <w:tc>
          <w:tcPr>
            <w:tcW w:w="2887" w:type="dxa"/>
            <w:vAlign w:val="center"/>
          </w:tcPr>
          <w:p w14:paraId="39CF550B">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宣传制作质量合格率</w:t>
            </w:r>
          </w:p>
        </w:tc>
        <w:tc>
          <w:tcPr>
            <w:tcW w:w="1425" w:type="dxa"/>
            <w:vAlign w:val="center"/>
          </w:tcPr>
          <w:p w14:paraId="523A329D">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3715104D">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1408A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8" w:type="dxa"/>
            <w:vMerge w:val="continue"/>
          </w:tcPr>
          <w:p w14:paraId="75351B8B">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restart"/>
            <w:vAlign w:val="center"/>
          </w:tcPr>
          <w:p w14:paraId="3D5A8530">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r>
              <w:rPr>
                <w:rFonts w:hint="eastAsia" w:ascii="仿宋" w:hAnsi="仿宋" w:eastAsia="仿宋" w:cs="仿宋_GB2312"/>
                <w:sz w:val="18"/>
                <w:szCs w:val="32"/>
                <w:highlight w:val="none"/>
              </w:rPr>
              <w:t>时效指标</w:t>
            </w:r>
          </w:p>
        </w:tc>
        <w:tc>
          <w:tcPr>
            <w:tcW w:w="2887" w:type="dxa"/>
            <w:vAlign w:val="center"/>
          </w:tcPr>
          <w:p w14:paraId="2E6143D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办公设施零星维修维护及时率</w:t>
            </w:r>
          </w:p>
        </w:tc>
        <w:tc>
          <w:tcPr>
            <w:tcW w:w="1425" w:type="dxa"/>
            <w:vAlign w:val="center"/>
          </w:tcPr>
          <w:p w14:paraId="00DB4646">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3E0D3E72">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CN"/>
              </w:rPr>
            </w:pPr>
            <w:r>
              <w:rPr>
                <w:rFonts w:hint="eastAsia" w:ascii="仿宋" w:hAnsi="仿宋" w:eastAsia="仿宋" w:cs="仿宋_GB2312"/>
                <w:sz w:val="18"/>
                <w:szCs w:val="32"/>
                <w:highlight w:val="none"/>
                <w:lang w:val="en-US" w:eastAsia="zh-Hans"/>
              </w:rPr>
              <w:t>完成</w:t>
            </w:r>
          </w:p>
        </w:tc>
      </w:tr>
      <w:tr w14:paraId="1601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8" w:type="dxa"/>
            <w:vMerge w:val="continue"/>
          </w:tcPr>
          <w:p w14:paraId="27927533">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247099AC">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rPr>
            </w:pPr>
          </w:p>
        </w:tc>
        <w:tc>
          <w:tcPr>
            <w:tcW w:w="2887" w:type="dxa"/>
            <w:vAlign w:val="center"/>
          </w:tcPr>
          <w:p w14:paraId="24DD38C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办公用品购买及时率</w:t>
            </w:r>
          </w:p>
        </w:tc>
        <w:tc>
          <w:tcPr>
            <w:tcW w:w="1425" w:type="dxa"/>
            <w:vAlign w:val="center"/>
          </w:tcPr>
          <w:p w14:paraId="1629197C">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796D18F7">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CN"/>
              </w:rPr>
            </w:pPr>
            <w:r>
              <w:rPr>
                <w:rFonts w:hint="eastAsia" w:ascii="仿宋" w:hAnsi="仿宋" w:eastAsia="仿宋" w:cs="仿宋_GB2312"/>
                <w:sz w:val="18"/>
                <w:szCs w:val="32"/>
                <w:highlight w:val="none"/>
                <w:lang w:val="en-US" w:eastAsia="zh-Hans"/>
              </w:rPr>
              <w:t>完成</w:t>
            </w:r>
          </w:p>
        </w:tc>
      </w:tr>
      <w:tr w14:paraId="56148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8" w:type="dxa"/>
            <w:vMerge w:val="continue"/>
          </w:tcPr>
          <w:p w14:paraId="4114975C">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04232C31">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rPr>
            </w:pPr>
          </w:p>
        </w:tc>
        <w:tc>
          <w:tcPr>
            <w:tcW w:w="2887" w:type="dxa"/>
            <w:vAlign w:val="center"/>
          </w:tcPr>
          <w:p w14:paraId="52DC54A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保险购买及时率</w:t>
            </w:r>
          </w:p>
        </w:tc>
        <w:tc>
          <w:tcPr>
            <w:tcW w:w="1425" w:type="dxa"/>
            <w:vAlign w:val="center"/>
          </w:tcPr>
          <w:p w14:paraId="24B099BC">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1F2A1777">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0B599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8" w:type="dxa"/>
            <w:vMerge w:val="continue"/>
          </w:tcPr>
          <w:p w14:paraId="1AF80136">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201D583B">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rPr>
            </w:pPr>
          </w:p>
        </w:tc>
        <w:tc>
          <w:tcPr>
            <w:tcW w:w="2887" w:type="dxa"/>
            <w:vAlign w:val="center"/>
          </w:tcPr>
          <w:p w14:paraId="09FC0C58">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拆除违章建筑及时率</w:t>
            </w:r>
          </w:p>
        </w:tc>
        <w:tc>
          <w:tcPr>
            <w:tcW w:w="1425" w:type="dxa"/>
            <w:vAlign w:val="center"/>
          </w:tcPr>
          <w:p w14:paraId="135B03CC">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0EFE2209">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50959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8" w:type="dxa"/>
            <w:vMerge w:val="continue"/>
          </w:tcPr>
          <w:p w14:paraId="0835E8CE">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6692D81B">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rPr>
            </w:pPr>
          </w:p>
        </w:tc>
        <w:tc>
          <w:tcPr>
            <w:tcW w:w="2887" w:type="dxa"/>
            <w:vAlign w:val="center"/>
          </w:tcPr>
          <w:p w14:paraId="39F9EFE1">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出差差旅费发放及时率</w:t>
            </w:r>
          </w:p>
        </w:tc>
        <w:tc>
          <w:tcPr>
            <w:tcW w:w="1425" w:type="dxa"/>
            <w:vAlign w:val="center"/>
          </w:tcPr>
          <w:p w14:paraId="353754DC">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0E0116C4">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634C7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8" w:type="dxa"/>
            <w:vMerge w:val="continue"/>
          </w:tcPr>
          <w:p w14:paraId="76550CA2">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31DC7B06">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rPr>
            </w:pPr>
          </w:p>
        </w:tc>
        <w:tc>
          <w:tcPr>
            <w:tcW w:w="2887" w:type="dxa"/>
            <w:vAlign w:val="center"/>
          </w:tcPr>
          <w:p w14:paraId="713AA65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路政超限检测站、点视频监控及时率</w:t>
            </w:r>
          </w:p>
        </w:tc>
        <w:tc>
          <w:tcPr>
            <w:tcW w:w="1425" w:type="dxa"/>
            <w:vAlign w:val="center"/>
          </w:tcPr>
          <w:p w14:paraId="6A5F2C8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3F05BE7F">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2490F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8" w:type="dxa"/>
            <w:vMerge w:val="continue"/>
          </w:tcPr>
          <w:p w14:paraId="3A5092B0">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6B7BC157">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rPr>
            </w:pPr>
          </w:p>
        </w:tc>
        <w:tc>
          <w:tcPr>
            <w:tcW w:w="2887" w:type="dxa"/>
            <w:vAlign w:val="center"/>
          </w:tcPr>
          <w:p w14:paraId="4E0E9A6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路政设施维修维护及时率</w:t>
            </w:r>
          </w:p>
        </w:tc>
        <w:tc>
          <w:tcPr>
            <w:tcW w:w="1425" w:type="dxa"/>
            <w:vAlign w:val="center"/>
          </w:tcPr>
          <w:p w14:paraId="4A116CC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54805682">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160DA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8" w:type="dxa"/>
            <w:vMerge w:val="continue"/>
          </w:tcPr>
          <w:p w14:paraId="18783AE3">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2A4B8D77">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rPr>
            </w:pPr>
          </w:p>
        </w:tc>
        <w:tc>
          <w:tcPr>
            <w:tcW w:w="2887" w:type="dxa"/>
            <w:vAlign w:val="center"/>
          </w:tcPr>
          <w:p w14:paraId="2A01EE86">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水、电、通讯费缴纳及时率</w:t>
            </w:r>
          </w:p>
        </w:tc>
        <w:tc>
          <w:tcPr>
            <w:tcW w:w="1425" w:type="dxa"/>
            <w:vAlign w:val="center"/>
          </w:tcPr>
          <w:p w14:paraId="19EA7DB2">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3691B38E">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2674F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8" w:type="dxa"/>
            <w:vMerge w:val="continue"/>
          </w:tcPr>
          <w:p w14:paraId="1FCDE9EA">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5446E3AB">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rPr>
            </w:pPr>
          </w:p>
        </w:tc>
        <w:tc>
          <w:tcPr>
            <w:tcW w:w="2887" w:type="dxa"/>
            <w:vAlign w:val="center"/>
          </w:tcPr>
          <w:p w14:paraId="2BFB9013">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宣传制作及时率</w:t>
            </w:r>
          </w:p>
        </w:tc>
        <w:tc>
          <w:tcPr>
            <w:tcW w:w="1425" w:type="dxa"/>
            <w:vAlign w:val="center"/>
          </w:tcPr>
          <w:p w14:paraId="4A6010C4">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1C30B113">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0FA96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1138" w:type="dxa"/>
            <w:vMerge w:val="continue"/>
          </w:tcPr>
          <w:p w14:paraId="233A72E6">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Align w:val="center"/>
          </w:tcPr>
          <w:p w14:paraId="5B59BF41">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r>
              <w:rPr>
                <w:rFonts w:hint="eastAsia" w:ascii="仿宋" w:hAnsi="仿宋" w:eastAsia="仿宋" w:cs="仿宋_GB2312"/>
                <w:sz w:val="18"/>
                <w:szCs w:val="32"/>
                <w:highlight w:val="none"/>
              </w:rPr>
              <w:t>成本指标</w:t>
            </w:r>
          </w:p>
        </w:tc>
        <w:tc>
          <w:tcPr>
            <w:tcW w:w="2887" w:type="dxa"/>
            <w:vAlign w:val="center"/>
          </w:tcPr>
          <w:p w14:paraId="6ECC4399">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基本支出</w:t>
            </w:r>
            <w:r>
              <w:rPr>
                <w:rFonts w:hint="eastAsia" w:ascii="宋体" w:hAnsi="宋体" w:cs="宋体"/>
                <w:i w:val="0"/>
                <w:color w:val="000000"/>
                <w:kern w:val="0"/>
                <w:sz w:val="20"/>
                <w:szCs w:val="20"/>
                <w:u w:val="none"/>
                <w:lang w:val="en-US" w:eastAsia="zh-CN" w:bidi="ar"/>
              </w:rPr>
              <w:t>、项目经费</w:t>
            </w:r>
            <w:r>
              <w:rPr>
                <w:rFonts w:hint="eastAsia" w:ascii="宋体" w:hAnsi="宋体" w:eastAsia="宋体" w:cs="宋体"/>
                <w:i w:val="0"/>
                <w:color w:val="000000"/>
                <w:kern w:val="0"/>
                <w:sz w:val="20"/>
                <w:szCs w:val="20"/>
                <w:u w:val="none"/>
                <w:lang w:val="en-US" w:eastAsia="zh-CN" w:bidi="ar"/>
              </w:rPr>
              <w:t>成本预算</w:t>
            </w:r>
          </w:p>
        </w:tc>
        <w:tc>
          <w:tcPr>
            <w:tcW w:w="1425" w:type="dxa"/>
            <w:vAlign w:val="center"/>
          </w:tcPr>
          <w:p w14:paraId="05331F83">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w:t>
            </w:r>
            <w:r>
              <w:rPr>
                <w:rFonts w:hint="eastAsia" w:ascii="宋体" w:hAnsi="宋体" w:cs="宋体"/>
                <w:i w:val="0"/>
                <w:color w:val="000000"/>
                <w:kern w:val="0"/>
                <w:sz w:val="20"/>
                <w:szCs w:val="20"/>
                <w:u w:val="none"/>
                <w:lang w:val="en-US" w:eastAsia="zh-CN" w:bidi="ar"/>
              </w:rPr>
              <w:t>1900.95</w:t>
            </w:r>
            <w:r>
              <w:rPr>
                <w:rFonts w:hint="eastAsia" w:ascii="宋体" w:hAnsi="宋体" w:eastAsia="宋体" w:cs="宋体"/>
                <w:i w:val="0"/>
                <w:color w:val="000000"/>
                <w:kern w:val="0"/>
                <w:sz w:val="20"/>
                <w:szCs w:val="20"/>
                <w:u w:val="none"/>
                <w:lang w:val="en-US" w:eastAsia="zh-CN" w:bidi="ar"/>
              </w:rPr>
              <w:t>万元</w:t>
            </w:r>
          </w:p>
        </w:tc>
        <w:tc>
          <w:tcPr>
            <w:tcW w:w="2685" w:type="dxa"/>
            <w:vAlign w:val="center"/>
          </w:tcPr>
          <w:p w14:paraId="5B92EB29">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eastAsia="zh-CN"/>
              </w:rPr>
            </w:pPr>
            <w:r>
              <w:rPr>
                <w:rFonts w:hint="eastAsia" w:ascii="仿宋" w:hAnsi="仿宋" w:eastAsia="仿宋" w:cs="仿宋_GB2312"/>
                <w:sz w:val="18"/>
                <w:szCs w:val="32"/>
                <w:highlight w:val="none"/>
                <w:lang w:val="en-US" w:eastAsia="zh-CN"/>
              </w:rPr>
              <w:t>调整预算后完成2,099.88万元</w:t>
            </w:r>
          </w:p>
        </w:tc>
      </w:tr>
      <w:tr w14:paraId="6CCF7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138" w:type="dxa"/>
            <w:vMerge w:val="continue"/>
          </w:tcPr>
          <w:p w14:paraId="295B2D0E">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restart"/>
            <w:vAlign w:val="center"/>
          </w:tcPr>
          <w:p w14:paraId="66AD9130">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lang w:eastAsia="zh-Hans"/>
              </w:rPr>
            </w:pPr>
            <w:r>
              <w:rPr>
                <w:rFonts w:hint="eastAsia" w:ascii="仿宋" w:hAnsi="仿宋" w:eastAsia="仿宋" w:cs="仿宋_GB2312"/>
                <w:sz w:val="18"/>
                <w:szCs w:val="32"/>
                <w:highlight w:val="none"/>
                <w:lang w:eastAsia="zh-Hans"/>
              </w:rPr>
              <w:t>社会效益指标</w:t>
            </w:r>
          </w:p>
        </w:tc>
        <w:tc>
          <w:tcPr>
            <w:tcW w:w="2887" w:type="dxa"/>
            <w:vAlign w:val="center"/>
          </w:tcPr>
          <w:p w14:paraId="636C7574">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ascii="宋体" w:hAnsi="宋体" w:eastAsia="宋体" w:cs="宋体"/>
                <w:i w:val="0"/>
                <w:iCs w:val="0"/>
                <w:color w:val="000000"/>
                <w:kern w:val="0"/>
                <w:sz w:val="18"/>
                <w:szCs w:val="18"/>
                <w:u w:val="none"/>
                <w:lang w:val="en-US" w:eastAsia="zh-CN" w:bidi="ar"/>
              </w:rPr>
              <w:t>办公设备购置投入使用率</w:t>
            </w:r>
          </w:p>
        </w:tc>
        <w:tc>
          <w:tcPr>
            <w:tcW w:w="1425" w:type="dxa"/>
            <w:vAlign w:val="center"/>
          </w:tcPr>
          <w:p w14:paraId="0E55B526">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6B911305">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CN"/>
              </w:rPr>
            </w:pPr>
            <w:r>
              <w:rPr>
                <w:rFonts w:hint="eastAsia" w:ascii="仿宋" w:hAnsi="仿宋" w:eastAsia="仿宋" w:cs="仿宋_GB2312"/>
                <w:sz w:val="18"/>
                <w:szCs w:val="32"/>
                <w:highlight w:val="none"/>
                <w:lang w:val="en-US" w:eastAsia="zh-Hans"/>
              </w:rPr>
              <w:t>完成</w:t>
            </w:r>
          </w:p>
        </w:tc>
      </w:tr>
      <w:tr w14:paraId="74A0A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138" w:type="dxa"/>
            <w:vMerge w:val="continue"/>
          </w:tcPr>
          <w:p w14:paraId="6B1A6467">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2012218D">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eastAsia="zh-Hans"/>
              </w:rPr>
            </w:pPr>
          </w:p>
        </w:tc>
        <w:tc>
          <w:tcPr>
            <w:tcW w:w="2887" w:type="dxa"/>
            <w:vAlign w:val="center"/>
          </w:tcPr>
          <w:p w14:paraId="4B8FEC3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zh-CN" w:eastAsia="zh-CN" w:bidi="ar"/>
              </w:rPr>
            </w:pPr>
            <w:r>
              <w:rPr>
                <w:rFonts w:ascii="宋体" w:hAnsi="宋体" w:eastAsia="宋体" w:cs="宋体"/>
                <w:i w:val="0"/>
                <w:iCs w:val="0"/>
                <w:color w:val="000000"/>
                <w:kern w:val="0"/>
                <w:sz w:val="18"/>
                <w:szCs w:val="18"/>
                <w:u w:val="none"/>
                <w:lang w:val="en-US" w:eastAsia="zh-CN" w:bidi="ar"/>
              </w:rPr>
              <w:t>保险应保尽保率</w:t>
            </w:r>
          </w:p>
        </w:tc>
        <w:tc>
          <w:tcPr>
            <w:tcW w:w="1425" w:type="dxa"/>
            <w:vAlign w:val="center"/>
          </w:tcPr>
          <w:p w14:paraId="1F509D22">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16D69722">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58441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138" w:type="dxa"/>
            <w:vMerge w:val="continue"/>
          </w:tcPr>
          <w:p w14:paraId="6B00D773">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5C992EE2">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eastAsia="zh-Hans"/>
              </w:rPr>
            </w:pPr>
          </w:p>
        </w:tc>
        <w:tc>
          <w:tcPr>
            <w:tcW w:w="2887" w:type="dxa"/>
            <w:vAlign w:val="center"/>
          </w:tcPr>
          <w:p w14:paraId="49956623">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zh-CN" w:eastAsia="zh-CN" w:bidi="ar"/>
              </w:rPr>
            </w:pPr>
            <w:r>
              <w:rPr>
                <w:rFonts w:ascii="宋体" w:hAnsi="宋体" w:eastAsia="宋体" w:cs="宋体"/>
                <w:i w:val="0"/>
                <w:iCs w:val="0"/>
                <w:color w:val="000000"/>
                <w:kern w:val="0"/>
                <w:sz w:val="18"/>
                <w:szCs w:val="18"/>
                <w:u w:val="none"/>
                <w:lang w:val="en-US" w:eastAsia="zh-CN" w:bidi="ar"/>
              </w:rPr>
              <w:t>差旅人员差旅费应发尽发率</w:t>
            </w:r>
          </w:p>
        </w:tc>
        <w:tc>
          <w:tcPr>
            <w:tcW w:w="1425" w:type="dxa"/>
            <w:vAlign w:val="center"/>
          </w:tcPr>
          <w:p w14:paraId="7D33AC2A">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6B85D3B9">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2567A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138" w:type="dxa"/>
            <w:vMerge w:val="continue"/>
          </w:tcPr>
          <w:p w14:paraId="1D372F35">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0804F047">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eastAsia="zh-Hans"/>
              </w:rPr>
            </w:pPr>
          </w:p>
        </w:tc>
        <w:tc>
          <w:tcPr>
            <w:tcW w:w="2887" w:type="dxa"/>
            <w:vAlign w:val="center"/>
          </w:tcPr>
          <w:p w14:paraId="28763601">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zh-CN" w:eastAsia="zh-CN" w:bidi="ar"/>
              </w:rPr>
            </w:pPr>
            <w:r>
              <w:rPr>
                <w:rFonts w:ascii="宋体" w:hAnsi="宋体" w:eastAsia="宋体" w:cs="宋体"/>
                <w:i w:val="0"/>
                <w:iCs w:val="0"/>
                <w:color w:val="000000"/>
                <w:kern w:val="0"/>
                <w:sz w:val="18"/>
                <w:szCs w:val="18"/>
                <w:u w:val="none"/>
                <w:lang w:val="en-US" w:eastAsia="zh-CN" w:bidi="ar"/>
              </w:rPr>
              <w:t>拆除违章建筑工作正常开展率</w:t>
            </w:r>
          </w:p>
        </w:tc>
        <w:tc>
          <w:tcPr>
            <w:tcW w:w="1425" w:type="dxa"/>
            <w:vAlign w:val="center"/>
          </w:tcPr>
          <w:p w14:paraId="1441A9F4">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5D94ECAC">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749AE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138" w:type="dxa"/>
            <w:vMerge w:val="continue"/>
          </w:tcPr>
          <w:p w14:paraId="598AC4B0">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6DE9EA74">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eastAsia="zh-Hans"/>
              </w:rPr>
            </w:pPr>
          </w:p>
        </w:tc>
        <w:tc>
          <w:tcPr>
            <w:tcW w:w="2887" w:type="dxa"/>
            <w:vAlign w:val="center"/>
          </w:tcPr>
          <w:p w14:paraId="33996A8B">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zh-CN" w:eastAsia="zh-CN" w:bidi="ar"/>
              </w:rPr>
            </w:pPr>
            <w:r>
              <w:rPr>
                <w:rFonts w:ascii="宋体" w:hAnsi="宋体" w:eastAsia="宋体" w:cs="宋体"/>
                <w:i w:val="0"/>
                <w:iCs w:val="0"/>
                <w:color w:val="000000"/>
                <w:kern w:val="0"/>
                <w:sz w:val="18"/>
                <w:szCs w:val="18"/>
                <w:u w:val="none"/>
                <w:lang w:val="en-US" w:eastAsia="zh-CN" w:bidi="ar"/>
              </w:rPr>
              <w:t>处罚路政超限检测站、点视频监控正常使用率</w:t>
            </w:r>
          </w:p>
        </w:tc>
        <w:tc>
          <w:tcPr>
            <w:tcW w:w="1425" w:type="dxa"/>
            <w:vAlign w:val="center"/>
          </w:tcPr>
          <w:p w14:paraId="13943BA9">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1EE41DF1">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74631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138" w:type="dxa"/>
            <w:vMerge w:val="continue"/>
          </w:tcPr>
          <w:p w14:paraId="53B1A0B2">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64883130">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eastAsia="zh-Hans"/>
              </w:rPr>
            </w:pPr>
          </w:p>
        </w:tc>
        <w:tc>
          <w:tcPr>
            <w:tcW w:w="2887" w:type="dxa"/>
            <w:vAlign w:val="center"/>
          </w:tcPr>
          <w:p w14:paraId="3B849751">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zh-CN" w:eastAsia="zh-CN" w:bidi="ar"/>
              </w:rPr>
            </w:pPr>
            <w:r>
              <w:rPr>
                <w:rFonts w:ascii="宋体" w:hAnsi="宋体" w:eastAsia="宋体" w:cs="宋体"/>
                <w:i w:val="0"/>
                <w:iCs w:val="0"/>
                <w:color w:val="000000"/>
                <w:kern w:val="0"/>
                <w:sz w:val="18"/>
                <w:szCs w:val="18"/>
                <w:u w:val="none"/>
                <w:lang w:val="en-US" w:eastAsia="zh-CN" w:bidi="ar"/>
              </w:rPr>
              <w:t>水、电、通讯费应付尽付率</w:t>
            </w:r>
          </w:p>
        </w:tc>
        <w:tc>
          <w:tcPr>
            <w:tcW w:w="1425" w:type="dxa"/>
            <w:vAlign w:val="center"/>
          </w:tcPr>
          <w:p w14:paraId="33F5FACD">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325DBD97">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12200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138" w:type="dxa"/>
            <w:vMerge w:val="continue"/>
          </w:tcPr>
          <w:p w14:paraId="06A4268F">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vMerge w:val="continue"/>
            <w:vAlign w:val="center"/>
          </w:tcPr>
          <w:p w14:paraId="2D2AE844">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eastAsia="zh-Hans"/>
              </w:rPr>
            </w:pPr>
          </w:p>
        </w:tc>
        <w:tc>
          <w:tcPr>
            <w:tcW w:w="2887" w:type="dxa"/>
            <w:vAlign w:val="center"/>
          </w:tcPr>
          <w:p w14:paraId="770CF0D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zh-CN" w:eastAsia="zh-CN" w:bidi="ar"/>
              </w:rPr>
            </w:pPr>
            <w:r>
              <w:rPr>
                <w:rFonts w:ascii="宋体" w:hAnsi="宋体" w:eastAsia="宋体" w:cs="宋体"/>
                <w:i w:val="0"/>
                <w:iCs w:val="0"/>
                <w:color w:val="000000"/>
                <w:kern w:val="0"/>
                <w:sz w:val="18"/>
                <w:szCs w:val="18"/>
                <w:u w:val="none"/>
                <w:lang w:val="en-US" w:eastAsia="zh-CN" w:bidi="ar"/>
              </w:rPr>
              <w:t>综合执法工作正常开展率</w:t>
            </w:r>
          </w:p>
        </w:tc>
        <w:tc>
          <w:tcPr>
            <w:tcW w:w="1425" w:type="dxa"/>
            <w:vAlign w:val="center"/>
          </w:tcPr>
          <w:p w14:paraId="08A756E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等于100%</w:t>
            </w:r>
          </w:p>
        </w:tc>
        <w:tc>
          <w:tcPr>
            <w:tcW w:w="2685" w:type="dxa"/>
            <w:vAlign w:val="center"/>
          </w:tcPr>
          <w:p w14:paraId="4A8B1B8D">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r w14:paraId="63DD1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138" w:type="dxa"/>
            <w:vMerge w:val="continue"/>
          </w:tcPr>
          <w:p w14:paraId="5A908CAB">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p>
        </w:tc>
        <w:tc>
          <w:tcPr>
            <w:tcW w:w="1575" w:type="dxa"/>
          </w:tcPr>
          <w:p w14:paraId="5DAEE471">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lang w:eastAsia="zh-Hans"/>
              </w:rPr>
            </w:pPr>
            <w:r>
              <w:rPr>
                <w:rFonts w:hint="eastAsia" w:ascii="仿宋" w:hAnsi="仿宋" w:eastAsia="仿宋" w:cs="仿宋_GB2312"/>
                <w:sz w:val="18"/>
                <w:szCs w:val="32"/>
                <w:highlight w:val="none"/>
                <w:lang w:eastAsia="zh-Hans"/>
              </w:rPr>
              <w:t>可持续影响指标</w:t>
            </w:r>
          </w:p>
        </w:tc>
        <w:tc>
          <w:tcPr>
            <w:tcW w:w="2887" w:type="dxa"/>
            <w:vAlign w:val="center"/>
          </w:tcPr>
          <w:p w14:paraId="33AB4D0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综合执法各项工作管理机制健全性</w:t>
            </w:r>
          </w:p>
        </w:tc>
        <w:tc>
          <w:tcPr>
            <w:tcW w:w="1425" w:type="dxa"/>
            <w:vAlign w:val="center"/>
          </w:tcPr>
          <w:p w14:paraId="01FDDB48">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良好</w:t>
            </w:r>
          </w:p>
        </w:tc>
        <w:tc>
          <w:tcPr>
            <w:tcW w:w="2685" w:type="dxa"/>
            <w:vAlign w:val="center"/>
          </w:tcPr>
          <w:p w14:paraId="6E67A964">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r>
              <w:rPr>
                <w:rFonts w:hint="eastAsia" w:ascii="仿宋" w:hAnsi="仿宋" w:eastAsia="仿宋" w:cs="仿宋_GB2312"/>
                <w:sz w:val="18"/>
                <w:szCs w:val="32"/>
                <w:highlight w:val="none"/>
                <w:lang w:val="en-US" w:eastAsia="zh-Hans"/>
              </w:rPr>
              <w:t>基本完成</w:t>
            </w:r>
          </w:p>
        </w:tc>
      </w:tr>
      <w:tr w14:paraId="64D7E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38" w:type="dxa"/>
            <w:vMerge w:val="restart"/>
          </w:tcPr>
          <w:p w14:paraId="2A8DA501">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r>
              <w:rPr>
                <w:rFonts w:hint="eastAsia" w:ascii="仿宋" w:hAnsi="仿宋" w:eastAsia="仿宋" w:cs="仿宋_GB2312"/>
                <w:sz w:val="18"/>
                <w:szCs w:val="32"/>
                <w:highlight w:val="none"/>
              </w:rPr>
              <w:t>满意度指标</w:t>
            </w:r>
          </w:p>
        </w:tc>
        <w:tc>
          <w:tcPr>
            <w:tcW w:w="1575" w:type="dxa"/>
            <w:vMerge w:val="restart"/>
            <w:vAlign w:val="center"/>
          </w:tcPr>
          <w:p w14:paraId="6ED01065">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r>
              <w:rPr>
                <w:rFonts w:hint="eastAsia" w:ascii="仿宋" w:hAnsi="仿宋" w:eastAsia="仿宋" w:cs="仿宋_GB2312"/>
                <w:sz w:val="18"/>
                <w:szCs w:val="32"/>
                <w:highlight w:val="none"/>
              </w:rPr>
              <w:t>满意度指标</w:t>
            </w:r>
          </w:p>
        </w:tc>
        <w:tc>
          <w:tcPr>
            <w:tcW w:w="2887" w:type="dxa"/>
            <w:vAlign w:val="center"/>
          </w:tcPr>
          <w:p w14:paraId="516B252A">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群众满意度</w:t>
            </w:r>
          </w:p>
        </w:tc>
        <w:tc>
          <w:tcPr>
            <w:tcW w:w="1425" w:type="dxa"/>
            <w:vAlign w:val="center"/>
          </w:tcPr>
          <w:p w14:paraId="7890129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≥95%</w:t>
            </w:r>
          </w:p>
        </w:tc>
        <w:tc>
          <w:tcPr>
            <w:tcW w:w="2685" w:type="dxa"/>
            <w:vAlign w:val="center"/>
          </w:tcPr>
          <w:p w14:paraId="103B882D">
            <w:pPr>
              <w:keepNext w:val="0"/>
              <w:keepLines w:val="0"/>
              <w:pageBreakBefore w:val="0"/>
              <w:kinsoku/>
              <w:wordWrap/>
              <w:overflowPunct/>
              <w:topLinePunct w:val="0"/>
              <w:autoSpaceDE/>
              <w:autoSpaceDN/>
              <w:bidi w:val="0"/>
              <w:adjustRightInd/>
              <w:snapToGrid/>
              <w:spacing w:line="580" w:lineRule="exact"/>
              <w:jc w:val="left"/>
              <w:rPr>
                <w:rFonts w:ascii="仿宋" w:hAnsi="仿宋" w:eastAsia="仿宋" w:cs="仿宋_GB2312"/>
                <w:sz w:val="18"/>
                <w:szCs w:val="32"/>
                <w:highlight w:val="none"/>
              </w:rPr>
            </w:pPr>
            <w:r>
              <w:rPr>
                <w:rFonts w:hint="eastAsia" w:ascii="仿宋" w:hAnsi="仿宋" w:eastAsia="仿宋" w:cs="仿宋_GB2312"/>
                <w:sz w:val="18"/>
                <w:szCs w:val="32"/>
                <w:highlight w:val="none"/>
                <w:lang w:val="en-US" w:eastAsia="zh-Hans"/>
              </w:rPr>
              <w:t>基本完成</w:t>
            </w:r>
          </w:p>
        </w:tc>
      </w:tr>
      <w:tr w14:paraId="00962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138" w:type="dxa"/>
            <w:vMerge w:val="continue"/>
          </w:tcPr>
          <w:p w14:paraId="6DCF5466">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rPr>
            </w:pPr>
          </w:p>
        </w:tc>
        <w:tc>
          <w:tcPr>
            <w:tcW w:w="1575" w:type="dxa"/>
            <w:vMerge w:val="continue"/>
            <w:vAlign w:val="center"/>
          </w:tcPr>
          <w:p w14:paraId="0B839A76">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rPr>
            </w:pPr>
          </w:p>
        </w:tc>
        <w:tc>
          <w:tcPr>
            <w:tcW w:w="2887" w:type="dxa"/>
            <w:vAlign w:val="center"/>
          </w:tcPr>
          <w:p w14:paraId="735A357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工作人员满意度</w:t>
            </w:r>
          </w:p>
        </w:tc>
        <w:tc>
          <w:tcPr>
            <w:tcW w:w="1425" w:type="dxa"/>
            <w:vAlign w:val="center"/>
          </w:tcPr>
          <w:p w14:paraId="1CA3DA7C">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≥95%</w:t>
            </w:r>
          </w:p>
        </w:tc>
        <w:tc>
          <w:tcPr>
            <w:tcW w:w="2685" w:type="dxa"/>
            <w:vAlign w:val="center"/>
          </w:tcPr>
          <w:p w14:paraId="5AC33919">
            <w:pPr>
              <w:keepNext w:val="0"/>
              <w:keepLines w:val="0"/>
              <w:pageBreakBefore w:val="0"/>
              <w:kinsoku/>
              <w:wordWrap/>
              <w:overflowPunct/>
              <w:topLinePunct w:val="0"/>
              <w:autoSpaceDE/>
              <w:autoSpaceDN/>
              <w:bidi w:val="0"/>
              <w:adjustRightInd/>
              <w:snapToGrid/>
              <w:spacing w:line="580" w:lineRule="exact"/>
              <w:jc w:val="left"/>
              <w:rPr>
                <w:rFonts w:hint="eastAsia" w:ascii="仿宋" w:hAnsi="仿宋" w:eastAsia="仿宋" w:cs="仿宋_GB2312"/>
                <w:sz w:val="18"/>
                <w:szCs w:val="32"/>
                <w:highlight w:val="none"/>
                <w:lang w:val="en-US" w:eastAsia="zh-Hans"/>
              </w:rPr>
            </w:pPr>
            <w:r>
              <w:rPr>
                <w:rFonts w:hint="eastAsia" w:ascii="仿宋" w:hAnsi="仿宋" w:eastAsia="仿宋" w:cs="仿宋_GB2312"/>
                <w:sz w:val="18"/>
                <w:szCs w:val="32"/>
                <w:highlight w:val="none"/>
                <w:lang w:val="en-US" w:eastAsia="zh-Hans"/>
              </w:rPr>
              <w:t>完成</w:t>
            </w:r>
          </w:p>
        </w:tc>
      </w:tr>
    </w:tbl>
    <w:p w14:paraId="299E9FFD">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（3）支出控制方面</w:t>
      </w:r>
    </w:p>
    <w:p w14:paraId="7205F0B5">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①节能降耗：</w:t>
      </w:r>
    </w:p>
    <w:p w14:paraId="260A518F">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本单位本年度水费实际耗用2.31万元，比上年1.06万元增加1.25万元，同比增长幅度较大；电费实际耗用金额7.49万元，比上年7.61万元减少0.12万元，比上年同比下降1.58%。</w:t>
      </w:r>
    </w:p>
    <w:p w14:paraId="48C637F8">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②三公经费：</w:t>
      </w:r>
    </w:p>
    <w:p w14:paraId="0E433500">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公务用车：公务用车本年实际耗用9.94万元，上年公务用车费用实际耗用9.97万元，较上年减少0.03万元，下降0.30%。</w:t>
      </w:r>
    </w:p>
    <w:p w14:paraId="0F335338">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公务接待费：本年公务接待费0.31万元，上年公务接待费0.30万元，较上年增加0.01万元，下降3.33%。</w:t>
      </w:r>
    </w:p>
    <w:p w14:paraId="5D2BBDAB">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因公出国（境）经费：本年因公出国（境）经费0.00万元，未发生因公出国（境）经费。三公经费详见下表：</w:t>
      </w:r>
    </w:p>
    <w:tbl>
      <w:tblPr>
        <w:tblStyle w:val="17"/>
        <w:tblW w:w="59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50"/>
        <w:gridCol w:w="1395"/>
        <w:gridCol w:w="1320"/>
        <w:gridCol w:w="1305"/>
      </w:tblGrid>
      <w:tr w14:paraId="02EA0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970" w:type="dxa"/>
            <w:gridSpan w:val="4"/>
            <w:tcBorders>
              <w:top w:val="nil"/>
              <w:left w:val="nil"/>
              <w:bottom w:val="nil"/>
              <w:right w:val="nil"/>
            </w:tcBorders>
            <w:shd w:val="clear" w:color="auto" w:fill="auto"/>
            <w:vAlign w:val="center"/>
          </w:tcPr>
          <w:p w14:paraId="190E3B87">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三公经费决算增减变动明细表</w:t>
            </w:r>
          </w:p>
        </w:tc>
      </w:tr>
      <w:tr w14:paraId="6A45E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950" w:type="dxa"/>
            <w:tcBorders>
              <w:top w:val="nil"/>
              <w:left w:val="nil"/>
              <w:bottom w:val="nil"/>
              <w:right w:val="nil"/>
            </w:tcBorders>
            <w:shd w:val="clear" w:color="auto" w:fill="auto"/>
            <w:vAlign w:val="center"/>
          </w:tcPr>
          <w:p w14:paraId="0D9FD682">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单位：万元</w:t>
            </w:r>
          </w:p>
        </w:tc>
        <w:tc>
          <w:tcPr>
            <w:tcW w:w="1395" w:type="dxa"/>
            <w:tcBorders>
              <w:top w:val="nil"/>
              <w:left w:val="nil"/>
              <w:bottom w:val="nil"/>
              <w:right w:val="nil"/>
            </w:tcBorders>
            <w:shd w:val="clear" w:color="auto" w:fill="auto"/>
            <w:vAlign w:val="center"/>
          </w:tcPr>
          <w:p w14:paraId="19072E64">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14:paraId="6D16FD67">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14:paraId="3D1B90D0">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4"/>
                <w:szCs w:val="24"/>
                <w:u w:val="none"/>
              </w:rPr>
            </w:pPr>
          </w:p>
        </w:tc>
      </w:tr>
      <w:tr w14:paraId="6E17E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jc w:val="center"/>
        </w:trPr>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1569A">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6C3FD">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公务用车</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22A83">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公务接待费</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BC778">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因公出国（境）经费</w:t>
            </w:r>
          </w:p>
        </w:tc>
      </w:tr>
      <w:tr w14:paraId="366E6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A9E89">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2023年决算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B629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9.97</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44B8D">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0.3</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D7B7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w:t>
            </w:r>
          </w:p>
        </w:tc>
      </w:tr>
      <w:tr w14:paraId="05F3A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9AD4B">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2024年决算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CEA2B">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9.94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23F93">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0.31</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A9FC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w:t>
            </w:r>
          </w:p>
        </w:tc>
      </w:tr>
      <w:tr w14:paraId="43B25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6D839">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增减变动额</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41E5A">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-0.03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80E38">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0.01</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15C6B">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w:t>
            </w:r>
          </w:p>
        </w:tc>
      </w:tr>
      <w:tr w14:paraId="6B446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E78AA">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增减变动率（%）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A03AC">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-0.30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48819">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3.33 </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79D81">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w:t>
            </w:r>
          </w:p>
        </w:tc>
      </w:tr>
    </w:tbl>
    <w:p w14:paraId="27ED322F">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③部门日常公用经费情况：</w:t>
      </w:r>
    </w:p>
    <w:tbl>
      <w:tblPr>
        <w:tblStyle w:val="17"/>
        <w:tblW w:w="92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50"/>
        <w:gridCol w:w="1395"/>
        <w:gridCol w:w="1320"/>
        <w:gridCol w:w="1305"/>
        <w:gridCol w:w="1110"/>
        <w:gridCol w:w="1080"/>
        <w:gridCol w:w="1080"/>
      </w:tblGrid>
      <w:tr w14:paraId="76F87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240" w:type="dxa"/>
            <w:gridSpan w:val="7"/>
            <w:tcBorders>
              <w:top w:val="nil"/>
              <w:left w:val="nil"/>
              <w:bottom w:val="nil"/>
              <w:right w:val="nil"/>
            </w:tcBorders>
            <w:shd w:val="clear" w:color="auto" w:fill="auto"/>
            <w:vAlign w:val="center"/>
          </w:tcPr>
          <w:p w14:paraId="432108F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主要费用支出比较明细表</w:t>
            </w:r>
          </w:p>
        </w:tc>
      </w:tr>
      <w:tr w14:paraId="46E0D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50" w:type="dxa"/>
            <w:tcBorders>
              <w:top w:val="nil"/>
              <w:left w:val="nil"/>
              <w:bottom w:val="nil"/>
              <w:right w:val="nil"/>
            </w:tcBorders>
            <w:shd w:val="clear" w:color="auto" w:fill="auto"/>
            <w:vAlign w:val="center"/>
          </w:tcPr>
          <w:p w14:paraId="1F9BDE8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单位：万元</w:t>
            </w:r>
          </w:p>
        </w:tc>
        <w:tc>
          <w:tcPr>
            <w:tcW w:w="1395" w:type="dxa"/>
            <w:tcBorders>
              <w:top w:val="nil"/>
              <w:left w:val="nil"/>
              <w:bottom w:val="nil"/>
              <w:right w:val="nil"/>
            </w:tcBorders>
            <w:shd w:val="clear" w:color="auto" w:fill="auto"/>
            <w:vAlign w:val="center"/>
          </w:tcPr>
          <w:p w14:paraId="4E026F39">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14:paraId="1DABDB62">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14:paraId="546AFA7E">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4"/>
                <w:szCs w:val="24"/>
                <w:u w:val="none"/>
              </w:rPr>
            </w:pPr>
          </w:p>
        </w:tc>
        <w:tc>
          <w:tcPr>
            <w:tcW w:w="0" w:type="auto"/>
            <w:tcBorders>
              <w:top w:val="nil"/>
              <w:left w:val="nil"/>
              <w:bottom w:val="nil"/>
              <w:right w:val="nil"/>
            </w:tcBorders>
            <w:shd w:val="clear" w:color="auto" w:fill="auto"/>
            <w:noWrap/>
            <w:vAlign w:val="center"/>
          </w:tcPr>
          <w:p w14:paraId="2F88925D">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4"/>
                <w:szCs w:val="24"/>
                <w:u w:val="none"/>
              </w:rPr>
            </w:pPr>
          </w:p>
        </w:tc>
        <w:tc>
          <w:tcPr>
            <w:tcW w:w="0" w:type="auto"/>
            <w:tcBorders>
              <w:top w:val="nil"/>
              <w:left w:val="nil"/>
              <w:bottom w:val="nil"/>
              <w:right w:val="nil"/>
            </w:tcBorders>
            <w:shd w:val="clear" w:color="auto" w:fill="auto"/>
            <w:noWrap/>
            <w:vAlign w:val="center"/>
          </w:tcPr>
          <w:p w14:paraId="025B59B5">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4"/>
                <w:szCs w:val="24"/>
                <w:u w:val="none"/>
              </w:rPr>
            </w:pPr>
          </w:p>
        </w:tc>
        <w:tc>
          <w:tcPr>
            <w:tcW w:w="0" w:type="auto"/>
            <w:tcBorders>
              <w:top w:val="nil"/>
              <w:left w:val="nil"/>
              <w:bottom w:val="nil"/>
              <w:right w:val="nil"/>
            </w:tcBorders>
            <w:shd w:val="clear" w:color="auto" w:fill="auto"/>
            <w:noWrap/>
            <w:vAlign w:val="center"/>
          </w:tcPr>
          <w:p w14:paraId="480E3B0E">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4"/>
                <w:szCs w:val="24"/>
                <w:u w:val="none"/>
              </w:rPr>
            </w:pPr>
          </w:p>
        </w:tc>
      </w:tr>
      <w:tr w14:paraId="48A62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B8C8D">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项目</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5A3C4">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办公费</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C8282">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印刷费</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390B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水费</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2492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8CFE2">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物业管理费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1F7D8">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r>
      <w:tr w14:paraId="19311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80C12">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2023年决算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B4C82">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10.06</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ADE8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0.24</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096D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48BC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7.61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B92A8">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AE958">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18.97</w:t>
            </w:r>
          </w:p>
        </w:tc>
      </w:tr>
      <w:tr w14:paraId="08763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3C2D2">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2024年决算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9AC5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11.44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F937B">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0.14</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1C274">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2.31</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F45D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7.49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CE6F6">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781BA">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21.38</w:t>
            </w:r>
          </w:p>
        </w:tc>
      </w:tr>
      <w:tr w14:paraId="4FFA0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03EFD">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增减变动额</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AAC9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1.38</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9D3FA">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1D30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1.25</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06F1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7CC8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3C43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2.41</w:t>
            </w:r>
          </w:p>
        </w:tc>
      </w:tr>
      <w:tr w14:paraId="0BB03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CAEDC">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增减变动率（%）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39B8D">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13.72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1EA92">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-41.67 </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8015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117.92 </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10A2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-1.58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CE59D">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BB402">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12.70 </w:t>
            </w:r>
          </w:p>
        </w:tc>
      </w:tr>
    </w:tbl>
    <w:p w14:paraId="1431D064">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2024年，日常公用经费、项目支出中办公费、水费、较上年有所增加，印刷费、电费较上年有所下降，没有物业管理费。</w:t>
      </w:r>
    </w:p>
    <w:p w14:paraId="1A6483AC">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④预决算偏差程度：</w:t>
      </w:r>
    </w:p>
    <w:p w14:paraId="0CB850C9">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rPr>
      </w:pPr>
      <w:r>
        <w:rPr>
          <w:rFonts w:hint="eastAsia" w:ascii="仿宋_GB2312" w:hAnsi="仿宋_GB2312" w:eastAsia="仿宋_GB2312" w:cs="仿宋_GB2312"/>
          <w:sz w:val="32"/>
          <w:szCs w:val="32"/>
        </w:rPr>
        <w:t>2024年办公费、印刷费、水费、电费全年预算数与决算有持平。</w:t>
      </w:r>
    </w:p>
    <w:p w14:paraId="40F44881">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）在及时处置方面，我单位绩效运行监控未发现问题。本单位2024年度无绩效监控调整额，无预算结余注销额。</w:t>
      </w:r>
    </w:p>
    <w:p w14:paraId="51C096A4">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）执行进度方面</w:t>
      </w:r>
    </w:p>
    <w:p w14:paraId="358E9906">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下达预算总额2099.88万元。2024年6月30日、9月30日、11月30日和12月31日实际支出分别为1012.05万元、1558.91万元、1804.58万元、2099.88万元；实际预算支出分别占部门预算总额的48.20%、74.24%、85.94%、100.00%。同考评目标进度相比，项目单位绩效目标进度增加8.20%、6.74%和3.44%和0.00%。详见下表：</w:t>
      </w:r>
    </w:p>
    <w:tbl>
      <w:tblPr>
        <w:tblStyle w:val="17"/>
        <w:tblW w:w="70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50"/>
        <w:gridCol w:w="1395"/>
        <w:gridCol w:w="1320"/>
        <w:gridCol w:w="1305"/>
        <w:gridCol w:w="1110"/>
      </w:tblGrid>
      <w:tr w14:paraId="72EE6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5" w:hRule="atLeast"/>
          <w:jc w:val="center"/>
        </w:trPr>
        <w:tc>
          <w:tcPr>
            <w:tcW w:w="7080" w:type="dxa"/>
            <w:gridSpan w:val="5"/>
            <w:tcBorders>
              <w:top w:val="nil"/>
              <w:left w:val="nil"/>
              <w:bottom w:val="nil"/>
              <w:right w:val="nil"/>
            </w:tcBorders>
            <w:shd w:val="clear" w:color="auto" w:fill="auto"/>
            <w:vAlign w:val="center"/>
          </w:tcPr>
          <w:p w14:paraId="07B11EFA">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2024年度汇总执行进度明细表</w:t>
            </w:r>
          </w:p>
        </w:tc>
      </w:tr>
      <w:tr w14:paraId="59335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950" w:type="dxa"/>
            <w:tcBorders>
              <w:top w:val="nil"/>
              <w:left w:val="nil"/>
              <w:bottom w:val="nil"/>
              <w:right w:val="nil"/>
            </w:tcBorders>
            <w:shd w:val="clear" w:color="auto" w:fill="auto"/>
            <w:vAlign w:val="center"/>
          </w:tcPr>
          <w:p w14:paraId="5077F159">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单位：万元</w:t>
            </w:r>
          </w:p>
        </w:tc>
        <w:tc>
          <w:tcPr>
            <w:tcW w:w="1395" w:type="dxa"/>
            <w:tcBorders>
              <w:top w:val="nil"/>
              <w:left w:val="nil"/>
              <w:bottom w:val="nil"/>
              <w:right w:val="nil"/>
            </w:tcBorders>
            <w:shd w:val="clear" w:color="auto" w:fill="auto"/>
            <w:vAlign w:val="center"/>
          </w:tcPr>
          <w:p w14:paraId="4AA27F8D">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14:paraId="6C0B1BC5">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14:paraId="76EFFD9B">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4"/>
                <w:szCs w:val="24"/>
                <w:u w:val="none"/>
              </w:rPr>
            </w:pPr>
          </w:p>
        </w:tc>
        <w:tc>
          <w:tcPr>
            <w:tcW w:w="0" w:type="auto"/>
            <w:tcBorders>
              <w:top w:val="nil"/>
              <w:left w:val="nil"/>
              <w:bottom w:val="nil"/>
              <w:right w:val="nil"/>
            </w:tcBorders>
            <w:shd w:val="clear" w:color="auto" w:fill="auto"/>
            <w:noWrap/>
            <w:vAlign w:val="center"/>
          </w:tcPr>
          <w:p w14:paraId="07C753F4">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4"/>
                <w:szCs w:val="24"/>
                <w:u w:val="none"/>
              </w:rPr>
            </w:pPr>
          </w:p>
        </w:tc>
      </w:tr>
      <w:tr w14:paraId="001E9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9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4E2E1">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w:t>
            </w:r>
          </w:p>
        </w:tc>
        <w:tc>
          <w:tcPr>
            <w:tcW w:w="1395" w:type="dxa"/>
            <w:tcBorders>
              <w:top w:val="single" w:color="000000" w:sz="8" w:space="0"/>
              <w:left w:val="nil"/>
              <w:bottom w:val="single" w:color="000000" w:sz="8" w:space="0"/>
              <w:right w:val="single" w:color="000000" w:sz="8" w:space="0"/>
            </w:tcBorders>
            <w:shd w:val="clear" w:color="auto" w:fill="auto"/>
            <w:vAlign w:val="center"/>
          </w:tcPr>
          <w:p w14:paraId="66E777EC">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6月30日</w:t>
            </w:r>
          </w:p>
        </w:tc>
        <w:tc>
          <w:tcPr>
            <w:tcW w:w="1320" w:type="dxa"/>
            <w:tcBorders>
              <w:top w:val="single" w:color="000000" w:sz="8" w:space="0"/>
              <w:left w:val="nil"/>
              <w:bottom w:val="single" w:color="000000" w:sz="8" w:space="0"/>
              <w:right w:val="single" w:color="000000" w:sz="8" w:space="0"/>
            </w:tcBorders>
            <w:shd w:val="clear" w:color="auto" w:fill="auto"/>
            <w:vAlign w:val="center"/>
          </w:tcPr>
          <w:p w14:paraId="4206E22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9月30日</w:t>
            </w:r>
          </w:p>
        </w:tc>
        <w:tc>
          <w:tcPr>
            <w:tcW w:w="1305" w:type="dxa"/>
            <w:tcBorders>
              <w:top w:val="single" w:color="000000" w:sz="8" w:space="0"/>
              <w:left w:val="nil"/>
              <w:bottom w:val="single" w:color="000000" w:sz="8" w:space="0"/>
              <w:right w:val="single" w:color="000000" w:sz="8" w:space="0"/>
            </w:tcBorders>
            <w:shd w:val="clear" w:color="auto" w:fill="auto"/>
            <w:vAlign w:val="center"/>
          </w:tcPr>
          <w:p w14:paraId="423B4CBA">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11月30日</w:t>
            </w:r>
          </w:p>
        </w:tc>
        <w:tc>
          <w:tcPr>
            <w:tcW w:w="1110" w:type="dxa"/>
            <w:tcBorders>
              <w:top w:val="single" w:color="000000" w:sz="8" w:space="0"/>
              <w:left w:val="nil"/>
              <w:bottom w:val="single" w:color="000000" w:sz="8" w:space="0"/>
              <w:right w:val="single" w:color="000000" w:sz="8" w:space="0"/>
            </w:tcBorders>
            <w:shd w:val="clear" w:color="auto" w:fill="auto"/>
            <w:vAlign w:val="center"/>
          </w:tcPr>
          <w:p w14:paraId="3AF61614">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12月31日</w:t>
            </w:r>
          </w:p>
        </w:tc>
      </w:tr>
      <w:tr w14:paraId="21D3E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950" w:type="dxa"/>
            <w:tcBorders>
              <w:top w:val="nil"/>
              <w:left w:val="single" w:color="000000" w:sz="8" w:space="0"/>
              <w:bottom w:val="single" w:color="000000" w:sz="8" w:space="0"/>
              <w:right w:val="single" w:color="000000" w:sz="8" w:space="0"/>
            </w:tcBorders>
            <w:shd w:val="clear" w:color="auto" w:fill="auto"/>
            <w:vAlign w:val="center"/>
          </w:tcPr>
          <w:p w14:paraId="17525FE3">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实际执行金额</w:t>
            </w:r>
          </w:p>
        </w:tc>
        <w:tc>
          <w:tcPr>
            <w:tcW w:w="1395" w:type="dxa"/>
            <w:tcBorders>
              <w:top w:val="nil"/>
              <w:left w:val="nil"/>
              <w:bottom w:val="single" w:color="000000" w:sz="8" w:space="0"/>
              <w:right w:val="single" w:color="000000" w:sz="8" w:space="0"/>
            </w:tcBorders>
            <w:shd w:val="clear" w:color="auto" w:fill="auto"/>
            <w:vAlign w:val="center"/>
          </w:tcPr>
          <w:p w14:paraId="5ABAE5A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1012.05</w:t>
            </w:r>
          </w:p>
        </w:tc>
        <w:tc>
          <w:tcPr>
            <w:tcW w:w="1320" w:type="dxa"/>
            <w:tcBorders>
              <w:top w:val="nil"/>
              <w:left w:val="nil"/>
              <w:bottom w:val="single" w:color="000000" w:sz="8" w:space="0"/>
              <w:right w:val="single" w:color="000000" w:sz="8" w:space="0"/>
            </w:tcBorders>
            <w:shd w:val="clear" w:color="auto" w:fill="auto"/>
            <w:vAlign w:val="center"/>
          </w:tcPr>
          <w:p w14:paraId="57099BDB">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1558.91</w:t>
            </w:r>
          </w:p>
        </w:tc>
        <w:tc>
          <w:tcPr>
            <w:tcW w:w="1305" w:type="dxa"/>
            <w:tcBorders>
              <w:top w:val="nil"/>
              <w:left w:val="nil"/>
              <w:bottom w:val="single" w:color="000000" w:sz="8" w:space="0"/>
              <w:right w:val="single" w:color="000000" w:sz="8" w:space="0"/>
            </w:tcBorders>
            <w:shd w:val="clear" w:color="auto" w:fill="auto"/>
            <w:vAlign w:val="center"/>
          </w:tcPr>
          <w:p w14:paraId="0CCACB5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1804.58</w:t>
            </w:r>
          </w:p>
        </w:tc>
        <w:tc>
          <w:tcPr>
            <w:tcW w:w="1110" w:type="dxa"/>
            <w:tcBorders>
              <w:top w:val="nil"/>
              <w:left w:val="nil"/>
              <w:bottom w:val="single" w:color="000000" w:sz="8" w:space="0"/>
              <w:right w:val="single" w:color="000000" w:sz="8" w:space="0"/>
            </w:tcBorders>
            <w:shd w:val="clear" w:color="auto" w:fill="auto"/>
            <w:vAlign w:val="center"/>
          </w:tcPr>
          <w:p w14:paraId="2C6F155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2099.88</w:t>
            </w:r>
          </w:p>
        </w:tc>
      </w:tr>
      <w:tr w14:paraId="7C5DE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1950" w:type="dxa"/>
            <w:tcBorders>
              <w:top w:val="nil"/>
              <w:left w:val="single" w:color="000000" w:sz="8" w:space="0"/>
              <w:bottom w:val="single" w:color="000000" w:sz="8" w:space="0"/>
              <w:right w:val="single" w:color="000000" w:sz="8" w:space="0"/>
            </w:tcBorders>
            <w:shd w:val="clear" w:color="auto" w:fill="auto"/>
            <w:vAlign w:val="center"/>
          </w:tcPr>
          <w:p w14:paraId="3A8BEEAA">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执行进度</w:t>
            </w:r>
          </w:p>
        </w:tc>
        <w:tc>
          <w:tcPr>
            <w:tcW w:w="1395" w:type="dxa"/>
            <w:tcBorders>
              <w:top w:val="nil"/>
              <w:left w:val="nil"/>
              <w:bottom w:val="single" w:color="000000" w:sz="8" w:space="0"/>
              <w:right w:val="single" w:color="000000" w:sz="8" w:space="0"/>
            </w:tcBorders>
            <w:shd w:val="clear" w:color="auto" w:fill="auto"/>
            <w:vAlign w:val="center"/>
          </w:tcPr>
          <w:p w14:paraId="11AE0599">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48.20%</w:t>
            </w:r>
          </w:p>
        </w:tc>
        <w:tc>
          <w:tcPr>
            <w:tcW w:w="1320" w:type="dxa"/>
            <w:tcBorders>
              <w:top w:val="nil"/>
              <w:left w:val="nil"/>
              <w:bottom w:val="single" w:color="000000" w:sz="8" w:space="0"/>
              <w:right w:val="single" w:color="000000" w:sz="8" w:space="0"/>
            </w:tcBorders>
            <w:shd w:val="clear" w:color="auto" w:fill="auto"/>
            <w:vAlign w:val="center"/>
          </w:tcPr>
          <w:p w14:paraId="248146F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74.24%</w:t>
            </w:r>
          </w:p>
        </w:tc>
        <w:tc>
          <w:tcPr>
            <w:tcW w:w="1305" w:type="dxa"/>
            <w:tcBorders>
              <w:top w:val="nil"/>
              <w:left w:val="nil"/>
              <w:bottom w:val="single" w:color="000000" w:sz="8" w:space="0"/>
              <w:right w:val="single" w:color="000000" w:sz="8" w:space="0"/>
            </w:tcBorders>
            <w:shd w:val="clear" w:color="auto" w:fill="auto"/>
            <w:vAlign w:val="center"/>
          </w:tcPr>
          <w:p w14:paraId="52BD918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85.94%</w:t>
            </w:r>
          </w:p>
        </w:tc>
        <w:tc>
          <w:tcPr>
            <w:tcW w:w="1110" w:type="dxa"/>
            <w:tcBorders>
              <w:top w:val="nil"/>
              <w:left w:val="nil"/>
              <w:bottom w:val="single" w:color="000000" w:sz="8" w:space="0"/>
              <w:right w:val="single" w:color="000000" w:sz="8" w:space="0"/>
            </w:tcBorders>
            <w:shd w:val="clear" w:color="auto" w:fill="auto"/>
            <w:vAlign w:val="center"/>
          </w:tcPr>
          <w:p w14:paraId="144F3FF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100.00%</w:t>
            </w:r>
          </w:p>
        </w:tc>
      </w:tr>
      <w:tr w14:paraId="741DA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950" w:type="dxa"/>
            <w:tcBorders>
              <w:top w:val="nil"/>
              <w:left w:val="single" w:color="000000" w:sz="8" w:space="0"/>
              <w:bottom w:val="single" w:color="000000" w:sz="8" w:space="0"/>
              <w:right w:val="single" w:color="000000" w:sz="8" w:space="0"/>
            </w:tcBorders>
            <w:shd w:val="clear" w:color="auto" w:fill="auto"/>
            <w:vAlign w:val="center"/>
          </w:tcPr>
          <w:p w14:paraId="2BE78263">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目标进度</w:t>
            </w:r>
          </w:p>
        </w:tc>
        <w:tc>
          <w:tcPr>
            <w:tcW w:w="1395" w:type="dxa"/>
            <w:tcBorders>
              <w:top w:val="nil"/>
              <w:left w:val="nil"/>
              <w:bottom w:val="single" w:color="000000" w:sz="12" w:space="0"/>
              <w:right w:val="single" w:color="000000" w:sz="12" w:space="0"/>
            </w:tcBorders>
            <w:shd w:val="clear" w:color="auto" w:fill="auto"/>
            <w:vAlign w:val="center"/>
          </w:tcPr>
          <w:p w14:paraId="011642AC">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40.00%</w:t>
            </w:r>
          </w:p>
        </w:tc>
        <w:tc>
          <w:tcPr>
            <w:tcW w:w="1320" w:type="dxa"/>
            <w:tcBorders>
              <w:top w:val="nil"/>
              <w:left w:val="nil"/>
              <w:bottom w:val="single" w:color="000000" w:sz="12" w:space="0"/>
              <w:right w:val="single" w:color="000000" w:sz="12" w:space="0"/>
            </w:tcBorders>
            <w:shd w:val="clear" w:color="auto" w:fill="auto"/>
            <w:vAlign w:val="center"/>
          </w:tcPr>
          <w:p w14:paraId="22435C8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67.50%</w:t>
            </w:r>
          </w:p>
        </w:tc>
        <w:tc>
          <w:tcPr>
            <w:tcW w:w="1305" w:type="dxa"/>
            <w:tcBorders>
              <w:top w:val="nil"/>
              <w:left w:val="nil"/>
              <w:bottom w:val="single" w:color="000000" w:sz="12" w:space="0"/>
              <w:right w:val="single" w:color="000000" w:sz="12" w:space="0"/>
            </w:tcBorders>
            <w:shd w:val="clear" w:color="auto" w:fill="auto"/>
            <w:vAlign w:val="center"/>
          </w:tcPr>
          <w:p w14:paraId="00463BB2">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82.50%</w:t>
            </w:r>
          </w:p>
        </w:tc>
        <w:tc>
          <w:tcPr>
            <w:tcW w:w="1110" w:type="dxa"/>
            <w:tcBorders>
              <w:top w:val="nil"/>
              <w:left w:val="nil"/>
              <w:bottom w:val="single" w:color="000000" w:sz="12" w:space="0"/>
              <w:right w:val="single" w:color="000000" w:sz="12" w:space="0"/>
            </w:tcBorders>
            <w:shd w:val="clear" w:color="auto" w:fill="auto"/>
            <w:vAlign w:val="center"/>
          </w:tcPr>
          <w:p w14:paraId="638CC553">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100.00%</w:t>
            </w:r>
          </w:p>
        </w:tc>
      </w:tr>
      <w:tr w14:paraId="46B38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950" w:type="dxa"/>
            <w:tcBorders>
              <w:top w:val="nil"/>
              <w:left w:val="single" w:color="000000" w:sz="8" w:space="0"/>
              <w:bottom w:val="single" w:color="000000" w:sz="8" w:space="0"/>
              <w:right w:val="single" w:color="000000" w:sz="8" w:space="0"/>
            </w:tcBorders>
            <w:shd w:val="clear" w:color="auto" w:fill="auto"/>
            <w:vAlign w:val="center"/>
          </w:tcPr>
          <w:p w14:paraId="3093985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进度差额</w:t>
            </w:r>
          </w:p>
        </w:tc>
        <w:tc>
          <w:tcPr>
            <w:tcW w:w="1395" w:type="dxa"/>
            <w:tcBorders>
              <w:top w:val="nil"/>
              <w:left w:val="nil"/>
              <w:bottom w:val="single" w:color="000000" w:sz="8" w:space="0"/>
              <w:right w:val="single" w:color="000000" w:sz="8" w:space="0"/>
            </w:tcBorders>
            <w:shd w:val="clear" w:color="auto" w:fill="auto"/>
            <w:vAlign w:val="center"/>
          </w:tcPr>
          <w:p w14:paraId="4C3689E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8.20%</w:t>
            </w:r>
          </w:p>
        </w:tc>
        <w:tc>
          <w:tcPr>
            <w:tcW w:w="1320" w:type="dxa"/>
            <w:tcBorders>
              <w:top w:val="nil"/>
              <w:left w:val="nil"/>
              <w:bottom w:val="single" w:color="000000" w:sz="8" w:space="0"/>
              <w:right w:val="single" w:color="000000" w:sz="8" w:space="0"/>
            </w:tcBorders>
            <w:shd w:val="clear" w:color="auto" w:fill="auto"/>
            <w:vAlign w:val="center"/>
          </w:tcPr>
          <w:p w14:paraId="7D9BFFC3">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6.74%</w:t>
            </w:r>
          </w:p>
        </w:tc>
        <w:tc>
          <w:tcPr>
            <w:tcW w:w="1305" w:type="dxa"/>
            <w:tcBorders>
              <w:top w:val="nil"/>
              <w:left w:val="nil"/>
              <w:bottom w:val="single" w:color="000000" w:sz="8" w:space="0"/>
              <w:right w:val="single" w:color="000000" w:sz="8" w:space="0"/>
            </w:tcBorders>
            <w:shd w:val="clear" w:color="auto" w:fill="auto"/>
            <w:vAlign w:val="center"/>
          </w:tcPr>
          <w:p w14:paraId="779A2F0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3.44%</w:t>
            </w:r>
          </w:p>
        </w:tc>
        <w:tc>
          <w:tcPr>
            <w:tcW w:w="1110" w:type="dxa"/>
            <w:tcBorders>
              <w:top w:val="nil"/>
              <w:left w:val="nil"/>
              <w:bottom w:val="single" w:color="000000" w:sz="8" w:space="0"/>
              <w:right w:val="single" w:color="000000" w:sz="8" w:space="0"/>
            </w:tcBorders>
            <w:shd w:val="clear" w:color="auto" w:fill="auto"/>
            <w:vAlign w:val="center"/>
          </w:tcPr>
          <w:p w14:paraId="3EFC1128">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0.00%</w:t>
            </w:r>
          </w:p>
        </w:tc>
      </w:tr>
    </w:tbl>
    <w:p w14:paraId="3C1D36C7">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（6）预算完成情况及资金结余率方面</w:t>
      </w:r>
    </w:p>
    <w:p w14:paraId="7FDE7436">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本部门2024年预算资金总额为1900.95万元，调整预算198.93万元，实际执行资金总额为2099.88万元。</w:t>
      </w:r>
    </w:p>
    <w:p w14:paraId="219217BB">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本单位2024年申报了绩效目标的项目共9个，调整预算后为7个项目。具体各项目预算完成、预算调整及项目资金到位与使用情况详见下表：</w:t>
      </w:r>
    </w:p>
    <w:tbl>
      <w:tblPr>
        <w:tblStyle w:val="17"/>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6"/>
        <w:gridCol w:w="1602"/>
        <w:gridCol w:w="1133"/>
        <w:gridCol w:w="1026"/>
        <w:gridCol w:w="1026"/>
        <w:gridCol w:w="952"/>
        <w:gridCol w:w="952"/>
        <w:gridCol w:w="1042"/>
      </w:tblGrid>
      <w:tr w14:paraId="76534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gridSpan w:val="8"/>
            <w:tcBorders>
              <w:top w:val="nil"/>
              <w:left w:val="nil"/>
              <w:bottom w:val="nil"/>
              <w:right w:val="nil"/>
            </w:tcBorders>
            <w:shd w:val="clear" w:color="auto" w:fill="auto"/>
            <w:vAlign w:val="center"/>
          </w:tcPr>
          <w:p w14:paraId="01AF202A">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2024年度项目资金到位与使用明细表</w:t>
            </w:r>
          </w:p>
        </w:tc>
      </w:tr>
      <w:tr w14:paraId="23CC3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nil"/>
              <w:left w:val="nil"/>
              <w:bottom w:val="nil"/>
              <w:right w:val="nil"/>
            </w:tcBorders>
            <w:shd w:val="clear" w:color="auto" w:fill="auto"/>
            <w:noWrap/>
            <w:vAlign w:val="center"/>
          </w:tcPr>
          <w:p w14:paraId="2191FFB3">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4"/>
                <w:szCs w:val="24"/>
                <w:u w:val="none"/>
              </w:rPr>
            </w:pPr>
          </w:p>
        </w:tc>
        <w:tc>
          <w:tcPr>
            <w:tcW w:w="0" w:type="auto"/>
            <w:tcBorders>
              <w:top w:val="nil"/>
              <w:left w:val="nil"/>
              <w:bottom w:val="nil"/>
              <w:right w:val="nil"/>
            </w:tcBorders>
            <w:shd w:val="clear" w:color="auto" w:fill="auto"/>
            <w:vAlign w:val="center"/>
          </w:tcPr>
          <w:p w14:paraId="1A734B5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单位：万元</w:t>
            </w:r>
          </w:p>
        </w:tc>
        <w:tc>
          <w:tcPr>
            <w:tcW w:w="0" w:type="auto"/>
            <w:tcBorders>
              <w:top w:val="nil"/>
              <w:left w:val="nil"/>
              <w:bottom w:val="nil"/>
              <w:right w:val="nil"/>
            </w:tcBorders>
            <w:shd w:val="clear" w:color="auto" w:fill="auto"/>
            <w:vAlign w:val="center"/>
          </w:tcPr>
          <w:p w14:paraId="16074784">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4"/>
                <w:szCs w:val="24"/>
                <w:u w:val="none"/>
              </w:rPr>
            </w:pPr>
          </w:p>
        </w:tc>
        <w:tc>
          <w:tcPr>
            <w:tcW w:w="0" w:type="auto"/>
            <w:tcBorders>
              <w:top w:val="nil"/>
              <w:left w:val="nil"/>
              <w:bottom w:val="nil"/>
              <w:right w:val="nil"/>
            </w:tcBorders>
            <w:shd w:val="clear" w:color="auto" w:fill="auto"/>
            <w:vAlign w:val="center"/>
          </w:tcPr>
          <w:p w14:paraId="6816CAB9">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4"/>
                <w:szCs w:val="24"/>
                <w:u w:val="none"/>
              </w:rPr>
            </w:pPr>
          </w:p>
        </w:tc>
        <w:tc>
          <w:tcPr>
            <w:tcW w:w="0" w:type="auto"/>
            <w:tcBorders>
              <w:top w:val="nil"/>
              <w:left w:val="nil"/>
              <w:bottom w:val="nil"/>
              <w:right w:val="nil"/>
            </w:tcBorders>
            <w:shd w:val="clear" w:color="auto" w:fill="auto"/>
            <w:vAlign w:val="center"/>
          </w:tcPr>
          <w:p w14:paraId="773D04C4">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4"/>
                <w:szCs w:val="24"/>
                <w:u w:val="none"/>
              </w:rPr>
            </w:pPr>
          </w:p>
        </w:tc>
        <w:tc>
          <w:tcPr>
            <w:tcW w:w="0" w:type="auto"/>
            <w:tcBorders>
              <w:top w:val="nil"/>
              <w:left w:val="nil"/>
              <w:bottom w:val="nil"/>
              <w:right w:val="nil"/>
            </w:tcBorders>
            <w:shd w:val="clear" w:color="auto" w:fill="auto"/>
            <w:vAlign w:val="center"/>
          </w:tcPr>
          <w:p w14:paraId="103CB644">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4"/>
                <w:szCs w:val="24"/>
                <w:u w:val="none"/>
              </w:rPr>
            </w:pPr>
          </w:p>
        </w:tc>
        <w:tc>
          <w:tcPr>
            <w:tcW w:w="0" w:type="auto"/>
            <w:tcBorders>
              <w:top w:val="nil"/>
              <w:left w:val="nil"/>
              <w:bottom w:val="nil"/>
              <w:right w:val="nil"/>
            </w:tcBorders>
            <w:shd w:val="clear" w:color="auto" w:fill="auto"/>
            <w:vAlign w:val="center"/>
          </w:tcPr>
          <w:p w14:paraId="4505B935">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4"/>
                <w:szCs w:val="24"/>
                <w:u w:val="none"/>
              </w:rPr>
            </w:pPr>
          </w:p>
        </w:tc>
        <w:tc>
          <w:tcPr>
            <w:tcW w:w="0" w:type="auto"/>
            <w:tcBorders>
              <w:top w:val="nil"/>
              <w:left w:val="nil"/>
              <w:bottom w:val="nil"/>
              <w:right w:val="nil"/>
            </w:tcBorders>
            <w:shd w:val="clear" w:color="auto" w:fill="auto"/>
            <w:vAlign w:val="center"/>
          </w:tcPr>
          <w:p w14:paraId="6729C6DB">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4"/>
                <w:szCs w:val="24"/>
                <w:u w:val="none"/>
              </w:rPr>
            </w:pPr>
          </w:p>
        </w:tc>
      </w:tr>
      <w:tr w14:paraId="79026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6EFE3">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13C54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47690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年初预算资金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E772EC">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调整预算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62C599">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全年预算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B37E8B">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资金到位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3690B6">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资金使用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BA08DA">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未到位资金</w:t>
            </w:r>
          </w:p>
        </w:tc>
      </w:tr>
      <w:tr w14:paraId="2BD6B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C9E69">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AB9984">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违章建筑拆除经费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F0209">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15.00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482A41">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-10.92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EFCE4A">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4.08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9C0ED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4.08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E20C0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4.08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CCBF24">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w:t>
            </w:r>
          </w:p>
        </w:tc>
      </w:tr>
      <w:tr w14:paraId="7095C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7D1C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8881FD">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路政超限检测站、点视频监控费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940DB">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6.24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1BF76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-4.88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1AB0A3">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1.36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FBD171">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1.36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943B1D">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1.36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3A0C9A">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w:t>
            </w:r>
          </w:p>
        </w:tc>
      </w:tr>
      <w:tr w14:paraId="194D0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077BB">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C476B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补助执法人员误餐、加班、差旅经费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51F2B">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94A9D8">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38.37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7AA3B8">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38.37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A22CF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15.53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AA332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15.53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B01924">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22.83</w:t>
            </w:r>
          </w:p>
        </w:tc>
      </w:tr>
      <w:tr w14:paraId="24ED3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8EB3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AAB2A2">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公益性岗位补贴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24145">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086368">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24.40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3E05E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24.40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70558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24.40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E50F28">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24.40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79AA8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w:t>
            </w:r>
          </w:p>
        </w:tc>
      </w:tr>
      <w:tr w14:paraId="0D612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CCC5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710E7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购置制式服装项目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FF3D1">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611066">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D5A44A">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EC1BE1">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25.00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19E409">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D2BF5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r>
      <w:tr w14:paraId="5EF66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B249D">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4B8589">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综合执法经费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F10CC">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18.00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E71A1B">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-16.63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A70154">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1.38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95248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1.37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895788">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1.38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434457">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w:t>
            </w:r>
          </w:p>
        </w:tc>
      </w:tr>
      <w:tr w14:paraId="7A8B3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4C74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FB38D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龙舟赛</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001D6">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51CD0B">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1.28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BAF39B">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BCE29A">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1.28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3B7C1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1B40A1">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w:t>
            </w:r>
          </w:p>
        </w:tc>
      </w:tr>
      <w:tr w14:paraId="4A8E1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DA55D">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F183EC">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路政检测站设施维护经费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40A3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ED57AA">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F3AE12">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4504E2">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A0205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FC175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w:t>
            </w:r>
          </w:p>
        </w:tc>
      </w:tr>
      <w:tr w14:paraId="2889D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C8C81">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D789A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执法办案服装、装备购置费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09721">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D4846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41847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7899E6">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63174C">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9267D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w:t>
            </w:r>
          </w:p>
        </w:tc>
      </w:tr>
      <w:tr w14:paraId="6B102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5291C">
            <w:pPr>
              <w:keepNext w:val="0"/>
              <w:keepLines w:val="0"/>
              <w:pageBreakBefore w:val="0"/>
              <w:kinsoku/>
              <w:wordWrap/>
              <w:overflowPunct/>
              <w:topLinePunct w:val="0"/>
              <w:autoSpaceDE/>
              <w:autoSpaceDN/>
              <w:bidi w:val="0"/>
              <w:adjustRightInd/>
              <w:snapToGrid/>
              <w:spacing w:line="580" w:lineRule="exact"/>
              <w:jc w:val="left"/>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A5499E">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7F1089">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79.24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B577A2">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21.62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D9AB1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100.86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CB7342">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73.03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66D69F">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73.03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F744D5">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27.83</w:t>
            </w:r>
          </w:p>
        </w:tc>
      </w:tr>
    </w:tbl>
    <w:p w14:paraId="1B772D60">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（7）违规记录方面</w:t>
      </w:r>
    </w:p>
    <w:p w14:paraId="5D0E910B">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本单位2024年度未接受审计监督和财政检查。无违规的情况。</w:t>
      </w:r>
    </w:p>
    <w:p w14:paraId="7BE7249F">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2.50万元以上项目：</w:t>
      </w:r>
    </w:p>
    <w:p w14:paraId="65374F44">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本单位本年无50万元以上项目。</w:t>
      </w:r>
    </w:p>
    <w:p w14:paraId="4B30E1E0">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（三）结果应用情况。</w:t>
      </w:r>
    </w:p>
    <w:p w14:paraId="5C0AB826">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在内部应用方面，我单位将内设机构和大队绩效自评纳入了考核体系，不断建立完善对内设机构和大队预算与绩效挂钩的相关机制。</w:t>
      </w:r>
    </w:p>
    <w:p w14:paraId="57A123F5">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评公开方面，按照《中华人民共和国政府信息公开条例》及五通桥区财政局要求，我单位在五通桥区人民政府信息公开网站门户上对2024年年度部门预算情况以及部门整体绩效目标情况等进行了公开，信息公开及时。</w:t>
      </w:r>
    </w:p>
    <w:p w14:paraId="2C921547">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本单位将按相关要求对2024年度部门决算情况、部门整体绩效自评情况、自行组织绩效评价开展情况以及自评得分情况等在乐山市五通桥区人民政府门户网站上一并进行公开。</w:t>
      </w:r>
    </w:p>
    <w:p w14:paraId="0C9D81E4">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问题整改及应用反馈方面，2024年未对我单位进行部门整体绩效评价和专项项目绩效评价，未发现预算管理问题，不存在问题整改及应用反馈。</w:t>
      </w:r>
    </w:p>
    <w:p w14:paraId="516D9B6C">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四、评价结论及建议</w:t>
      </w:r>
    </w:p>
    <w:p w14:paraId="2C4C43D8">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（一）评价结论</w:t>
      </w:r>
    </w:p>
    <w:p w14:paraId="5DC1A361">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2024年,我单位实现相关领域“行政处罚权和相应的行政检查权、行政强制权”等职责，较好的完成了部门整体目标任务。但通过评价也发现，我单位在绩效管理、预算编制和内控管理等方面需进一步加强和改进。我单位整体绩效评价自评得分 95分，详见2024年度《区级部门整体绩效自评体系》。 </w:t>
      </w:r>
    </w:p>
    <w:p w14:paraId="2DA59F01">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（二）存在的主要问题</w:t>
      </w:r>
    </w:p>
    <w:p w14:paraId="746F1EF6">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1、个别经济科目在使用中不够准确。</w:t>
      </w:r>
    </w:p>
    <w:p w14:paraId="61B4EC31">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2、存在年初预算决算偏差程度差异较大的问题。</w:t>
      </w:r>
    </w:p>
    <w:p w14:paraId="21C90D33">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3、在部门绩效目标的科学合理、规范完整、细化量化并与预算安排相匹配方面还需进一步提高。</w:t>
      </w:r>
    </w:p>
    <w:p w14:paraId="4361BB19">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（三）改进建议</w:t>
      </w:r>
    </w:p>
    <w:p w14:paraId="3FE457BF">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针对上述存在的问题及对外整体支出管理工作的需要，拟实施的改进措施如下：</w:t>
      </w:r>
    </w:p>
    <w:p w14:paraId="0C32C2BF">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1、提升财务专业知识水平，正确规范使用经济科目、功能科目。</w:t>
      </w:r>
    </w:p>
    <w:p w14:paraId="75366DB6">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2、细化预算编制工作，认真做好预算编制。进一步加强单位内部机构各股室的预算管理意识，严格按照预算编制的相关制度和要求进行预算编制。</w:t>
      </w:r>
    </w:p>
    <w:p w14:paraId="5FEF87AF">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p>
    <w:p w14:paraId="2F64D0C6">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rPr>
      </w:pPr>
    </w:p>
    <w:p w14:paraId="4F169084">
      <w:pPr>
        <w:bidi w:val="0"/>
        <w:rPr>
          <w:rFonts w:hint="eastAsia" w:asciiTheme="minorHAnsi" w:hAnsiTheme="minorHAnsi" w:eastAsiaTheme="minorEastAsia" w:cstheme="minorBidi"/>
          <w:kern w:val="2"/>
          <w:sz w:val="21"/>
          <w:szCs w:val="24"/>
          <w:lang w:val="en-US" w:eastAsia="zh-CN" w:bidi="ar-SA"/>
        </w:rPr>
      </w:pPr>
    </w:p>
    <w:p w14:paraId="0D1049BF">
      <w:pPr>
        <w:bidi w:val="0"/>
        <w:rPr>
          <w:rFonts w:hint="eastAsia"/>
          <w:lang w:val="en-US" w:eastAsia="zh-CN"/>
        </w:rPr>
      </w:pPr>
    </w:p>
    <w:p w14:paraId="08DF979F">
      <w:pPr>
        <w:bidi w:val="0"/>
        <w:rPr>
          <w:rFonts w:hint="eastAsia"/>
          <w:lang w:val="en-US" w:eastAsia="zh-CN"/>
        </w:rPr>
      </w:pPr>
    </w:p>
    <w:p w14:paraId="1480E48C">
      <w:pPr>
        <w:keepNext w:val="0"/>
        <w:keepLines w:val="0"/>
        <w:pageBreakBefore w:val="0"/>
        <w:kinsoku/>
        <w:wordWrap/>
        <w:overflowPunct/>
        <w:topLinePunct w:val="0"/>
        <w:autoSpaceDE/>
        <w:autoSpaceDN/>
        <w:bidi w:val="0"/>
        <w:adjustRightInd/>
        <w:snapToGrid/>
        <w:spacing w:line="580" w:lineRule="exact"/>
        <w:ind w:firstLine="420" w:firstLineChars="200"/>
        <w:jc w:val="right"/>
        <w:rPr>
          <w:rFonts w:hint="eastAsia" w:ascii="仿宋_GB2312" w:hAnsi="仿宋_GB2312" w:eastAsia="仿宋_GB2312" w:cs="仿宋_GB2312"/>
          <w:sz w:val="32"/>
          <w:szCs w:val="32"/>
          <w:lang w:val="en-US" w:eastAsia="zh-CN"/>
        </w:rPr>
      </w:pPr>
      <w:r>
        <w:rPr>
          <w:rFonts w:hint="eastAsia"/>
          <w:lang w:val="en-US" w:eastAsia="zh-CN"/>
        </w:rPr>
        <w:tab/>
      </w:r>
      <w:r>
        <w:rPr>
          <w:rFonts w:hint="eastAsia" w:ascii="仿宋_GB2312" w:hAnsi="仿宋_GB2312" w:eastAsia="仿宋_GB2312" w:cs="仿宋_GB2312"/>
          <w:sz w:val="32"/>
          <w:szCs w:val="32"/>
          <w:lang w:val="en-US" w:eastAsia="zh-CN"/>
        </w:rPr>
        <w:t>五通桥区综合行政执法局</w:t>
      </w:r>
    </w:p>
    <w:p w14:paraId="40A4746D">
      <w:pPr>
        <w:keepNext w:val="0"/>
        <w:keepLines w:val="0"/>
        <w:pageBreakBefore w:val="0"/>
        <w:kinsoku/>
        <w:wordWrap/>
        <w:overflowPunct/>
        <w:topLinePunct w:val="0"/>
        <w:autoSpaceDE/>
        <w:autoSpaceDN/>
        <w:bidi w:val="0"/>
        <w:adjustRightInd/>
        <w:snapToGrid/>
        <w:spacing w:line="580" w:lineRule="exact"/>
        <w:ind w:firstLine="640" w:firstLineChars="200"/>
        <w:jc w:val="righ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2025年7月8日</w:t>
      </w:r>
    </w:p>
    <w:p w14:paraId="52A0B37E">
      <w:pPr>
        <w:outlineLvl w:val="1"/>
        <w:rPr>
          <w:rFonts w:ascii="方正黑体_GBK" w:hAnsi="宋体" w:eastAsia="方正黑体_GBK"/>
          <w:sz w:val="33"/>
          <w:szCs w:val="33"/>
          <w:lang w:val="zh-CN"/>
        </w:rPr>
      </w:pPr>
    </w:p>
    <w:p w14:paraId="6B7C1736">
      <w:pPr>
        <w:spacing w:line="360" w:lineRule="auto"/>
        <w:ind w:firstLine="420" w:firstLineChars="200"/>
        <w:rPr>
          <w:rFonts w:ascii="楷体_GB2312" w:hAnsi="宋体" w:eastAsia="楷体_GB2312" w:cs="宋体"/>
          <w:color w:val="000000"/>
          <w:kern w:val="0"/>
          <w:szCs w:val="32"/>
          <w:shd w:val="clear" w:color="auto" w:fill="FFFFFF"/>
          <w:lang w:val="zh-CN"/>
        </w:rPr>
      </w:pPr>
    </w:p>
    <w:p w14:paraId="05B388B9">
      <w:pPr>
        <w:widowControl/>
        <w:adjustRightInd w:val="0"/>
        <w:snapToGrid w:val="0"/>
        <w:spacing w:line="580" w:lineRule="exact"/>
        <w:ind w:firstLine="420" w:firstLineChars="200"/>
        <w:contextualSpacing/>
        <w:jc w:val="left"/>
        <w:rPr>
          <w:rFonts w:ascii="楷体_GB2312" w:hAnsi="宋体" w:eastAsia="楷体_GB2312" w:cs="宋体"/>
          <w:color w:val="000000"/>
          <w:kern w:val="0"/>
          <w:szCs w:val="32"/>
          <w:shd w:val="clear" w:color="auto" w:fill="FFFFFF"/>
          <w:lang w:val="zh-CN"/>
        </w:rPr>
      </w:pPr>
    </w:p>
    <w:p w14:paraId="74FDBBD9">
      <w:pPr>
        <w:widowControl/>
        <w:adjustRightInd w:val="0"/>
        <w:snapToGrid w:val="0"/>
        <w:spacing w:line="580" w:lineRule="exact"/>
        <w:contextualSpacing/>
        <w:jc w:val="left"/>
        <w:rPr>
          <w:rFonts w:ascii="楷体_GB2312" w:hAnsi="宋体" w:eastAsia="楷体_GB2312" w:cs="宋体"/>
          <w:color w:val="000000"/>
          <w:kern w:val="0"/>
          <w:szCs w:val="32"/>
          <w:shd w:val="clear" w:color="auto" w:fill="FFFFFF"/>
          <w:lang w:val="zh-CN"/>
        </w:rPr>
      </w:pPr>
    </w:p>
    <w:p w14:paraId="1AB2050F">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附表：</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val="zh-CN"/>
        </w:rPr>
        <w:t>预算项目支出绩效自评表（2024年度）</w:t>
      </w:r>
    </w:p>
    <w:p w14:paraId="048B204D">
      <w:pPr>
        <w:keepNext w:val="0"/>
        <w:keepLines w:val="0"/>
        <w:pageBreakBefore w:val="0"/>
        <w:kinsoku/>
        <w:wordWrap/>
        <w:overflowPunct/>
        <w:topLinePunct w:val="0"/>
        <w:autoSpaceDE/>
        <w:autoSpaceDN/>
        <w:bidi w:val="0"/>
        <w:adjustRightInd/>
        <w:snapToGrid/>
        <w:spacing w:line="58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详见《五通桥区综合行政执法局机关2024年区级项目支出绩效自评表（7个）》</w:t>
      </w:r>
    </w:p>
    <w:p w14:paraId="584F587A"/>
    <w:p w14:paraId="3F652093"/>
    <w:p w14:paraId="00C2FDE3">
      <w:pPr>
        <w:rPr>
          <w:rFonts w:hint="eastAsia" w:ascii="黑体" w:hAnsi="黑体" w:eastAsia="黑体"/>
          <w:sz w:val="32"/>
          <w:szCs w:val="32"/>
        </w:rPr>
      </w:pPr>
    </w:p>
    <w:p w14:paraId="6F025FA2">
      <w:pPr>
        <w:pStyle w:val="4"/>
        <w:rPr>
          <w:rFonts w:hint="eastAsia" w:ascii="黑体" w:hAnsi="黑体" w:eastAsia="黑体"/>
          <w:sz w:val="32"/>
          <w:szCs w:val="32"/>
        </w:rPr>
      </w:pPr>
    </w:p>
    <w:p w14:paraId="44749E4F">
      <w:pPr>
        <w:pStyle w:val="4"/>
        <w:rPr>
          <w:rFonts w:hint="eastAsia" w:ascii="黑体" w:hAnsi="黑体" w:eastAsia="黑体"/>
          <w:sz w:val="32"/>
          <w:szCs w:val="32"/>
        </w:rPr>
      </w:pPr>
    </w:p>
    <w:p w14:paraId="278226BF">
      <w:pPr>
        <w:pStyle w:val="4"/>
        <w:rPr>
          <w:rFonts w:hint="eastAsia" w:ascii="黑体" w:hAnsi="黑体" w:eastAsia="黑体"/>
          <w:sz w:val="32"/>
          <w:szCs w:val="32"/>
        </w:rPr>
      </w:pPr>
    </w:p>
    <w:p w14:paraId="7478D82F">
      <w:pPr>
        <w:rPr>
          <w:rFonts w:hint="eastAsia" w:ascii="方正小标宋简体" w:hAnsi="方正小标宋简体" w:eastAsia="方正小标宋简体" w:cs="Times New Roman"/>
          <w:kern w:val="2"/>
          <w:sz w:val="36"/>
          <w:szCs w:val="36"/>
          <w:lang w:val="en-US" w:eastAsia="zh-CN" w:bidi="ar-SA"/>
        </w:rPr>
      </w:pPr>
      <w:r>
        <w:rPr>
          <w:rFonts w:hint="eastAsia" w:ascii="黑体" w:hAnsi="黑体" w:eastAsia="黑体"/>
          <w:sz w:val="32"/>
          <w:szCs w:val="32"/>
        </w:rPr>
        <w:t>附件2</w:t>
      </w:r>
    </w:p>
    <w:p w14:paraId="6E7E102B">
      <w:pPr>
        <w:pStyle w:val="2"/>
        <w:spacing w:line="240" w:lineRule="auto"/>
        <w:ind w:left="0" w:leftChars="0" w:firstLine="0" w:firstLineChars="0"/>
        <w:jc w:val="center"/>
        <w:rPr>
          <w:rFonts w:hint="eastAsia" w:ascii="方正小标宋简体" w:hAnsi="方正小标宋简体" w:eastAsia="方正小标宋简体" w:cs="Times New Roman"/>
          <w:kern w:val="2"/>
          <w:sz w:val="36"/>
          <w:szCs w:val="36"/>
          <w:lang w:val="en-US" w:eastAsia="zh-CN" w:bidi="ar-SA"/>
        </w:rPr>
      </w:pPr>
      <w:r>
        <w:rPr>
          <w:rFonts w:hint="eastAsia" w:ascii="方正小标宋简体" w:hAnsi="方正小标宋简体" w:eastAsia="方正小标宋简体" w:cs="Times New Roman"/>
          <w:kern w:val="2"/>
          <w:sz w:val="36"/>
          <w:szCs w:val="36"/>
          <w:lang w:val="en-US" w:eastAsia="zh-CN" w:bidi="ar-SA"/>
        </w:rPr>
        <w:t>五通桥区综合行政执法局</w:t>
      </w:r>
    </w:p>
    <w:p w14:paraId="32DABDDD">
      <w:pPr>
        <w:pStyle w:val="2"/>
        <w:spacing w:line="240" w:lineRule="auto"/>
        <w:ind w:left="0" w:leftChars="0" w:firstLine="0" w:firstLineChars="0"/>
        <w:jc w:val="center"/>
        <w:rPr>
          <w:rFonts w:hint="eastAsia" w:ascii="黑体" w:hAnsi="黑体" w:eastAsia="黑体"/>
          <w:sz w:val="32"/>
          <w:szCs w:val="32"/>
          <w:lang w:val="zh-CN"/>
        </w:rPr>
      </w:pPr>
      <w:r>
        <w:rPr>
          <w:rFonts w:hint="eastAsia" w:ascii="方正小标宋简体" w:hAnsi="方正小标宋简体" w:eastAsia="方正小标宋简体" w:cs="Times New Roman"/>
          <w:kern w:val="2"/>
          <w:sz w:val="36"/>
          <w:szCs w:val="36"/>
          <w:lang w:val="en-US" w:eastAsia="zh-CN" w:bidi="ar-SA"/>
        </w:rPr>
        <w:t>“</w:t>
      </w:r>
      <w:r>
        <w:rPr>
          <w:rFonts w:hint="eastAsia" w:ascii="方正小标宋简体" w:hAnsi="方正小标宋简体" w:eastAsia="方正小标宋简体" w:cs="Times New Roman"/>
          <w:kern w:val="2"/>
          <w:sz w:val="36"/>
          <w:szCs w:val="36"/>
          <w:lang w:val="zh-CN" w:eastAsia="zh-CN" w:bidi="ar-SA"/>
        </w:rPr>
        <w:t>公益性岗位补贴”</w:t>
      </w:r>
      <w:r>
        <w:rPr>
          <w:rFonts w:hint="eastAsia" w:ascii="方正小标宋简体" w:hAnsi="方正小标宋简体" w:eastAsia="方正小标宋简体"/>
          <w:sz w:val="36"/>
          <w:szCs w:val="36"/>
        </w:rPr>
        <w:t>专项预算项目绩效评价报告</w:t>
      </w:r>
    </w:p>
    <w:p w14:paraId="4755F42E">
      <w:pPr>
        <w:ind w:firstLine="640" w:firstLineChars="200"/>
        <w:rPr>
          <w:rFonts w:hint="eastAsia" w:ascii="黑体" w:hAnsi="黑体" w:eastAsia="黑体"/>
          <w:sz w:val="32"/>
          <w:szCs w:val="32"/>
          <w:lang w:val="zh-CN"/>
        </w:rPr>
      </w:pPr>
    </w:p>
    <w:p w14:paraId="3AB735FE">
      <w:pPr>
        <w:ind w:firstLine="640" w:firstLineChars="200"/>
        <w:outlineLvl w:val="1"/>
        <w:rPr>
          <w:rFonts w:ascii="黑体" w:hAnsi="黑体" w:eastAsia="黑体"/>
          <w:sz w:val="32"/>
          <w:szCs w:val="32"/>
          <w:lang w:val="zh-CN"/>
        </w:rPr>
      </w:pPr>
      <w:bookmarkStart w:id="73" w:name="_Toc32311"/>
      <w:r>
        <w:rPr>
          <w:rFonts w:hint="eastAsia" w:ascii="黑体" w:hAnsi="黑体" w:eastAsia="黑体"/>
          <w:sz w:val="32"/>
          <w:szCs w:val="32"/>
          <w:lang w:val="zh-CN"/>
        </w:rPr>
        <w:t>一、项目概况</w:t>
      </w:r>
      <w:bookmarkEnd w:id="73"/>
    </w:p>
    <w:p w14:paraId="5D656EFC">
      <w:pPr>
        <w:ind w:firstLine="643" w:firstLineChars="200"/>
        <w:rPr>
          <w:rFonts w:hint="eastAsia" w:ascii="楷体_GB2312" w:eastAsia="楷体_GB2312"/>
          <w:b/>
          <w:sz w:val="32"/>
          <w:szCs w:val="32"/>
          <w:lang w:val="zh-CN"/>
        </w:rPr>
      </w:pPr>
      <w:r>
        <w:rPr>
          <w:rFonts w:hint="eastAsia" w:ascii="楷体_GB2312" w:eastAsia="楷体_GB2312"/>
          <w:b/>
          <w:sz w:val="32"/>
          <w:szCs w:val="32"/>
          <w:lang w:val="zh-CN"/>
        </w:rPr>
        <w:t>（一）设立背景及基本情况：</w:t>
      </w:r>
    </w:p>
    <w:p w14:paraId="2A537CCF">
      <w:pPr>
        <w:ind w:firstLine="640" w:firstLineChars="200"/>
        <w:rPr>
          <w:rFonts w:hint="eastAsia" w:ascii="Times New Roman" w:hAnsi="Times New Roman" w:eastAsia="仿宋_GB2312" w:cs="Times New Roman"/>
          <w:sz w:val="32"/>
          <w:szCs w:val="32"/>
          <w:lang w:val="zh-CN"/>
        </w:rPr>
      </w:pPr>
      <w:r>
        <w:rPr>
          <w:rFonts w:hint="eastAsia" w:ascii="Times New Roman" w:hAnsi="Times New Roman" w:eastAsia="仿宋_GB2312" w:cs="Times New Roman"/>
          <w:sz w:val="32"/>
          <w:szCs w:val="32"/>
          <w:lang w:val="zh-CN"/>
        </w:rPr>
        <w:t>根据本单位三定方案之主要工作职责设立“公益性岗位补贴”项目，项目期限为长期。</w:t>
      </w:r>
    </w:p>
    <w:p w14:paraId="05302CCB">
      <w:pPr>
        <w:ind w:firstLine="640" w:firstLineChars="200"/>
        <w:rPr>
          <w:rFonts w:hint="eastAsia" w:ascii="Times New Roman" w:hAnsi="Times New Roman" w:eastAsia="仿宋_GB2312" w:cs="Times New Roman"/>
          <w:sz w:val="32"/>
          <w:szCs w:val="32"/>
          <w:lang w:val="zh-CN"/>
        </w:rPr>
      </w:pPr>
      <w:r>
        <w:rPr>
          <w:rFonts w:hint="eastAsia" w:ascii="Times New Roman" w:hAnsi="Times New Roman" w:eastAsia="仿宋_GB2312" w:cs="Times New Roman"/>
          <w:sz w:val="32"/>
          <w:szCs w:val="32"/>
          <w:lang w:val="zh-CN"/>
        </w:rPr>
        <w:t>项目的主要内容是</w:t>
      </w:r>
      <w:r>
        <w:rPr>
          <w:rFonts w:hint="eastAsia" w:ascii="Times New Roman" w:hAnsi="Times New Roman" w:eastAsia="仿宋_GB2312" w:cs="Times New Roman"/>
          <w:sz w:val="32"/>
          <w:szCs w:val="32"/>
          <w:lang w:val="zh-CN" w:eastAsia="zh-CN"/>
        </w:rPr>
        <w:t>公益性岗位</w:t>
      </w:r>
      <w:r>
        <w:rPr>
          <w:rFonts w:hint="eastAsia" w:ascii="Times New Roman" w:hAnsi="Times New Roman" w:eastAsia="仿宋_GB2312" w:cs="Times New Roman"/>
          <w:sz w:val="32"/>
          <w:szCs w:val="32"/>
          <w:lang w:val="zh-CN"/>
        </w:rPr>
        <w:t>人员</w:t>
      </w:r>
      <w:r>
        <w:rPr>
          <w:rFonts w:hint="eastAsia" w:ascii="Times New Roman" w:hAnsi="Times New Roman" w:eastAsia="仿宋_GB2312" w:cs="Times New Roman"/>
          <w:sz w:val="32"/>
          <w:szCs w:val="32"/>
          <w:lang w:val="zh-CN" w:eastAsia="zh-CN"/>
        </w:rPr>
        <w:t>工资</w:t>
      </w:r>
      <w:r>
        <w:rPr>
          <w:rFonts w:hint="eastAsia" w:ascii="Times New Roman" w:hAnsi="Times New Roman" w:eastAsia="仿宋_GB2312" w:cs="Times New Roman"/>
          <w:sz w:val="32"/>
          <w:szCs w:val="32"/>
          <w:lang w:val="zh-CN"/>
        </w:rPr>
        <w:t>、保险等所需经费。</w:t>
      </w:r>
    </w:p>
    <w:p w14:paraId="12181E24">
      <w:pPr>
        <w:ind w:firstLine="640" w:firstLineChars="200"/>
        <w:rPr>
          <w:rFonts w:hint="eastAsia" w:ascii="Times New Roman" w:hAnsi="Times New Roman" w:eastAsia="仿宋_GB2312" w:cs="Times New Roman"/>
          <w:sz w:val="32"/>
          <w:szCs w:val="32"/>
          <w:lang w:val="zh-CN"/>
        </w:rPr>
      </w:pPr>
      <w:r>
        <w:rPr>
          <w:rFonts w:hint="eastAsia" w:ascii="Times New Roman" w:hAnsi="Times New Roman" w:eastAsia="仿宋_GB2312" w:cs="Times New Roman"/>
          <w:sz w:val="32"/>
          <w:szCs w:val="32"/>
          <w:lang w:val="zh-CN"/>
        </w:rPr>
        <w:t>主管部门职能：</w:t>
      </w:r>
      <w:r>
        <w:rPr>
          <w:rFonts w:hint="eastAsia" w:ascii="仿宋_GB2312" w:hAnsi="仿宋_GB2312" w:eastAsia="仿宋_GB2312" w:cs="仿宋_GB2312"/>
          <w:sz w:val="32"/>
          <w:szCs w:val="32"/>
        </w:rPr>
        <w:t>区综合行政执法局负责集中行使除公安、税务、农业农村、应急管理、保密部门和生态环境部分领域以外的本级行政部门的行政处罚权和相应的行政检查权、行政强制权。行使发展和改革、经济和信息化、教育管理、民政管理、司法、财政、人力资源和社会保障、住房和城乡建设、城市管理、交通运输、水务、文化体育和旅游、卫生健康、退役军人事务、审计、市场监督管理、统计、医疗保障、商务和经济合作、残疾人权益保护、民族宗教、网信、档案、自然资源等领域所有的行政处罚权和相应的行政检查权、行政强制权。</w:t>
      </w:r>
    </w:p>
    <w:p w14:paraId="4F6B5A7F">
      <w:pPr>
        <w:spacing w:line="360" w:lineRule="auto"/>
        <w:ind w:firstLine="643" w:firstLineChars="200"/>
        <w:jc w:val="left"/>
        <w:rPr>
          <w:rFonts w:hint="eastAsia" w:ascii="楷体_GB2312" w:eastAsia="楷体_GB2312"/>
          <w:b/>
          <w:sz w:val="32"/>
          <w:szCs w:val="32"/>
          <w:lang w:val="zh-CN"/>
        </w:rPr>
      </w:pPr>
      <w:r>
        <w:rPr>
          <w:rFonts w:hint="eastAsia" w:ascii="楷体_GB2312" w:eastAsia="楷体_GB2312"/>
          <w:b/>
          <w:sz w:val="32"/>
          <w:szCs w:val="32"/>
          <w:lang w:val="zh-CN"/>
        </w:rPr>
        <w:t>（二）实施目的及支持方向：</w:t>
      </w:r>
    </w:p>
    <w:p w14:paraId="1A30CF55">
      <w:pPr>
        <w:spacing w:line="360" w:lineRule="auto"/>
        <w:ind w:firstLine="640" w:firstLineChars="200"/>
        <w:jc w:val="left"/>
        <w:rPr>
          <w:rFonts w:hint="eastAsia" w:ascii="Times New Roman" w:hAnsi="Times New Roman" w:eastAsia="仿宋_GB2312" w:cs="Times New Roman"/>
          <w:sz w:val="32"/>
          <w:szCs w:val="32"/>
          <w:lang w:val="zh-CN"/>
        </w:rPr>
      </w:pPr>
      <w:r>
        <w:rPr>
          <w:rFonts w:hint="eastAsia" w:ascii="Times New Roman" w:hAnsi="Times New Roman" w:eastAsia="仿宋_GB2312" w:cs="Times New Roman"/>
          <w:sz w:val="32"/>
          <w:szCs w:val="32"/>
          <w:lang w:val="zh-CN" w:eastAsia="zh-CN"/>
        </w:rPr>
        <w:t>该项目是</w:t>
      </w:r>
      <w:r>
        <w:rPr>
          <w:rFonts w:hint="eastAsia" w:ascii="Times New Roman" w:hAnsi="Times New Roman" w:eastAsia="仿宋_GB2312" w:cs="Times New Roman"/>
          <w:sz w:val="32"/>
          <w:szCs w:val="32"/>
          <w:lang w:val="zh-CN"/>
        </w:rPr>
        <w:t>保基本民生的项目，通过项目的实施，解决了部份就业问题，为本单位完成</w:t>
      </w:r>
      <w:r>
        <w:rPr>
          <w:rFonts w:hint="eastAsia" w:ascii="Times New Roman" w:hAnsi="Times New Roman" w:eastAsia="仿宋_GB2312" w:cs="Times New Roman"/>
          <w:sz w:val="32"/>
          <w:szCs w:val="32"/>
          <w:lang w:val="zh-CN" w:eastAsia="zh-CN"/>
        </w:rPr>
        <w:t>协助</w:t>
      </w:r>
      <w:r>
        <w:rPr>
          <w:rFonts w:hint="eastAsia" w:ascii="Times New Roman" w:hAnsi="Times New Roman" w:eastAsia="仿宋_GB2312" w:cs="Times New Roman"/>
          <w:sz w:val="32"/>
          <w:szCs w:val="32"/>
          <w:lang w:val="zh-CN"/>
        </w:rPr>
        <w:t>执法工作任务提供资金保障。达到提高公益性岗位人员工资待遇、调动公益性岗位人员工作积极性的目标。不断提高服务质量，增强群众的满意度。</w:t>
      </w:r>
    </w:p>
    <w:p w14:paraId="30C9569E">
      <w:pPr>
        <w:ind w:firstLine="643" w:firstLineChars="200"/>
        <w:rPr>
          <w:rFonts w:hint="eastAsia" w:ascii="Times New Roman" w:hAnsi="Times New Roman" w:eastAsia="仿宋_GB2312" w:cs="Times New Roman"/>
          <w:sz w:val="32"/>
          <w:szCs w:val="32"/>
          <w:lang w:val="zh-CN"/>
        </w:rPr>
      </w:pPr>
      <w:r>
        <w:rPr>
          <w:rFonts w:hint="eastAsia" w:ascii="楷体_GB2312" w:eastAsia="楷体_GB2312"/>
          <w:b/>
          <w:sz w:val="32"/>
          <w:szCs w:val="32"/>
          <w:lang w:val="zh-CN"/>
        </w:rPr>
        <w:t>（三）预算安排及分配管理：</w:t>
      </w:r>
      <w:r>
        <w:rPr>
          <w:rFonts w:hint="eastAsia" w:eastAsia="仿宋_GB2312" w:cs="Times New Roman"/>
          <w:sz w:val="32"/>
          <w:szCs w:val="32"/>
          <w:lang w:val="zh-CN"/>
        </w:rPr>
        <w:t>2024</w:t>
      </w:r>
      <w:r>
        <w:rPr>
          <w:rFonts w:hint="eastAsia" w:ascii="Times New Roman" w:hAnsi="Times New Roman" w:eastAsia="仿宋_GB2312" w:cs="Times New Roman"/>
          <w:sz w:val="32"/>
          <w:szCs w:val="32"/>
          <w:lang w:val="zh-CN"/>
        </w:rPr>
        <w:t>年综合行政执法局计划使用财政资金24.4万元，用于公益性岗人员工资及保险支出。</w:t>
      </w:r>
    </w:p>
    <w:p w14:paraId="1C2EE910">
      <w:pPr>
        <w:ind w:firstLine="640" w:firstLineChars="200"/>
        <w:rPr>
          <w:rFonts w:hint="eastAsia" w:ascii="楷体_GB2312" w:eastAsia="楷体_GB2312"/>
          <w:b/>
          <w:sz w:val="32"/>
          <w:szCs w:val="32"/>
          <w:lang w:val="zh-CN"/>
        </w:rPr>
      </w:pPr>
      <w:r>
        <w:rPr>
          <w:rFonts w:hint="eastAsia" w:ascii="Times New Roman" w:hAnsi="Times New Roman" w:eastAsia="仿宋_GB2312" w:cs="Times New Roman"/>
          <w:sz w:val="32"/>
          <w:szCs w:val="32"/>
          <w:lang w:val="zh-CN"/>
        </w:rPr>
        <w:t>（</w:t>
      </w:r>
      <w:r>
        <w:rPr>
          <w:rFonts w:hint="eastAsia" w:ascii="楷体_GB2312" w:eastAsia="楷体_GB2312"/>
          <w:b/>
          <w:sz w:val="32"/>
          <w:szCs w:val="32"/>
          <w:lang w:val="zh-CN"/>
        </w:rPr>
        <w:t>四）项目绩效目标设置：</w:t>
      </w:r>
    </w:p>
    <w:p w14:paraId="72BADF5C">
      <w:pPr>
        <w:keepNext w:val="0"/>
        <w:keepLines w:val="0"/>
        <w:pageBreakBefore w:val="0"/>
        <w:widowControl w:val="0"/>
        <w:numPr>
          <w:ilvl w:val="0"/>
          <w:numId w:val="0"/>
        </w:numPr>
        <w:pBdr>
          <w:top w:val="single" w:color="FFFFFF" w:sz="4" w:space="2"/>
          <w:left w:val="single" w:color="FFFFFF" w:sz="4" w:space="31"/>
          <w:bottom w:val="single" w:color="FFFFFF" w:sz="4" w:space="31"/>
          <w:right w:val="single" w:color="FFFFFF" w:sz="4" w:space="13"/>
        </w:pBdr>
        <w:kinsoku/>
        <w:wordWrap/>
        <w:overflowPunct/>
        <w:topLinePunct w:val="0"/>
        <w:autoSpaceDE/>
        <w:autoSpaceDN/>
        <w:bidi w:val="0"/>
        <w:adjustRightInd w:val="0"/>
        <w:snapToGrid w:val="0"/>
        <w:spacing w:line="240" w:lineRule="auto"/>
        <w:ind w:firstLine="0" w:firstLineChars="0"/>
        <w:jc w:val="left"/>
        <w:textAlignment w:val="auto"/>
        <w:rPr>
          <w:rFonts w:hint="eastAsia" w:ascii="仿宋" w:hAnsi="仿宋" w:eastAsia="仿宋" w:cs="仿宋_GB2312"/>
          <w:b/>
          <w:sz w:val="28"/>
          <w:szCs w:val="28"/>
          <w:highlight w:val="none"/>
        </w:rPr>
      </w:pPr>
      <w:r>
        <w:rPr>
          <w:rFonts w:hint="eastAsia" w:ascii="仿宋" w:hAnsi="仿宋" w:eastAsia="仿宋" w:cs="仿宋"/>
          <w:b w:val="0"/>
          <w:bCs w:val="0"/>
          <w:color w:val="000000"/>
          <w:kern w:val="0"/>
          <w:sz w:val="32"/>
          <w:szCs w:val="32"/>
          <w:shd w:val="clear" w:color="auto" w:fill="FFFFFF"/>
          <w:lang w:val="zh-CN" w:eastAsia="zh-CN" w:bidi="ar-SA"/>
        </w:rPr>
        <w:t>本单位指标设置及完成情况如下：</w:t>
      </w:r>
    </w:p>
    <w:p w14:paraId="662AC956">
      <w:pPr>
        <w:pStyle w:val="2"/>
        <w:jc w:val="center"/>
        <w:outlineLvl w:val="1"/>
        <w:rPr>
          <w:rFonts w:hint="eastAsia"/>
          <w:lang w:val="zh-CN" w:eastAsia="zh-CN"/>
        </w:rPr>
      </w:pPr>
      <w:bookmarkStart w:id="74" w:name="_Toc16401"/>
      <w:r>
        <w:rPr>
          <w:rFonts w:hint="eastAsia" w:ascii="仿宋" w:hAnsi="仿宋" w:eastAsia="仿宋" w:cs="仿宋_GB2312"/>
          <w:b/>
          <w:sz w:val="28"/>
          <w:szCs w:val="28"/>
          <w:highlight w:val="none"/>
        </w:rPr>
        <w:t>指标设置及完成情况表</w:t>
      </w:r>
      <w:bookmarkEnd w:id="74"/>
    </w:p>
    <w:tbl>
      <w:tblPr>
        <w:tblStyle w:val="17"/>
        <w:tblW w:w="863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1"/>
        <w:gridCol w:w="1560"/>
        <w:gridCol w:w="1860"/>
        <w:gridCol w:w="1035"/>
        <w:gridCol w:w="919"/>
        <w:gridCol w:w="1106"/>
        <w:gridCol w:w="495"/>
        <w:gridCol w:w="675"/>
      </w:tblGrid>
      <w:tr w14:paraId="53B8D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A19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4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54C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51111222T000005393465-公益性岗位补贴</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C84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19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B02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04E2F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285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4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291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综合行政执法局</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D25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19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B4A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五通桥区综合行政执法局机关</w:t>
            </w:r>
          </w:p>
        </w:tc>
      </w:tr>
      <w:tr w14:paraId="7CC3A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8631"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C38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3C7E4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2541" w:type="dxa"/>
            <w:gridSpan w:val="2"/>
            <w:tcBorders>
              <w:top w:val="single" w:color="000000" w:sz="4" w:space="0"/>
              <w:left w:val="single" w:color="000000" w:sz="4" w:space="0"/>
              <w:bottom w:val="single" w:color="000000" w:sz="4" w:space="0"/>
              <w:right w:val="nil"/>
            </w:tcBorders>
            <w:shd w:val="clear" w:color="auto" w:fill="auto"/>
            <w:noWrap/>
            <w:vAlign w:val="center"/>
          </w:tcPr>
          <w:p w14:paraId="54D8624E">
            <w:pPr>
              <w:jc w:val="center"/>
              <w:rPr>
                <w:rFonts w:hint="eastAsia" w:ascii="宋体" w:hAnsi="宋体" w:eastAsia="宋体" w:cs="宋体"/>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1A0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C34BD">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全年执行数</w:t>
            </w:r>
          </w:p>
        </w:tc>
        <w:tc>
          <w:tcPr>
            <w:tcW w:w="227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F60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6E07B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254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685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FF1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24.4</w:t>
            </w:r>
          </w:p>
        </w:tc>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73193">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24.4</w:t>
            </w:r>
          </w:p>
        </w:tc>
        <w:tc>
          <w:tcPr>
            <w:tcW w:w="227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57A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317E7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254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9A7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E3C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24.4</w:t>
            </w:r>
          </w:p>
        </w:tc>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78FFF">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24.4</w:t>
            </w:r>
          </w:p>
        </w:tc>
        <w:tc>
          <w:tcPr>
            <w:tcW w:w="227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12C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0CF14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254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1EA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C6759">
            <w:pPr>
              <w:jc w:val="center"/>
              <w:rPr>
                <w:rFonts w:hint="eastAsia" w:ascii="宋体" w:hAnsi="宋体" w:eastAsia="宋体" w:cs="宋体"/>
                <w:i w:val="0"/>
                <w:iCs w:val="0"/>
                <w:color w:val="000000"/>
                <w:sz w:val="20"/>
                <w:szCs w:val="20"/>
                <w:u w:val="none"/>
              </w:rPr>
            </w:pPr>
          </w:p>
        </w:tc>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D26B7">
            <w:pPr>
              <w:jc w:val="center"/>
            </w:pPr>
          </w:p>
        </w:tc>
        <w:tc>
          <w:tcPr>
            <w:tcW w:w="227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D6C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57ABD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98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431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45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476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19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D56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7B6B9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27727">
            <w:pPr>
              <w:jc w:val="left"/>
              <w:rPr>
                <w:rFonts w:hint="eastAsia" w:ascii="宋体" w:hAnsi="宋体" w:eastAsia="宋体" w:cs="宋体"/>
                <w:i w:val="0"/>
                <w:iCs w:val="0"/>
                <w:color w:val="000000"/>
                <w:sz w:val="20"/>
                <w:szCs w:val="20"/>
                <w:u w:val="none"/>
              </w:rPr>
            </w:pPr>
          </w:p>
        </w:tc>
        <w:tc>
          <w:tcPr>
            <w:tcW w:w="4455" w:type="dxa"/>
            <w:gridSpan w:val="3"/>
            <w:tcBorders>
              <w:top w:val="single" w:color="000000" w:sz="4" w:space="0"/>
              <w:left w:val="single" w:color="000000" w:sz="4" w:space="0"/>
              <w:bottom w:val="nil"/>
              <w:right w:val="single" w:color="000000" w:sz="4" w:space="0"/>
            </w:tcBorders>
            <w:shd w:val="clear" w:color="auto" w:fill="auto"/>
            <w:vAlign w:val="center"/>
          </w:tcPr>
          <w:p w14:paraId="66E422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综合行政执法局计划使用财政资金24.4万元，用于公益性岗人员工资及保险。通过以上项目的实施，为本单位完成协助执法工作任务提供资金保障。达到提高公益性岗位人员工资待遇、调动公益性岗位人员工作积极性的目标。不断提高服务质量，增强公益性岗位人员的满意度。</w:t>
            </w:r>
          </w:p>
        </w:tc>
        <w:tc>
          <w:tcPr>
            <w:tcW w:w="31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D386A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实际完成24.4万元，达到提高公益性岗位人员工资待遇、调动公益性岗位人员工作积极性的目标。</w:t>
            </w:r>
          </w:p>
        </w:tc>
      </w:tr>
      <w:tr w14:paraId="0534F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9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483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9D1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61D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4B113">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年度指标值</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8A1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D45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FD428">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得分</w:t>
            </w:r>
          </w:p>
        </w:tc>
        <w:tc>
          <w:tcPr>
            <w:tcW w:w="675" w:type="dxa"/>
            <w:tcBorders>
              <w:top w:val="single" w:color="000000" w:sz="4" w:space="0"/>
              <w:left w:val="nil"/>
              <w:bottom w:val="single" w:color="000000" w:sz="4" w:space="0"/>
              <w:right w:val="single" w:color="000000" w:sz="4" w:space="0"/>
            </w:tcBorders>
            <w:shd w:val="clear" w:color="auto" w:fill="auto"/>
            <w:noWrap/>
            <w:vAlign w:val="center"/>
          </w:tcPr>
          <w:p w14:paraId="2557F3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1FC73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63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C22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414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1019D">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85D44">
            <w:pPr>
              <w:jc w:val="center"/>
              <w:rPr>
                <w:rFonts w:hint="eastAsia" w:ascii="宋体" w:hAnsi="宋体" w:eastAsia="宋体" w:cs="宋体"/>
                <w:i w:val="0"/>
                <w:iCs w:val="0"/>
                <w:color w:val="000000"/>
                <w:sz w:val="18"/>
                <w:szCs w:val="18"/>
                <w:u w:val="none"/>
              </w:rPr>
            </w:pPr>
          </w:p>
        </w:tc>
      </w:tr>
      <w:tr w14:paraId="2B68B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401"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9EC53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预算执行率（10分）</w:t>
            </w:r>
          </w:p>
        </w:tc>
        <w:tc>
          <w:tcPr>
            <w:tcW w:w="10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A1EA1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CAA78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1A2A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5EA6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42FD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7F2CF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981"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DDBB8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tc>
        <w:tc>
          <w:tcPr>
            <w:tcW w:w="1560" w:type="dxa"/>
            <w:vMerge w:val="restart"/>
            <w:tcBorders>
              <w:top w:val="single" w:color="000000" w:sz="4" w:space="0"/>
              <w:left w:val="single" w:color="000000" w:sz="4" w:space="0"/>
              <w:bottom w:val="single" w:color="000000" w:sz="4" w:space="0"/>
              <w:right w:val="nil"/>
            </w:tcBorders>
            <w:shd w:val="clear" w:color="auto" w:fill="FFFFFF"/>
            <w:noWrap/>
            <w:vAlign w:val="center"/>
          </w:tcPr>
          <w:p w14:paraId="7C3D857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1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135E3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公益性岗位人员社会保险购买人数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6489F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≥13人</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9C382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≥13人</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1C30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763A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93AC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48664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A3B2C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60" w:type="dxa"/>
            <w:vMerge w:val="continue"/>
            <w:tcBorders>
              <w:top w:val="single" w:color="000000" w:sz="4" w:space="0"/>
              <w:left w:val="single" w:color="000000" w:sz="4" w:space="0"/>
              <w:bottom w:val="single" w:color="000000" w:sz="4" w:space="0"/>
              <w:right w:val="nil"/>
            </w:tcBorders>
            <w:shd w:val="clear" w:color="auto" w:fill="FFFFFF"/>
            <w:noWrap/>
            <w:vAlign w:val="center"/>
          </w:tcPr>
          <w:p w14:paraId="5A36A5E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DE9F7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公益性岗位人员工资发放人数</w:t>
            </w:r>
          </w:p>
        </w:tc>
        <w:tc>
          <w:tcPr>
            <w:tcW w:w="10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F29A9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≥13人</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D5605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≥13人</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3C8B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957E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12CC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6E480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292EF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60" w:type="dxa"/>
            <w:vMerge w:val="restart"/>
            <w:tcBorders>
              <w:top w:val="single" w:color="000000" w:sz="4" w:space="0"/>
              <w:left w:val="single" w:color="000000" w:sz="4" w:space="0"/>
              <w:bottom w:val="single" w:color="000000" w:sz="4" w:space="0"/>
              <w:right w:val="nil"/>
            </w:tcBorders>
            <w:shd w:val="clear" w:color="auto" w:fill="FFFFFF"/>
            <w:noWrap/>
            <w:vAlign w:val="center"/>
          </w:tcPr>
          <w:p w14:paraId="093DC0B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5C1AE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公益性岗位人员社会保险购买准确率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AADAC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等于100%</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4CA25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等于100%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947F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87E9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3434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168B2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541D4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60" w:type="dxa"/>
            <w:vMerge w:val="continue"/>
            <w:tcBorders>
              <w:top w:val="single" w:color="000000" w:sz="4" w:space="0"/>
              <w:left w:val="single" w:color="000000" w:sz="4" w:space="0"/>
              <w:bottom w:val="single" w:color="000000" w:sz="4" w:space="0"/>
              <w:right w:val="nil"/>
            </w:tcBorders>
            <w:shd w:val="clear" w:color="auto" w:fill="FFFFFF"/>
            <w:noWrap/>
            <w:vAlign w:val="center"/>
          </w:tcPr>
          <w:p w14:paraId="625B440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57C0B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公益性岗位人员工资发放准确率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6FAC2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等于100%</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E1F28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等于100%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F319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DAF4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A96E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1C5A8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6BC9D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1560" w:type="dxa"/>
            <w:vMerge w:val="restart"/>
            <w:tcBorders>
              <w:top w:val="single" w:color="000000" w:sz="4" w:space="0"/>
              <w:left w:val="single" w:color="000000" w:sz="4" w:space="0"/>
              <w:bottom w:val="single" w:color="000000" w:sz="4" w:space="0"/>
              <w:right w:val="nil"/>
            </w:tcBorders>
            <w:shd w:val="clear" w:color="auto" w:fill="FFFFFF"/>
            <w:noWrap/>
            <w:vAlign w:val="center"/>
          </w:tcPr>
          <w:p w14:paraId="29B8AA6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时效指标</w:t>
            </w:r>
          </w:p>
        </w:tc>
        <w:tc>
          <w:tcPr>
            <w:tcW w:w="1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4A21A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公益性岗位人员社会保险购买及时率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6EA70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等于100%</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04240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等于100%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F8D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5817B">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7</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9BA84">
            <w:pPr>
              <w:rPr>
                <w:rFonts w:hint="eastAsia" w:ascii="宋体" w:hAnsi="宋体" w:eastAsia="宋体" w:cs="宋体"/>
                <w:i w:val="0"/>
                <w:iCs w:val="0"/>
                <w:color w:val="000000"/>
                <w:sz w:val="18"/>
                <w:szCs w:val="18"/>
                <w:u w:val="none"/>
              </w:rPr>
            </w:pPr>
          </w:p>
        </w:tc>
      </w:tr>
      <w:tr w14:paraId="04D64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B5405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1560" w:type="dxa"/>
            <w:vMerge w:val="continue"/>
            <w:tcBorders>
              <w:top w:val="single" w:color="000000" w:sz="4" w:space="0"/>
              <w:left w:val="single" w:color="000000" w:sz="4" w:space="0"/>
              <w:bottom w:val="single" w:color="000000" w:sz="4" w:space="0"/>
              <w:right w:val="nil"/>
            </w:tcBorders>
            <w:shd w:val="clear" w:color="auto" w:fill="FFFFFF"/>
            <w:noWrap/>
            <w:vAlign w:val="center"/>
          </w:tcPr>
          <w:p w14:paraId="61471B2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1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7D581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公益性岗位人员工资发放及时率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0C838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等于100%</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1C969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等于100%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4B4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686B0">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F88DF">
            <w:pPr>
              <w:rPr>
                <w:rFonts w:hint="eastAsia" w:ascii="宋体" w:hAnsi="宋体" w:eastAsia="宋体" w:cs="宋体"/>
                <w:i w:val="0"/>
                <w:iCs w:val="0"/>
                <w:color w:val="000000"/>
                <w:sz w:val="18"/>
                <w:szCs w:val="18"/>
                <w:u w:val="none"/>
              </w:rPr>
            </w:pPr>
          </w:p>
        </w:tc>
      </w:tr>
      <w:tr w14:paraId="57A30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3F564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1560" w:type="dxa"/>
            <w:tcBorders>
              <w:top w:val="single" w:color="000000" w:sz="4" w:space="0"/>
              <w:left w:val="single" w:color="000000" w:sz="4" w:space="0"/>
              <w:bottom w:val="single" w:color="000000" w:sz="4" w:space="0"/>
              <w:right w:val="nil"/>
            </w:tcBorders>
            <w:shd w:val="clear" w:color="auto" w:fill="FFFFFF"/>
            <w:noWrap/>
            <w:vAlign w:val="center"/>
          </w:tcPr>
          <w:p w14:paraId="53506CB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成本指标</w:t>
            </w:r>
          </w:p>
        </w:tc>
        <w:tc>
          <w:tcPr>
            <w:tcW w:w="1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1E358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公益性岗位人员补贴预算成本</w:t>
            </w:r>
          </w:p>
        </w:tc>
        <w:tc>
          <w:tcPr>
            <w:tcW w:w="10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71B29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≤24.4万元</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AA245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≤24.4万元</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3FC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AE28A">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AEDE9">
            <w:pPr>
              <w:rPr>
                <w:rFonts w:hint="eastAsia" w:ascii="宋体" w:hAnsi="宋体" w:eastAsia="宋体" w:cs="宋体"/>
                <w:i w:val="0"/>
                <w:iCs w:val="0"/>
                <w:color w:val="000000"/>
                <w:sz w:val="18"/>
                <w:szCs w:val="18"/>
                <w:u w:val="none"/>
              </w:rPr>
            </w:pPr>
          </w:p>
        </w:tc>
      </w:tr>
      <w:tr w14:paraId="7D7CB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981"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77F71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效益指标</w:t>
            </w:r>
          </w:p>
        </w:tc>
        <w:tc>
          <w:tcPr>
            <w:tcW w:w="1560" w:type="dxa"/>
            <w:tcBorders>
              <w:top w:val="single" w:color="000000" w:sz="4" w:space="0"/>
              <w:left w:val="single" w:color="000000" w:sz="4" w:space="0"/>
              <w:bottom w:val="single" w:color="000000" w:sz="4" w:space="0"/>
              <w:right w:val="nil"/>
            </w:tcBorders>
            <w:shd w:val="clear" w:color="auto" w:fill="FFFFFF"/>
            <w:noWrap/>
            <w:vAlign w:val="center"/>
          </w:tcPr>
          <w:p w14:paraId="4B67182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经济效益指标</w:t>
            </w:r>
          </w:p>
        </w:tc>
        <w:tc>
          <w:tcPr>
            <w:tcW w:w="1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00AC1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公益性岗位人员社会保险购买应买尽买率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64543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等于100%</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6786F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等于100%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BE1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F84E5">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25B74">
            <w:pPr>
              <w:rPr>
                <w:rFonts w:hint="eastAsia" w:ascii="宋体" w:hAnsi="宋体" w:eastAsia="宋体" w:cs="宋体"/>
                <w:i w:val="0"/>
                <w:iCs w:val="0"/>
                <w:color w:val="000000"/>
                <w:sz w:val="18"/>
                <w:szCs w:val="18"/>
                <w:u w:val="none"/>
              </w:rPr>
            </w:pPr>
          </w:p>
        </w:tc>
      </w:tr>
      <w:tr w14:paraId="03E05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03365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1560" w:type="dxa"/>
            <w:tcBorders>
              <w:top w:val="single" w:color="000000" w:sz="4" w:space="0"/>
              <w:left w:val="single" w:color="000000" w:sz="4" w:space="0"/>
              <w:bottom w:val="single" w:color="000000" w:sz="4" w:space="0"/>
              <w:right w:val="nil"/>
            </w:tcBorders>
            <w:shd w:val="clear" w:color="auto" w:fill="FFFFFF"/>
            <w:noWrap/>
            <w:vAlign w:val="center"/>
          </w:tcPr>
          <w:p w14:paraId="78D0ED1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社会效益指标</w:t>
            </w:r>
          </w:p>
        </w:tc>
        <w:tc>
          <w:tcPr>
            <w:tcW w:w="1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4E0AA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公益性岗位人员工资应付尽付率</w:t>
            </w:r>
          </w:p>
        </w:tc>
        <w:tc>
          <w:tcPr>
            <w:tcW w:w="10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60412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等于100%</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4013F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等于100%</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782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58C69">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1DEBD">
            <w:pPr>
              <w:rPr>
                <w:rFonts w:hint="eastAsia" w:ascii="宋体" w:hAnsi="宋体" w:eastAsia="宋体" w:cs="宋体"/>
                <w:i w:val="0"/>
                <w:iCs w:val="0"/>
                <w:color w:val="000000"/>
                <w:sz w:val="18"/>
                <w:szCs w:val="18"/>
                <w:u w:val="none"/>
              </w:rPr>
            </w:pPr>
          </w:p>
        </w:tc>
      </w:tr>
      <w:tr w14:paraId="6720B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CB566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1560" w:type="dxa"/>
            <w:tcBorders>
              <w:top w:val="single" w:color="000000" w:sz="4" w:space="0"/>
              <w:left w:val="single" w:color="000000" w:sz="4" w:space="0"/>
              <w:bottom w:val="single" w:color="000000" w:sz="4" w:space="0"/>
              <w:right w:val="nil"/>
            </w:tcBorders>
            <w:shd w:val="clear" w:color="auto" w:fill="FFFFFF"/>
            <w:noWrap/>
            <w:vAlign w:val="center"/>
          </w:tcPr>
          <w:p w14:paraId="2EA003A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可持续影响指标</w:t>
            </w:r>
          </w:p>
        </w:tc>
        <w:tc>
          <w:tcPr>
            <w:tcW w:w="1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F9FF8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公益性岗位补贴工作机制健全性</w:t>
            </w:r>
          </w:p>
        </w:tc>
        <w:tc>
          <w:tcPr>
            <w:tcW w:w="10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D4B8E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优良</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C9E28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优良</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4A5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E7EE9">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7B726">
            <w:pPr>
              <w:rPr>
                <w:rFonts w:hint="eastAsia" w:ascii="宋体" w:hAnsi="宋体" w:eastAsia="宋体" w:cs="宋体"/>
                <w:i w:val="0"/>
                <w:iCs w:val="0"/>
                <w:color w:val="000000"/>
                <w:sz w:val="18"/>
                <w:szCs w:val="18"/>
                <w:u w:val="none"/>
              </w:rPr>
            </w:pPr>
          </w:p>
        </w:tc>
      </w:tr>
      <w:tr w14:paraId="60AD9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C05E0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满意度指标</w:t>
            </w:r>
          </w:p>
        </w:tc>
        <w:tc>
          <w:tcPr>
            <w:tcW w:w="1560" w:type="dxa"/>
            <w:tcBorders>
              <w:top w:val="single" w:color="000000" w:sz="4" w:space="0"/>
              <w:left w:val="single" w:color="000000" w:sz="4" w:space="0"/>
              <w:bottom w:val="single" w:color="000000" w:sz="4" w:space="0"/>
              <w:right w:val="nil"/>
            </w:tcBorders>
            <w:shd w:val="clear" w:color="auto" w:fill="FFFFFF"/>
            <w:noWrap/>
            <w:vAlign w:val="center"/>
          </w:tcPr>
          <w:p w14:paraId="5416BA2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服务对象满意度指标</w:t>
            </w:r>
          </w:p>
        </w:tc>
        <w:tc>
          <w:tcPr>
            <w:tcW w:w="1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C1E6F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公益性岗位人员满意度</w:t>
            </w:r>
          </w:p>
        </w:tc>
        <w:tc>
          <w:tcPr>
            <w:tcW w:w="10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54511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≥95%</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1EE24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≥95%</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3FF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F6508">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EFFFB">
            <w:pPr>
              <w:rPr>
                <w:rFonts w:hint="eastAsia" w:ascii="宋体" w:hAnsi="宋体" w:eastAsia="宋体" w:cs="宋体"/>
                <w:i w:val="0"/>
                <w:iCs w:val="0"/>
                <w:color w:val="000000"/>
                <w:sz w:val="18"/>
                <w:szCs w:val="18"/>
                <w:u w:val="none"/>
              </w:rPr>
            </w:pPr>
          </w:p>
        </w:tc>
      </w:tr>
    </w:tbl>
    <w:p w14:paraId="626AD8DA">
      <w:pPr>
        <w:pStyle w:val="2"/>
        <w:rPr>
          <w:rFonts w:hint="eastAsia"/>
          <w:lang w:val="zh-CN" w:eastAsia="zh-CN"/>
        </w:rPr>
      </w:pPr>
    </w:p>
    <w:p w14:paraId="6AAA425A">
      <w:pPr>
        <w:spacing w:line="576" w:lineRule="exact"/>
        <w:ind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2024年，本部门在编制部门预算时按要求填报了项目支出绩效目标。绩效目标的完成指标、效益指标及满意度指标三大要素基本完整。</w:t>
      </w:r>
    </w:p>
    <w:p w14:paraId="505AC391">
      <w:pPr>
        <w:pStyle w:val="2"/>
        <w:rPr>
          <w:rFonts w:hint="eastAsia" w:ascii="楷体_GB2312" w:eastAsia="楷体_GB2312"/>
          <w:b/>
          <w:sz w:val="32"/>
          <w:szCs w:val="32"/>
          <w:lang w:val="zh-CN"/>
        </w:rPr>
      </w:pPr>
      <w:r>
        <w:rPr>
          <w:rFonts w:hint="eastAsia" w:ascii="仿宋_GB2312" w:eastAsia="仿宋_GB2312"/>
          <w:sz w:val="32"/>
          <w:szCs w:val="32"/>
        </w:rPr>
        <w:t>开展了</w:t>
      </w:r>
      <w:r>
        <w:rPr>
          <w:rFonts w:hint="eastAsia" w:eastAsia="仿宋_GB2312"/>
          <w:sz w:val="32"/>
          <w:szCs w:val="32"/>
          <w:lang w:eastAsia="zh-CN"/>
        </w:rPr>
        <w:t>该项目的</w:t>
      </w:r>
      <w:r>
        <w:rPr>
          <w:rFonts w:hint="eastAsia" w:ascii="仿宋_GB2312" w:eastAsia="仿宋_GB2312"/>
          <w:sz w:val="32"/>
          <w:szCs w:val="32"/>
        </w:rPr>
        <w:t>预算事前绩效评估，对</w:t>
      </w:r>
      <w:r>
        <w:rPr>
          <w:rFonts w:hint="eastAsia" w:eastAsia="仿宋_GB2312"/>
          <w:sz w:val="32"/>
          <w:szCs w:val="32"/>
          <w:lang w:eastAsia="zh-CN"/>
        </w:rPr>
        <w:t>该</w:t>
      </w:r>
      <w:r>
        <w:rPr>
          <w:rFonts w:hint="eastAsia" w:ascii="仿宋_GB2312" w:eastAsia="仿宋_GB2312"/>
          <w:sz w:val="32"/>
          <w:szCs w:val="32"/>
        </w:rPr>
        <w:t>项目编制了绩效目标，预算执行过程中，</w:t>
      </w:r>
      <w:r>
        <w:rPr>
          <w:rFonts w:hint="eastAsia" w:eastAsia="仿宋_GB2312"/>
          <w:sz w:val="32"/>
          <w:szCs w:val="32"/>
          <w:lang w:eastAsia="zh-CN"/>
        </w:rPr>
        <w:t>对该项目</w:t>
      </w:r>
      <w:r>
        <w:rPr>
          <w:rFonts w:hint="eastAsia" w:ascii="仿宋_GB2312" w:eastAsia="仿宋_GB2312"/>
          <w:sz w:val="32"/>
          <w:szCs w:val="32"/>
        </w:rPr>
        <w:t>开展绩效监控，组织对</w:t>
      </w:r>
      <w:r>
        <w:rPr>
          <w:rFonts w:hint="eastAsia" w:eastAsia="仿宋_GB2312"/>
          <w:sz w:val="32"/>
          <w:szCs w:val="32"/>
          <w:lang w:val="en-US" w:eastAsia="zh-CN"/>
        </w:rPr>
        <w:t>该</w:t>
      </w:r>
      <w:r>
        <w:rPr>
          <w:rFonts w:hint="eastAsia" w:ascii="仿宋_GB2312" w:eastAsia="仿宋_GB2312"/>
          <w:sz w:val="32"/>
          <w:szCs w:val="32"/>
        </w:rPr>
        <w:t>项目开展</w:t>
      </w:r>
      <w:r>
        <w:rPr>
          <w:rFonts w:hint="eastAsia" w:eastAsia="仿宋_GB2312"/>
          <w:sz w:val="32"/>
          <w:szCs w:val="32"/>
          <w:lang w:eastAsia="zh-CN"/>
        </w:rPr>
        <w:t>了</w:t>
      </w:r>
      <w:r>
        <w:rPr>
          <w:rFonts w:hint="eastAsia" w:ascii="仿宋_GB2312" w:eastAsia="仿宋_GB2312"/>
          <w:sz w:val="32"/>
          <w:szCs w:val="32"/>
        </w:rPr>
        <w:t>绩效自评</w:t>
      </w:r>
      <w:r>
        <w:rPr>
          <w:rFonts w:hint="eastAsia" w:eastAsia="仿宋_GB2312"/>
          <w:sz w:val="32"/>
          <w:szCs w:val="32"/>
          <w:lang w:eastAsia="zh-CN"/>
        </w:rPr>
        <w:t>。</w:t>
      </w:r>
    </w:p>
    <w:p w14:paraId="5A0A308E">
      <w:pPr>
        <w:ind w:firstLine="640" w:firstLineChars="200"/>
        <w:outlineLvl w:val="1"/>
        <w:rPr>
          <w:rFonts w:ascii="黑体" w:hAnsi="黑体" w:eastAsia="黑体"/>
          <w:sz w:val="32"/>
          <w:szCs w:val="32"/>
          <w:lang w:val="zh-CN"/>
        </w:rPr>
      </w:pPr>
      <w:bookmarkStart w:id="75" w:name="_Toc6991"/>
      <w:r>
        <w:rPr>
          <w:rFonts w:hint="eastAsia" w:ascii="黑体" w:hAnsi="黑体" w:eastAsia="黑体"/>
          <w:sz w:val="32"/>
          <w:szCs w:val="32"/>
          <w:lang w:val="zh-CN"/>
        </w:rPr>
        <w:t>二、评价实施</w:t>
      </w:r>
      <w:bookmarkEnd w:id="75"/>
    </w:p>
    <w:p w14:paraId="61B5761E">
      <w:pPr>
        <w:ind w:firstLine="643" w:firstLineChars="200"/>
        <w:rPr>
          <w:rFonts w:hint="eastAsia" w:ascii="楷体_GB2312" w:eastAsia="楷体_GB2312"/>
          <w:b/>
          <w:sz w:val="32"/>
          <w:szCs w:val="32"/>
          <w:lang w:val="zh-CN"/>
        </w:rPr>
      </w:pPr>
      <w:r>
        <w:rPr>
          <w:rFonts w:hint="eastAsia" w:ascii="楷体_GB2312" w:eastAsia="楷体_GB2312"/>
          <w:b/>
          <w:sz w:val="32"/>
          <w:szCs w:val="32"/>
          <w:lang w:val="zh-CN"/>
        </w:rPr>
        <w:t>（一）评价目的：</w:t>
      </w:r>
    </w:p>
    <w:p w14:paraId="79B831F4">
      <w:pPr>
        <w:ind w:firstLine="640" w:firstLineChars="200"/>
        <w:rPr>
          <w:rFonts w:eastAsia="仿宋_GB2312"/>
          <w:sz w:val="32"/>
          <w:szCs w:val="32"/>
          <w:lang w:val="zh-CN"/>
        </w:rPr>
      </w:pPr>
      <w:r>
        <w:rPr>
          <w:rFonts w:hint="eastAsia" w:eastAsia="仿宋_GB2312"/>
          <w:sz w:val="32"/>
          <w:szCs w:val="32"/>
          <w:lang w:val="zh-CN"/>
        </w:rPr>
        <w:t>通过对</w:t>
      </w:r>
      <w:r>
        <w:rPr>
          <w:rFonts w:hint="eastAsia" w:eastAsia="仿宋_GB2312"/>
          <w:sz w:val="32"/>
          <w:szCs w:val="32"/>
          <w:lang w:eastAsia="zh-CN"/>
        </w:rPr>
        <w:t>该</w:t>
      </w:r>
      <w:r>
        <w:rPr>
          <w:rFonts w:hint="eastAsia" w:eastAsia="仿宋_GB2312"/>
          <w:sz w:val="32"/>
          <w:szCs w:val="32"/>
          <w:lang w:val="zh-CN"/>
        </w:rPr>
        <w:t>项目绩效自评实现的对该项目执行情况的有效监控。</w:t>
      </w:r>
    </w:p>
    <w:p w14:paraId="1069BE01">
      <w:pPr>
        <w:ind w:firstLine="643" w:firstLineChars="200"/>
        <w:rPr>
          <w:rFonts w:eastAsia="仿宋_GB2312"/>
          <w:sz w:val="32"/>
          <w:szCs w:val="32"/>
          <w:lang w:val="zh-CN"/>
        </w:rPr>
      </w:pPr>
      <w:r>
        <w:rPr>
          <w:rFonts w:hint="eastAsia" w:ascii="楷体_GB2312" w:eastAsia="楷体_GB2312"/>
          <w:b/>
          <w:sz w:val="32"/>
          <w:szCs w:val="32"/>
          <w:lang w:val="zh-CN"/>
        </w:rPr>
        <w:t>（二）预设问题及评价重点：</w:t>
      </w:r>
      <w:r>
        <w:rPr>
          <w:rFonts w:hint="eastAsia" w:eastAsia="仿宋_GB2312"/>
          <w:sz w:val="32"/>
          <w:szCs w:val="32"/>
          <w:lang w:val="zh-CN"/>
        </w:rPr>
        <w:t>按照绩效评价指标体系，对该项目资金支出使用全过程及其实施效果进行了综合评价和判断。</w:t>
      </w:r>
    </w:p>
    <w:p w14:paraId="39F4E9B0">
      <w:pPr>
        <w:ind w:firstLine="643" w:firstLineChars="200"/>
        <w:rPr>
          <w:rFonts w:hint="eastAsia" w:ascii="楷体_GB2312" w:eastAsia="楷体_GB2312"/>
          <w:b/>
          <w:sz w:val="32"/>
          <w:szCs w:val="32"/>
          <w:lang w:val="zh-CN"/>
        </w:rPr>
      </w:pPr>
      <w:r>
        <w:rPr>
          <w:rFonts w:hint="eastAsia" w:ascii="楷体_GB2312" w:eastAsia="楷体_GB2312"/>
          <w:b/>
          <w:sz w:val="32"/>
          <w:szCs w:val="32"/>
          <w:lang w:val="zh-CN"/>
        </w:rPr>
        <w:t>（三）评价选点：</w:t>
      </w:r>
    </w:p>
    <w:p w14:paraId="2895FF30">
      <w:pPr>
        <w:ind w:firstLine="640" w:firstLineChars="200"/>
        <w:rPr>
          <w:rFonts w:eastAsia="仿宋_GB2312"/>
          <w:sz w:val="32"/>
          <w:szCs w:val="32"/>
          <w:lang w:val="zh-CN"/>
        </w:rPr>
      </w:pPr>
      <w:r>
        <w:rPr>
          <w:rFonts w:hint="eastAsia" w:eastAsia="仿宋_GB2312"/>
          <w:sz w:val="32"/>
          <w:szCs w:val="32"/>
          <w:lang w:val="zh-CN"/>
        </w:rPr>
        <w:t>项目绩效自评所抽样点位是年终决算后。</w:t>
      </w:r>
    </w:p>
    <w:p w14:paraId="57BA7CC0">
      <w:pPr>
        <w:ind w:firstLine="643" w:firstLineChars="200"/>
        <w:rPr>
          <w:rFonts w:eastAsia="仿宋_GB2312"/>
          <w:sz w:val="32"/>
          <w:szCs w:val="32"/>
          <w:lang w:val="zh-CN"/>
        </w:rPr>
      </w:pPr>
      <w:r>
        <w:rPr>
          <w:rFonts w:hint="eastAsia" w:ascii="楷体_GB2312" w:eastAsia="楷体_GB2312"/>
          <w:b/>
          <w:sz w:val="32"/>
          <w:szCs w:val="32"/>
          <w:lang w:val="zh-CN"/>
        </w:rPr>
        <w:t>（四）评价方法：</w:t>
      </w:r>
      <w:r>
        <w:rPr>
          <w:rFonts w:hint="eastAsia" w:eastAsia="仿宋_GB2312"/>
          <w:sz w:val="32"/>
          <w:szCs w:val="32"/>
          <w:lang w:val="zh-CN"/>
        </w:rPr>
        <w:t>根据项目情况和评价重点，用来收集相关材料和开展具体评价的方法是单位自评法。</w:t>
      </w:r>
    </w:p>
    <w:p w14:paraId="5D3122A6">
      <w:pPr>
        <w:ind w:firstLine="643" w:firstLineChars="200"/>
        <w:rPr>
          <w:rFonts w:hint="eastAsia" w:ascii="楷体_GB2312" w:eastAsia="楷体_GB2312"/>
          <w:b/>
          <w:sz w:val="32"/>
          <w:szCs w:val="32"/>
          <w:lang w:val="zh-CN"/>
        </w:rPr>
      </w:pPr>
      <w:r>
        <w:rPr>
          <w:rFonts w:hint="eastAsia" w:ascii="楷体_GB2312" w:eastAsia="楷体_GB2312"/>
          <w:b/>
          <w:sz w:val="32"/>
          <w:szCs w:val="32"/>
          <w:lang w:val="zh-CN"/>
        </w:rPr>
        <w:t>（五）评价组织：</w:t>
      </w:r>
    </w:p>
    <w:p w14:paraId="6924902F">
      <w:pPr>
        <w:ind w:firstLine="640" w:firstLineChars="200"/>
        <w:rPr>
          <w:rFonts w:eastAsia="仿宋_GB2312"/>
          <w:sz w:val="32"/>
          <w:szCs w:val="32"/>
          <w:lang w:val="zh-CN"/>
        </w:rPr>
      </w:pPr>
      <w:r>
        <w:rPr>
          <w:rFonts w:hint="eastAsia" w:eastAsia="仿宋_GB2312"/>
          <w:sz w:val="32"/>
          <w:szCs w:val="32"/>
          <w:lang w:val="zh-CN"/>
        </w:rPr>
        <w:t>评价组人员构成：部门主要领导、财务人员、项目经办人员。职责分工：部门主要领导负责评价全面工作，财务人员、项目经办人员负责收集相关材料、填报相关表格、形成相关报告。</w:t>
      </w:r>
    </w:p>
    <w:p w14:paraId="1DB70451">
      <w:pPr>
        <w:ind w:firstLine="640" w:firstLineChars="200"/>
        <w:outlineLvl w:val="1"/>
        <w:rPr>
          <w:rFonts w:ascii="黑体" w:hAnsi="黑体" w:eastAsia="黑体"/>
          <w:sz w:val="32"/>
          <w:szCs w:val="32"/>
          <w:lang w:val="zh-CN"/>
        </w:rPr>
      </w:pPr>
      <w:bookmarkStart w:id="76" w:name="_Toc24295"/>
      <w:r>
        <w:rPr>
          <w:rFonts w:hint="eastAsia" w:ascii="黑体" w:hAnsi="黑体" w:eastAsia="黑体"/>
          <w:sz w:val="32"/>
          <w:szCs w:val="32"/>
          <w:lang w:val="zh-CN"/>
        </w:rPr>
        <w:t>三、绩效分析</w:t>
      </w:r>
      <w:bookmarkEnd w:id="76"/>
    </w:p>
    <w:p w14:paraId="29B1C99F">
      <w:pPr>
        <w:ind w:firstLine="640" w:firstLineChars="200"/>
        <w:rPr>
          <w:rFonts w:eastAsia="仿宋_GB2312"/>
          <w:sz w:val="32"/>
          <w:szCs w:val="32"/>
          <w:lang w:val="zh-CN"/>
        </w:rPr>
      </w:pPr>
      <w:r>
        <w:rPr>
          <w:rFonts w:hint="eastAsia" w:eastAsia="仿宋_GB2312"/>
          <w:sz w:val="32"/>
          <w:szCs w:val="32"/>
          <w:lang w:val="zh-CN"/>
        </w:rPr>
        <w:t>根据项目预算绩效评价指标体系对该项目二、三级指标进行了逐项绩效分析并评分，自评得分为</w:t>
      </w:r>
      <w:r>
        <w:rPr>
          <w:rFonts w:hint="eastAsia" w:eastAsia="仿宋_GB2312"/>
          <w:sz w:val="32"/>
          <w:szCs w:val="32"/>
          <w:lang w:val="en-US" w:eastAsia="zh-CN"/>
        </w:rPr>
        <w:t>100分。</w:t>
      </w:r>
    </w:p>
    <w:p w14:paraId="2834E07B">
      <w:pPr>
        <w:ind w:firstLine="643" w:firstLineChars="200"/>
        <w:rPr>
          <w:rFonts w:ascii="楷体_GB2312" w:eastAsia="楷体_GB2312"/>
          <w:b/>
          <w:sz w:val="32"/>
          <w:szCs w:val="32"/>
          <w:lang w:val="zh-CN"/>
        </w:rPr>
      </w:pPr>
      <w:r>
        <w:rPr>
          <w:rFonts w:hint="eastAsia" w:ascii="楷体_GB2312" w:eastAsia="楷体_GB2312"/>
          <w:b/>
          <w:sz w:val="32"/>
          <w:szCs w:val="32"/>
          <w:lang w:val="zh-CN"/>
        </w:rPr>
        <w:t>（一）通用指标绩效分析。</w:t>
      </w:r>
    </w:p>
    <w:p w14:paraId="410A8541">
      <w:pPr>
        <w:spacing w:line="360" w:lineRule="auto"/>
        <w:ind w:firstLine="640" w:firstLineChars="200"/>
        <w:rPr>
          <w:rFonts w:hint="eastAsia" w:ascii="楷体_GB2312" w:eastAsia="楷体_GB2312"/>
          <w:sz w:val="32"/>
          <w:szCs w:val="32"/>
          <w:lang w:val="zh-CN"/>
        </w:rPr>
      </w:pPr>
      <w:r>
        <w:rPr>
          <w:rFonts w:hint="eastAsia" w:ascii="楷体_GB2312" w:eastAsia="楷体_GB2312"/>
          <w:sz w:val="32"/>
          <w:szCs w:val="32"/>
          <w:lang w:val="zh-CN"/>
        </w:rPr>
        <w:t>1.项目决策：</w:t>
      </w:r>
    </w:p>
    <w:p w14:paraId="1D327A68">
      <w:pPr>
        <w:spacing w:line="360" w:lineRule="auto"/>
        <w:ind w:firstLine="643" w:firstLineChars="200"/>
        <w:rPr>
          <w:rFonts w:hint="eastAsia" w:ascii="Times New Roman" w:hAnsi="Times New Roman" w:eastAsia="仿宋_GB2312" w:cs="Times New Roman"/>
          <w:sz w:val="32"/>
          <w:szCs w:val="32"/>
          <w:lang w:val="zh-CN"/>
        </w:rPr>
      </w:pPr>
      <w:r>
        <w:rPr>
          <w:rFonts w:hint="eastAsia" w:ascii="仿宋" w:hAnsi="仿宋" w:eastAsia="仿宋" w:cs="仿宋_GB2312"/>
          <w:b/>
          <w:bCs/>
          <w:sz w:val="32"/>
          <w:szCs w:val="32"/>
          <w:highlight w:val="none"/>
        </w:rPr>
        <w:t>程序严密：</w:t>
      </w:r>
      <w:r>
        <w:rPr>
          <w:rFonts w:hint="eastAsia" w:ascii="仿宋_GB2312" w:eastAsia="仿宋_GB2312"/>
          <w:sz w:val="32"/>
          <w:szCs w:val="32"/>
          <w:highlight w:val="none"/>
          <w:lang w:eastAsia="zh-CN"/>
        </w:rPr>
        <w:t>本部</w:t>
      </w:r>
      <w:r>
        <w:rPr>
          <w:rFonts w:hint="eastAsia" w:ascii="Times New Roman" w:hAnsi="Times New Roman" w:eastAsia="仿宋_GB2312" w:cs="Times New Roman"/>
          <w:sz w:val="32"/>
          <w:szCs w:val="32"/>
          <w:lang w:val="zh-CN" w:eastAsia="zh-CN"/>
        </w:rPr>
        <w:t>门</w:t>
      </w:r>
      <w:r>
        <w:rPr>
          <w:rFonts w:hint="eastAsia" w:ascii="Times New Roman" w:hAnsi="Times New Roman" w:eastAsia="仿宋_GB2312" w:cs="Times New Roman"/>
          <w:sz w:val="32"/>
          <w:szCs w:val="32"/>
          <w:lang w:val="zh-CN"/>
        </w:rPr>
        <w:t>严格按照</w:t>
      </w:r>
      <w:r>
        <w:rPr>
          <w:rFonts w:hint="eastAsia" w:ascii="Times New Roman" w:hAnsi="Times New Roman" w:eastAsia="仿宋_GB2312" w:cs="Times New Roman"/>
          <w:sz w:val="32"/>
          <w:szCs w:val="32"/>
          <w:lang w:val="zh-CN" w:eastAsia="zh-Hans"/>
        </w:rPr>
        <w:t>《</w:t>
      </w:r>
      <w:r>
        <w:rPr>
          <w:rFonts w:hint="eastAsia" w:ascii="Times New Roman" w:hAnsi="Times New Roman" w:eastAsia="仿宋_GB2312" w:cs="Times New Roman"/>
          <w:sz w:val="32"/>
          <w:szCs w:val="32"/>
          <w:lang w:val="zh-CN"/>
        </w:rPr>
        <w:t>五通桥区财政资金管理办法</w:t>
      </w:r>
      <w:r>
        <w:rPr>
          <w:rFonts w:hint="eastAsia" w:ascii="Times New Roman" w:hAnsi="Times New Roman" w:eastAsia="仿宋_GB2312" w:cs="Times New Roman"/>
          <w:sz w:val="32"/>
          <w:szCs w:val="32"/>
          <w:lang w:val="zh-CN" w:eastAsia="zh-Hans"/>
        </w:rPr>
        <w:t>》</w:t>
      </w:r>
      <w:r>
        <w:rPr>
          <w:rFonts w:hint="eastAsia" w:ascii="Times New Roman" w:hAnsi="Times New Roman" w:eastAsia="仿宋_GB2312" w:cs="Times New Roman"/>
          <w:sz w:val="32"/>
          <w:szCs w:val="32"/>
          <w:lang w:val="zh-CN"/>
        </w:rPr>
        <w:t>等相关文件执行。</w:t>
      </w:r>
    </w:p>
    <w:p w14:paraId="29D7AA93">
      <w:pPr>
        <w:spacing w:line="360" w:lineRule="auto"/>
        <w:ind w:firstLine="643" w:firstLineChars="200"/>
        <w:rPr>
          <w:rFonts w:hint="eastAsia" w:ascii="Times New Roman" w:hAnsi="Times New Roman" w:eastAsia="仿宋_GB2312" w:cs="Times New Roman"/>
          <w:sz w:val="32"/>
          <w:szCs w:val="32"/>
          <w:lang w:val="zh-CN" w:eastAsia="zh-CN"/>
        </w:rPr>
      </w:pPr>
      <w:r>
        <w:rPr>
          <w:rFonts w:hint="eastAsia" w:ascii="仿宋" w:hAnsi="仿宋" w:eastAsia="仿宋" w:cs="仿宋_GB2312"/>
          <w:b/>
          <w:bCs/>
          <w:sz w:val="32"/>
          <w:szCs w:val="32"/>
          <w:highlight w:val="none"/>
        </w:rPr>
        <w:t>规划合理：</w:t>
      </w:r>
      <w:r>
        <w:rPr>
          <w:rFonts w:hint="eastAsia" w:ascii="仿宋_GB2312" w:eastAsia="仿宋_GB2312"/>
          <w:sz w:val="32"/>
          <w:szCs w:val="32"/>
          <w:highlight w:val="none"/>
          <w:lang w:eastAsia="zh-CN"/>
        </w:rPr>
        <w:t>本部</w:t>
      </w:r>
      <w:r>
        <w:rPr>
          <w:rFonts w:hint="eastAsia" w:ascii="Times New Roman" w:hAnsi="Times New Roman" w:eastAsia="仿宋_GB2312" w:cs="Times New Roman"/>
          <w:sz w:val="32"/>
          <w:szCs w:val="32"/>
          <w:lang w:val="zh-CN" w:eastAsia="zh-CN"/>
        </w:rPr>
        <w:t>门严格按照相关政策文件精神进行，符合重大决策部署和宏观政策规划。</w:t>
      </w:r>
    </w:p>
    <w:p w14:paraId="402B4BFC">
      <w:pPr>
        <w:ind w:left="638" w:leftChars="304" w:firstLine="0" w:firstLineChars="0"/>
        <w:rPr>
          <w:rFonts w:hint="eastAsia" w:ascii="楷体_GB2312" w:hAnsi="Times New Roman" w:eastAsia="楷体_GB2312" w:cs="Times New Roman"/>
          <w:sz w:val="32"/>
          <w:szCs w:val="32"/>
          <w:lang w:val="zh-CN" w:eastAsia="zh-CN"/>
        </w:rPr>
      </w:pPr>
      <w:r>
        <w:rPr>
          <w:rFonts w:hint="eastAsia" w:ascii="仿宋" w:hAnsi="仿宋" w:eastAsia="仿宋" w:cs="仿宋_GB2312"/>
          <w:b/>
          <w:bCs/>
          <w:sz w:val="32"/>
          <w:szCs w:val="32"/>
          <w:highlight w:val="none"/>
        </w:rPr>
        <w:t>结果符合：</w:t>
      </w:r>
      <w:r>
        <w:rPr>
          <w:rFonts w:hint="eastAsia" w:ascii="Times New Roman" w:hAnsi="Times New Roman" w:eastAsia="仿宋_GB2312" w:cs="Times New Roman"/>
          <w:sz w:val="32"/>
          <w:szCs w:val="32"/>
          <w:lang w:val="en-US" w:eastAsia="zh-CN"/>
        </w:rPr>
        <w:t>该</w:t>
      </w:r>
      <w:r>
        <w:rPr>
          <w:rFonts w:hint="eastAsia" w:ascii="Times New Roman" w:hAnsi="Times New Roman" w:eastAsia="仿宋_GB2312" w:cs="Times New Roman"/>
          <w:sz w:val="32"/>
          <w:szCs w:val="32"/>
          <w:lang w:val="zh-CN" w:eastAsia="zh-CN"/>
        </w:rPr>
        <w:t>项目实施结果与项目总体规划计划一致。</w:t>
      </w:r>
      <w:r>
        <w:rPr>
          <w:rFonts w:hint="eastAsia" w:ascii="楷体_GB2312" w:hAnsi="Times New Roman" w:eastAsia="楷体_GB2312" w:cs="Times New Roman"/>
          <w:sz w:val="32"/>
          <w:szCs w:val="32"/>
          <w:lang w:val="zh-CN" w:eastAsia="zh-CN"/>
        </w:rPr>
        <w:t>2.项目管理：</w:t>
      </w:r>
    </w:p>
    <w:p w14:paraId="75F6C99F">
      <w:pPr>
        <w:ind w:left="319" w:leftChars="152" w:firstLine="320" w:firstLineChars="1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zh-CN" w:eastAsia="zh-CN"/>
        </w:rPr>
        <w:t>根据《预算法》和相关法律法规，本部门建立、健全了预算管理制度、财务管理制度、</w:t>
      </w:r>
      <w:r>
        <w:rPr>
          <w:rFonts w:hint="eastAsia" w:ascii="Times New Roman" w:hAnsi="Times New Roman" w:eastAsia="仿宋_GB2312" w:cs="Times New Roman"/>
          <w:sz w:val="32"/>
          <w:szCs w:val="32"/>
          <w:lang w:val="en-US" w:eastAsia="zh-CN"/>
        </w:rPr>
        <w:t>绩效评价管理制度。对该项目的立项、申报、入库、批复、执行等流程进行了全方位的</w:t>
      </w:r>
      <w:r>
        <w:rPr>
          <w:rFonts w:hint="eastAsia" w:ascii="Times New Roman" w:hAnsi="Times New Roman" w:eastAsia="仿宋_GB2312" w:cs="Times New Roman"/>
          <w:sz w:val="32"/>
          <w:szCs w:val="32"/>
          <w:lang w:val="zh-CN" w:eastAsia="zh-CN"/>
        </w:rPr>
        <w:t>绩效监管。很好地完成了</w:t>
      </w:r>
      <w:r>
        <w:rPr>
          <w:rFonts w:hint="eastAsia" w:ascii="Times New Roman" w:hAnsi="Times New Roman" w:eastAsia="仿宋_GB2312" w:cs="Times New Roman"/>
          <w:sz w:val="32"/>
          <w:szCs w:val="32"/>
          <w:lang w:val="en-US" w:eastAsia="zh-CN"/>
        </w:rPr>
        <w:t>该项目设定的目标任务。</w:t>
      </w:r>
    </w:p>
    <w:p w14:paraId="5C92E8D4">
      <w:pPr>
        <w:spacing w:line="360" w:lineRule="auto"/>
        <w:ind w:firstLine="640" w:firstLineChars="200"/>
        <w:rPr>
          <w:rFonts w:hint="eastAsia" w:ascii="楷体_GB2312" w:eastAsia="楷体_GB2312"/>
          <w:sz w:val="32"/>
          <w:szCs w:val="32"/>
          <w:lang w:val="zh-CN"/>
        </w:rPr>
      </w:pPr>
      <w:r>
        <w:rPr>
          <w:rFonts w:hint="eastAsia" w:ascii="楷体_GB2312" w:eastAsia="楷体_GB2312"/>
          <w:sz w:val="32"/>
          <w:szCs w:val="32"/>
          <w:lang w:val="zh-CN"/>
        </w:rPr>
        <w:t>3.项目实施：</w:t>
      </w:r>
    </w:p>
    <w:p w14:paraId="195B2690">
      <w:pPr>
        <w:spacing w:line="360" w:lineRule="auto"/>
        <w:ind w:firstLine="643" w:firstLineChars="200"/>
        <w:rPr>
          <w:rFonts w:hint="eastAsia" w:ascii="Times New Roman" w:hAnsi="Times New Roman" w:eastAsia="仿宋_GB2312" w:cs="Times New Roman"/>
          <w:sz w:val="32"/>
          <w:szCs w:val="32"/>
          <w:lang w:val="zh-CN" w:eastAsia="zh-CN"/>
        </w:rPr>
      </w:pPr>
      <w:r>
        <w:rPr>
          <w:rFonts w:hint="eastAsia" w:ascii="仿宋" w:hAnsi="仿宋" w:eastAsia="仿宋" w:cs="仿宋_GB2312"/>
          <w:b/>
          <w:bCs/>
          <w:sz w:val="32"/>
          <w:szCs w:val="32"/>
          <w:highlight w:val="none"/>
        </w:rPr>
        <w:t>分配科学：</w:t>
      </w:r>
      <w:r>
        <w:rPr>
          <w:rFonts w:hint="eastAsia" w:ascii="Times New Roman" w:hAnsi="Times New Roman" w:eastAsia="仿宋_GB2312" w:cs="Times New Roman"/>
          <w:sz w:val="32"/>
          <w:szCs w:val="32"/>
          <w:lang w:val="en-US" w:eastAsia="zh-CN"/>
        </w:rPr>
        <w:t>该</w:t>
      </w:r>
      <w:r>
        <w:rPr>
          <w:rFonts w:hint="eastAsia" w:ascii="Times New Roman" w:hAnsi="Times New Roman" w:eastAsia="仿宋_GB2312" w:cs="Times New Roman"/>
          <w:sz w:val="32"/>
          <w:szCs w:val="32"/>
          <w:lang w:val="zh-CN" w:eastAsia="zh-CN"/>
        </w:rPr>
        <w:t>项目选取了据实据效的绩效分配方式，分类评价分配程序和过程管理基本规范、基础数据真实，测算精准。</w:t>
      </w:r>
    </w:p>
    <w:p w14:paraId="56C798BA">
      <w:pPr>
        <w:spacing w:line="360" w:lineRule="auto"/>
        <w:ind w:firstLine="643" w:firstLineChars="200"/>
        <w:rPr>
          <w:rFonts w:hint="eastAsia" w:ascii="Times New Roman" w:hAnsi="Times New Roman" w:eastAsia="仿宋_GB2312" w:cs="Times New Roman"/>
          <w:sz w:val="32"/>
          <w:szCs w:val="32"/>
          <w:lang w:val="zh-CN" w:eastAsia="zh-CN"/>
        </w:rPr>
      </w:pPr>
      <w:r>
        <w:rPr>
          <w:rFonts w:hint="eastAsia" w:ascii="仿宋" w:hAnsi="仿宋" w:eastAsia="仿宋" w:cs="仿宋_GB2312"/>
          <w:b/>
          <w:bCs/>
          <w:sz w:val="32"/>
          <w:szCs w:val="32"/>
          <w:highlight w:val="none"/>
        </w:rPr>
        <w:t>分配及时：</w:t>
      </w:r>
      <w:r>
        <w:rPr>
          <w:rFonts w:hint="eastAsia" w:ascii="Times New Roman" w:hAnsi="Times New Roman" w:eastAsia="仿宋_GB2312" w:cs="Times New Roman"/>
          <w:sz w:val="32"/>
          <w:szCs w:val="32"/>
          <w:lang w:val="en-US" w:eastAsia="zh-CN"/>
        </w:rPr>
        <w:t>本单位按《预算法》规定时限及时分配专项预算资金。</w:t>
      </w:r>
    </w:p>
    <w:p w14:paraId="639B9992">
      <w:pPr>
        <w:numPr>
          <w:ilvl w:val="0"/>
          <w:numId w:val="0"/>
        </w:numPr>
        <w:ind w:firstLine="640" w:firstLineChars="200"/>
        <w:rPr>
          <w:rFonts w:hint="eastAsia" w:ascii="楷体_GB2312" w:hAnsi="Times New Roman" w:eastAsia="楷体_GB2312" w:cs="Times New Roman"/>
          <w:sz w:val="32"/>
          <w:szCs w:val="32"/>
          <w:lang w:val="zh-CN"/>
        </w:rPr>
      </w:pPr>
      <w:r>
        <w:rPr>
          <w:rFonts w:hint="eastAsia" w:ascii="楷体_GB2312" w:eastAsia="楷体_GB2312" w:cs="Times New Roman"/>
          <w:sz w:val="32"/>
          <w:szCs w:val="32"/>
          <w:lang w:val="en-US" w:eastAsia="zh-CN"/>
        </w:rPr>
        <w:t>4.</w:t>
      </w:r>
      <w:r>
        <w:rPr>
          <w:rFonts w:hint="eastAsia" w:ascii="楷体_GB2312" w:hAnsi="Times New Roman" w:eastAsia="楷体_GB2312" w:cs="Times New Roman"/>
          <w:sz w:val="32"/>
          <w:szCs w:val="32"/>
          <w:lang w:val="zh-CN"/>
        </w:rPr>
        <w:t>项目结果：</w:t>
      </w:r>
    </w:p>
    <w:p w14:paraId="2BC7334E">
      <w:pPr>
        <w:spacing w:line="360" w:lineRule="auto"/>
        <w:ind w:firstLine="640" w:firstLineChars="200"/>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en-US" w:eastAsia="zh-CN"/>
        </w:rPr>
        <w:t>该项目年初预算资金0万元，调整预算24.4万元，资金到位24.4万元，资金使用24.4万元，预决算差异率0%。</w:t>
      </w:r>
    </w:p>
    <w:p w14:paraId="3960EF42">
      <w:pPr>
        <w:ind w:firstLine="643" w:firstLineChars="200"/>
        <w:rPr>
          <w:rFonts w:hint="eastAsia" w:ascii="楷体_GB2312" w:eastAsia="楷体_GB2312"/>
          <w:b/>
          <w:sz w:val="32"/>
          <w:szCs w:val="32"/>
          <w:lang w:val="zh-CN"/>
        </w:rPr>
      </w:pPr>
      <w:r>
        <w:rPr>
          <w:rFonts w:hint="eastAsia" w:ascii="楷体_GB2312" w:eastAsia="楷体_GB2312"/>
          <w:b/>
          <w:sz w:val="32"/>
          <w:szCs w:val="32"/>
          <w:lang w:val="zh-CN"/>
        </w:rPr>
        <w:t>（二）专用指标绩效分析：</w:t>
      </w:r>
    </w:p>
    <w:p w14:paraId="61E4F63F">
      <w:pPr>
        <w:spacing w:line="360" w:lineRule="auto"/>
        <w:ind w:firstLine="640" w:firstLineChars="200"/>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en-US" w:eastAsia="zh-CN"/>
        </w:rPr>
        <w:t>该项目</w:t>
      </w:r>
      <w:r>
        <w:rPr>
          <w:rFonts w:hint="eastAsia" w:ascii="Times New Roman" w:hAnsi="Times New Roman" w:eastAsia="仿宋_GB2312" w:cs="Times New Roman"/>
          <w:sz w:val="32"/>
          <w:szCs w:val="32"/>
          <w:lang w:val="zh-CN" w:eastAsia="zh-CN"/>
        </w:rPr>
        <w:t>支持对象为民生保障性项目。通过项目的实施，解决了部份就业问题，为本单位完成协助执法工作任务提供资金保障。达到提高公益性岗位人员工资待遇、调动公益性岗位人员工作积极性的目标。不断提高公益性岗位人员的满意度。</w:t>
      </w:r>
    </w:p>
    <w:p w14:paraId="1C412CD5">
      <w:pPr>
        <w:ind w:firstLine="643" w:firstLineChars="200"/>
        <w:rPr>
          <w:rFonts w:hint="eastAsia" w:ascii="楷体_GB2312" w:eastAsia="楷体_GB2312"/>
          <w:b/>
          <w:sz w:val="32"/>
          <w:szCs w:val="32"/>
          <w:lang w:val="zh-CN"/>
        </w:rPr>
      </w:pPr>
      <w:r>
        <w:rPr>
          <w:rFonts w:hint="eastAsia" w:ascii="楷体_GB2312" w:eastAsia="楷体_GB2312"/>
          <w:b/>
          <w:sz w:val="32"/>
          <w:szCs w:val="32"/>
          <w:lang w:val="zh-CN"/>
        </w:rPr>
        <w:t>（三）个性指标绩效分析：</w:t>
      </w:r>
    </w:p>
    <w:p w14:paraId="2786201E">
      <w:pPr>
        <w:ind w:firstLine="640" w:firstLineChars="200"/>
        <w:rPr>
          <w:rFonts w:eastAsia="仿宋_GB2312"/>
          <w:sz w:val="32"/>
          <w:szCs w:val="32"/>
          <w:lang w:val="zh-CN"/>
        </w:rPr>
      </w:pPr>
      <w:r>
        <w:rPr>
          <w:rFonts w:hint="eastAsia" w:eastAsia="仿宋_GB2312"/>
          <w:sz w:val="32"/>
          <w:szCs w:val="32"/>
          <w:lang w:val="zh-CN"/>
        </w:rPr>
        <w:t>根据项目个性自行设定部分指标，反映该项指标执行完成情况：无。</w:t>
      </w:r>
    </w:p>
    <w:p w14:paraId="428C8C88">
      <w:pPr>
        <w:ind w:firstLine="640" w:firstLineChars="200"/>
        <w:outlineLvl w:val="1"/>
        <w:rPr>
          <w:rFonts w:ascii="黑体" w:hAnsi="黑体" w:eastAsia="黑体"/>
          <w:sz w:val="32"/>
          <w:szCs w:val="32"/>
          <w:lang w:val="zh-CN"/>
        </w:rPr>
      </w:pPr>
      <w:bookmarkStart w:id="77" w:name="_Toc11546"/>
      <w:r>
        <w:rPr>
          <w:rFonts w:hint="eastAsia" w:ascii="黑体" w:hAnsi="黑体" w:eastAsia="黑体"/>
          <w:sz w:val="32"/>
          <w:szCs w:val="32"/>
          <w:lang w:val="zh-CN"/>
        </w:rPr>
        <w:t>四、评价结论</w:t>
      </w:r>
      <w:bookmarkEnd w:id="77"/>
    </w:p>
    <w:p w14:paraId="43A81398">
      <w:pPr>
        <w:spacing w:line="360" w:lineRule="auto"/>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按照2024年度《区级部门整体绩效自评体系》设定的绩效指标和计分标准，本部门2024年</w:t>
      </w:r>
      <w:r>
        <w:rPr>
          <w:rFonts w:hint="eastAsia" w:ascii="Times New Roman" w:hAnsi="Times New Roman" w:eastAsia="仿宋_GB2312" w:cs="Times New Roman"/>
          <w:sz w:val="32"/>
          <w:szCs w:val="32"/>
          <w:lang w:val="zh-CN" w:eastAsia="zh-CN"/>
        </w:rPr>
        <w:t>“公益性岗位补贴”</w:t>
      </w:r>
      <w:r>
        <w:rPr>
          <w:rFonts w:hint="eastAsia" w:ascii="Times New Roman" w:hAnsi="Times New Roman" w:eastAsia="仿宋_GB2312" w:cs="Times New Roman"/>
          <w:sz w:val="32"/>
          <w:szCs w:val="32"/>
          <w:lang w:val="en-US" w:eastAsia="zh-CN"/>
        </w:rPr>
        <w:t>专项预算项目绩效自评得分为100分。</w:t>
      </w:r>
    </w:p>
    <w:p w14:paraId="4751F750">
      <w:pPr>
        <w:ind w:firstLine="640" w:firstLineChars="200"/>
        <w:outlineLvl w:val="1"/>
        <w:rPr>
          <w:rFonts w:ascii="黑体" w:hAnsi="黑体" w:eastAsia="黑体"/>
          <w:sz w:val="32"/>
          <w:szCs w:val="32"/>
          <w:lang w:val="zh-CN"/>
        </w:rPr>
      </w:pPr>
      <w:bookmarkStart w:id="78" w:name="_Toc27837"/>
      <w:r>
        <w:rPr>
          <w:rFonts w:hint="eastAsia" w:ascii="黑体" w:hAnsi="黑体" w:eastAsia="黑体"/>
          <w:sz w:val="32"/>
          <w:szCs w:val="32"/>
          <w:lang w:val="zh-CN"/>
        </w:rPr>
        <w:t>五、存在主要问题</w:t>
      </w:r>
      <w:bookmarkEnd w:id="78"/>
    </w:p>
    <w:p w14:paraId="171FAF2B">
      <w:pPr>
        <w:spacing w:line="360" w:lineRule="auto"/>
        <w:ind w:firstLine="640" w:firstLineChars="200"/>
        <w:rPr>
          <w:rFonts w:hint="eastAsia" w:ascii="Times New Roman" w:hAnsi="Times New Roman" w:eastAsia="仿宋_GB2312" w:cs="Times New Roman"/>
          <w:sz w:val="32"/>
          <w:szCs w:val="32"/>
          <w:lang w:val="en-US" w:eastAsia="zh-Hans"/>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en-US" w:eastAsia="zh-Hans"/>
        </w:rPr>
        <w:t>、</w:t>
      </w:r>
      <w:r>
        <w:rPr>
          <w:rFonts w:hint="eastAsia" w:ascii="Times New Roman" w:hAnsi="Times New Roman" w:eastAsia="仿宋_GB2312" w:cs="Times New Roman"/>
          <w:sz w:val="32"/>
          <w:szCs w:val="32"/>
          <w:lang w:val="en-US" w:eastAsia="zh-CN"/>
        </w:rPr>
        <w:t>存在年初</w:t>
      </w:r>
      <w:r>
        <w:rPr>
          <w:rFonts w:hint="eastAsia" w:ascii="Times New Roman" w:hAnsi="Times New Roman" w:eastAsia="仿宋_GB2312" w:cs="Times New Roman"/>
          <w:sz w:val="32"/>
          <w:szCs w:val="32"/>
          <w:lang w:val="en-US" w:eastAsia="zh-Hans"/>
        </w:rPr>
        <w:t>预算偏差程度</w:t>
      </w:r>
      <w:r>
        <w:rPr>
          <w:rFonts w:hint="eastAsia" w:ascii="Times New Roman" w:hAnsi="Times New Roman" w:eastAsia="仿宋_GB2312" w:cs="Times New Roman"/>
          <w:sz w:val="32"/>
          <w:szCs w:val="32"/>
          <w:lang w:val="en-US" w:eastAsia="zh-CN"/>
        </w:rPr>
        <w:t>差异较大的问题</w:t>
      </w:r>
      <w:r>
        <w:rPr>
          <w:rFonts w:hint="eastAsia" w:ascii="Times New Roman" w:hAnsi="Times New Roman" w:eastAsia="仿宋_GB2312" w:cs="Times New Roman"/>
          <w:sz w:val="32"/>
          <w:szCs w:val="32"/>
          <w:lang w:val="en-US" w:eastAsia="zh-Hans"/>
        </w:rPr>
        <w:t>。</w:t>
      </w:r>
    </w:p>
    <w:p w14:paraId="28976ED2">
      <w:pPr>
        <w:spacing w:line="360" w:lineRule="auto"/>
        <w:ind w:firstLine="640" w:firstLineChars="200"/>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en-US" w:eastAsia="zh-CN"/>
        </w:rPr>
        <w:t>2、在基本绩效目标的科学合理、规范完整、细化量化并与预算安排相匹配方面还需进一步提高。</w:t>
      </w:r>
    </w:p>
    <w:p w14:paraId="6B319EBC">
      <w:pPr>
        <w:ind w:firstLine="640" w:firstLineChars="200"/>
        <w:outlineLvl w:val="1"/>
        <w:rPr>
          <w:rFonts w:ascii="黑体" w:hAnsi="黑体" w:eastAsia="黑体"/>
          <w:sz w:val="32"/>
          <w:szCs w:val="32"/>
          <w:lang w:val="zh-CN"/>
        </w:rPr>
      </w:pPr>
      <w:bookmarkStart w:id="79" w:name="_Toc8362"/>
      <w:r>
        <w:rPr>
          <w:rFonts w:hint="eastAsia" w:ascii="黑体" w:hAnsi="黑体" w:eastAsia="黑体"/>
          <w:sz w:val="32"/>
          <w:szCs w:val="32"/>
          <w:lang w:val="zh-CN"/>
        </w:rPr>
        <w:t>六、改进建议</w:t>
      </w:r>
      <w:bookmarkEnd w:id="79"/>
    </w:p>
    <w:p w14:paraId="3777D84D">
      <w:pPr>
        <w:spacing w:line="360" w:lineRule="auto"/>
        <w:ind w:firstLine="640" w:firstLineChars="200"/>
        <w:rPr>
          <w:rFonts w:hint="eastAsia" w:ascii="Times New Roman" w:hAnsi="Times New Roman" w:eastAsia="仿宋_GB2312" w:cs="Times New Roman"/>
          <w:sz w:val="32"/>
          <w:szCs w:val="32"/>
          <w:lang w:val="en-US" w:eastAsia="zh-Hans"/>
        </w:rPr>
      </w:pPr>
      <w:r>
        <w:rPr>
          <w:rFonts w:hint="eastAsia" w:ascii="Times New Roman" w:hAnsi="Times New Roman" w:eastAsia="仿宋_GB2312" w:cs="Times New Roman"/>
          <w:sz w:val="32"/>
          <w:szCs w:val="32"/>
          <w:lang w:val="zh-CN" w:eastAsia="zh-CN"/>
        </w:rPr>
        <w:t xml:space="preserve"> </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en-US" w:eastAsia="zh-Hans"/>
        </w:rPr>
        <w:t>、提升财务专业知识水平，正确规范使用</w:t>
      </w:r>
      <w:r>
        <w:rPr>
          <w:rFonts w:hint="eastAsia" w:ascii="Times New Roman" w:hAnsi="Times New Roman" w:eastAsia="仿宋_GB2312" w:cs="Times New Roman"/>
          <w:sz w:val="32"/>
          <w:szCs w:val="32"/>
          <w:lang w:val="en-US" w:eastAsia="zh-CN"/>
        </w:rPr>
        <w:t>经济科目、</w:t>
      </w:r>
      <w:r>
        <w:rPr>
          <w:rFonts w:hint="eastAsia" w:ascii="Times New Roman" w:hAnsi="Times New Roman" w:eastAsia="仿宋_GB2312" w:cs="Times New Roman"/>
          <w:sz w:val="32"/>
          <w:szCs w:val="32"/>
          <w:lang w:val="en-US" w:eastAsia="zh-Hans"/>
        </w:rPr>
        <w:t>功能科目。</w:t>
      </w:r>
    </w:p>
    <w:p w14:paraId="170D6F1F">
      <w:pPr>
        <w:spacing w:line="360" w:lineRule="auto"/>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Hans"/>
        </w:rPr>
        <w:t>2、提高预算管理水平，合理安排支出结构。充分了解预算需求，提高预算编制的准确度。</w:t>
      </w:r>
    </w:p>
    <w:p w14:paraId="1C42936B">
      <w:pPr>
        <w:pStyle w:val="13"/>
        <w:rPr>
          <w:rFonts w:hint="eastAsia" w:ascii="黑体" w:hAnsi="黑体" w:eastAsia="黑体"/>
          <w:sz w:val="32"/>
          <w:szCs w:val="32"/>
        </w:rPr>
      </w:pPr>
    </w:p>
    <w:p w14:paraId="00A83685">
      <w:pPr>
        <w:pStyle w:val="2"/>
        <w:spacing w:line="240" w:lineRule="auto"/>
        <w:ind w:left="0" w:leftChars="0" w:firstLine="0" w:firstLineChars="0"/>
        <w:jc w:val="center"/>
        <w:outlineLvl w:val="1"/>
        <w:rPr>
          <w:rFonts w:hint="eastAsia" w:ascii="方正小标宋简体" w:hAnsi="方正小标宋简体" w:eastAsia="方正小标宋简体" w:cs="Times New Roman"/>
          <w:kern w:val="2"/>
          <w:sz w:val="36"/>
          <w:szCs w:val="36"/>
          <w:lang w:val="en-US" w:eastAsia="zh-CN" w:bidi="ar-SA"/>
        </w:rPr>
      </w:pPr>
      <w:bookmarkStart w:id="80" w:name="_Toc25766"/>
    </w:p>
    <w:p w14:paraId="5EAEC500">
      <w:pPr>
        <w:pStyle w:val="2"/>
        <w:spacing w:line="240" w:lineRule="auto"/>
        <w:ind w:left="0" w:leftChars="0" w:firstLine="0" w:firstLineChars="0"/>
        <w:jc w:val="center"/>
        <w:outlineLvl w:val="1"/>
        <w:rPr>
          <w:rFonts w:hint="eastAsia" w:ascii="方正小标宋简体" w:hAnsi="方正小标宋简体" w:eastAsia="方正小标宋简体" w:cs="Times New Roman"/>
          <w:kern w:val="2"/>
          <w:sz w:val="36"/>
          <w:szCs w:val="36"/>
          <w:lang w:val="en-US" w:eastAsia="zh-CN" w:bidi="ar-SA"/>
        </w:rPr>
      </w:pPr>
    </w:p>
    <w:p w14:paraId="1D3BE72E">
      <w:pPr>
        <w:pStyle w:val="4"/>
        <w:rPr>
          <w:rFonts w:hint="eastAsia" w:ascii="方正小标宋简体" w:hAnsi="方正小标宋简体" w:eastAsia="方正小标宋简体" w:cs="Times New Roman"/>
          <w:kern w:val="2"/>
          <w:sz w:val="36"/>
          <w:szCs w:val="36"/>
          <w:lang w:val="en-US" w:eastAsia="zh-CN" w:bidi="ar-SA"/>
        </w:rPr>
      </w:pPr>
    </w:p>
    <w:p w14:paraId="038026D6">
      <w:pPr>
        <w:pStyle w:val="4"/>
        <w:rPr>
          <w:rFonts w:hint="eastAsia" w:ascii="方正小标宋简体" w:hAnsi="方正小标宋简体" w:eastAsia="方正小标宋简体" w:cs="Times New Roman"/>
          <w:kern w:val="2"/>
          <w:sz w:val="36"/>
          <w:szCs w:val="36"/>
          <w:lang w:val="en-US" w:eastAsia="zh-CN" w:bidi="ar-SA"/>
        </w:rPr>
      </w:pPr>
    </w:p>
    <w:p w14:paraId="78D0CD6D">
      <w:pPr>
        <w:pStyle w:val="4"/>
        <w:rPr>
          <w:rFonts w:hint="eastAsia" w:ascii="方正小标宋简体" w:hAnsi="方正小标宋简体" w:eastAsia="方正小标宋简体" w:cs="Times New Roman"/>
          <w:kern w:val="2"/>
          <w:sz w:val="36"/>
          <w:szCs w:val="36"/>
          <w:lang w:val="en-US" w:eastAsia="zh-CN" w:bidi="ar-SA"/>
        </w:rPr>
      </w:pPr>
    </w:p>
    <w:p w14:paraId="793C1A8E">
      <w:pPr>
        <w:pStyle w:val="2"/>
        <w:spacing w:line="240" w:lineRule="auto"/>
        <w:ind w:left="0" w:leftChars="0" w:firstLine="0" w:firstLineChars="0"/>
        <w:jc w:val="center"/>
        <w:outlineLvl w:val="1"/>
        <w:rPr>
          <w:rFonts w:hint="eastAsia" w:ascii="方正小标宋简体" w:hAnsi="方正小标宋简体" w:eastAsia="方正小标宋简体" w:cs="Times New Roman"/>
          <w:kern w:val="2"/>
          <w:sz w:val="36"/>
          <w:szCs w:val="36"/>
          <w:lang w:val="en-US" w:eastAsia="zh-CN" w:bidi="ar-SA"/>
        </w:rPr>
      </w:pPr>
      <w:r>
        <w:rPr>
          <w:rFonts w:hint="eastAsia" w:ascii="方正小标宋简体" w:hAnsi="方正小标宋简体" w:eastAsia="方正小标宋简体" w:cs="Times New Roman"/>
          <w:kern w:val="2"/>
          <w:sz w:val="36"/>
          <w:szCs w:val="36"/>
          <w:lang w:val="en-US" w:eastAsia="zh-CN" w:bidi="ar-SA"/>
        </w:rPr>
        <w:t>五通桥区综合行政执法局</w:t>
      </w:r>
      <w:bookmarkEnd w:id="80"/>
    </w:p>
    <w:p w14:paraId="7B0C9377">
      <w:pPr>
        <w:pStyle w:val="2"/>
        <w:spacing w:line="240" w:lineRule="auto"/>
        <w:ind w:left="0" w:leftChars="0" w:firstLine="0" w:firstLineChars="0"/>
        <w:jc w:val="center"/>
        <w:rPr>
          <w:rFonts w:hint="eastAsia" w:ascii="方正小标宋简体" w:hAnsi="方正小标宋简体" w:eastAsia="方正小标宋简体" w:cs="Times New Roman"/>
          <w:kern w:val="2"/>
          <w:sz w:val="36"/>
          <w:szCs w:val="36"/>
          <w:lang w:val="zh-CN" w:eastAsia="zh-CN" w:bidi="ar-SA"/>
        </w:rPr>
      </w:pPr>
      <w:r>
        <w:rPr>
          <w:rFonts w:hint="eastAsia" w:ascii="方正小标宋简体" w:hAnsi="方正小标宋简体" w:eastAsia="方正小标宋简体" w:cs="Times New Roman"/>
          <w:kern w:val="2"/>
          <w:sz w:val="36"/>
          <w:szCs w:val="36"/>
          <w:lang w:val="en-US" w:eastAsia="zh-CN" w:bidi="ar-SA"/>
        </w:rPr>
        <w:t>“违章建筑拆除经费</w:t>
      </w:r>
      <w:r>
        <w:rPr>
          <w:rFonts w:hint="eastAsia" w:ascii="方正小标宋简体" w:hAnsi="方正小标宋简体" w:eastAsia="方正小标宋简体" w:cs="Times New Roman"/>
          <w:kern w:val="2"/>
          <w:sz w:val="36"/>
          <w:szCs w:val="36"/>
          <w:lang w:val="zh-CN" w:eastAsia="zh-CN" w:bidi="ar-SA"/>
        </w:rPr>
        <w:t>”</w:t>
      </w:r>
    </w:p>
    <w:p w14:paraId="271955FF">
      <w:pPr>
        <w:spacing w:line="240" w:lineRule="auto"/>
        <w:jc w:val="center"/>
        <w:rPr>
          <w:rFonts w:ascii="方正小标宋简体" w:hAnsi="方正小标宋简体" w:eastAsia="方正小标宋简体"/>
          <w:sz w:val="44"/>
          <w:szCs w:val="44"/>
        </w:rPr>
      </w:pPr>
      <w:r>
        <w:rPr>
          <w:rFonts w:hint="eastAsia" w:ascii="方正小标宋简体" w:hAnsi="方正小标宋简体" w:eastAsia="方正小标宋简体"/>
          <w:sz w:val="36"/>
          <w:szCs w:val="36"/>
        </w:rPr>
        <w:t>专项预算项目绩效评价报告</w:t>
      </w:r>
    </w:p>
    <w:p w14:paraId="07E8780A">
      <w:pPr>
        <w:ind w:firstLine="640" w:firstLineChars="200"/>
        <w:rPr>
          <w:rFonts w:hint="eastAsia" w:ascii="黑体" w:hAnsi="黑体" w:eastAsia="黑体"/>
          <w:sz w:val="32"/>
          <w:szCs w:val="32"/>
          <w:lang w:val="zh-CN"/>
        </w:rPr>
      </w:pPr>
    </w:p>
    <w:p w14:paraId="78BE679E">
      <w:pPr>
        <w:ind w:firstLine="640" w:firstLineChars="200"/>
        <w:outlineLvl w:val="1"/>
        <w:rPr>
          <w:rFonts w:ascii="黑体" w:hAnsi="黑体" w:eastAsia="黑体"/>
          <w:sz w:val="32"/>
          <w:szCs w:val="32"/>
          <w:lang w:val="zh-CN"/>
        </w:rPr>
      </w:pPr>
      <w:bookmarkStart w:id="81" w:name="_Toc18140"/>
      <w:r>
        <w:rPr>
          <w:rFonts w:hint="eastAsia" w:ascii="黑体" w:hAnsi="黑体" w:eastAsia="黑体"/>
          <w:sz w:val="32"/>
          <w:szCs w:val="32"/>
          <w:lang w:val="zh-CN"/>
        </w:rPr>
        <w:t>一、项目概况</w:t>
      </w:r>
      <w:bookmarkEnd w:id="81"/>
    </w:p>
    <w:p w14:paraId="79A9C773">
      <w:pPr>
        <w:ind w:firstLine="643" w:firstLineChars="200"/>
        <w:rPr>
          <w:rFonts w:hint="eastAsia" w:ascii="楷体_GB2312" w:eastAsia="楷体_GB2312"/>
          <w:b/>
          <w:sz w:val="32"/>
          <w:szCs w:val="32"/>
          <w:lang w:val="zh-CN"/>
        </w:rPr>
      </w:pPr>
      <w:r>
        <w:rPr>
          <w:rFonts w:hint="eastAsia" w:ascii="楷体_GB2312" w:eastAsia="楷体_GB2312"/>
          <w:b/>
          <w:sz w:val="32"/>
          <w:szCs w:val="32"/>
          <w:lang w:val="zh-CN"/>
        </w:rPr>
        <w:t>（一）设立背景及基本情况：</w:t>
      </w:r>
    </w:p>
    <w:p w14:paraId="24BBEAD0">
      <w:pPr>
        <w:ind w:firstLine="640" w:firstLineChars="200"/>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根据五综执〔2019〕23号及本单位三定方案之主要工作职责设立“</w:t>
      </w:r>
      <w:r>
        <w:rPr>
          <w:rFonts w:hint="eastAsia" w:ascii="Times New Roman" w:hAnsi="Times New Roman" w:eastAsia="仿宋_GB2312" w:cs="Times New Roman"/>
          <w:sz w:val="32"/>
          <w:szCs w:val="32"/>
          <w:lang w:val="en-US" w:eastAsia="zh-CN"/>
        </w:rPr>
        <w:t>违章建筑拆除经费</w:t>
      </w:r>
      <w:r>
        <w:rPr>
          <w:rFonts w:hint="eastAsia" w:ascii="Times New Roman" w:hAnsi="Times New Roman" w:eastAsia="仿宋_GB2312" w:cs="Times New Roman"/>
          <w:sz w:val="32"/>
          <w:szCs w:val="32"/>
          <w:lang w:val="zh-CN" w:eastAsia="zh-CN"/>
        </w:rPr>
        <w:t>”项目，项目期限为长期。</w:t>
      </w:r>
    </w:p>
    <w:p w14:paraId="6D1B3610">
      <w:pPr>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zh-CN" w:eastAsia="zh-CN"/>
        </w:rPr>
        <w:t>项目的主要内容是</w:t>
      </w:r>
      <w:r>
        <w:rPr>
          <w:rFonts w:hint="eastAsia" w:ascii="Times New Roman" w:hAnsi="Times New Roman" w:eastAsia="仿宋_GB2312" w:cs="Times New Roman"/>
          <w:sz w:val="32"/>
          <w:szCs w:val="32"/>
          <w:lang w:val="en-US" w:eastAsia="zh-CN"/>
        </w:rPr>
        <w:t>对全区范围内的违章建筑进行拆除所需的经费。</w:t>
      </w:r>
    </w:p>
    <w:p w14:paraId="5D311657">
      <w:pPr>
        <w:ind w:firstLine="640" w:firstLineChars="200"/>
        <w:rPr>
          <w:rFonts w:hint="eastAsia" w:ascii="Times New Roman" w:hAnsi="Times New Roman" w:eastAsia="仿宋_GB2312" w:cs="Times New Roman"/>
          <w:sz w:val="32"/>
          <w:szCs w:val="32"/>
          <w:lang w:val="zh-CN"/>
        </w:rPr>
      </w:pPr>
      <w:r>
        <w:rPr>
          <w:rFonts w:hint="eastAsia" w:ascii="Times New Roman" w:hAnsi="Times New Roman" w:eastAsia="仿宋_GB2312" w:cs="Times New Roman"/>
          <w:sz w:val="32"/>
          <w:szCs w:val="32"/>
          <w:lang w:val="zh-CN"/>
        </w:rPr>
        <w:t>主管部门职能：</w:t>
      </w:r>
      <w:r>
        <w:rPr>
          <w:rFonts w:hint="eastAsia" w:ascii="仿宋_GB2312" w:hAnsi="仿宋_GB2312" w:eastAsia="仿宋_GB2312" w:cs="仿宋_GB2312"/>
          <w:sz w:val="32"/>
          <w:szCs w:val="32"/>
        </w:rPr>
        <w:t>区综合行政执法局负责集中行使除公安、税务、农业农村、应急管理、保密部门和生态环境部分领域以外的本级行政部门的行政处罚权和相应的行政检查权、行政强制权。行使发展和改革、经济和信息化、教育管理、民政管理、司法、财政、人力资源和社会保障、住房和城乡建设、城市管理、交通运输、水务、文化体育和旅游、卫生健康、退役军人事务、审计、市场监督管理、统计、医疗保障、商务和经济合作、残疾人权益保护、民族宗教、网信、档案、自然资源等领域所有的行政处罚权和相应的行政检查权、行政强制权。</w:t>
      </w:r>
    </w:p>
    <w:p w14:paraId="12F6F47D">
      <w:pPr>
        <w:ind w:firstLine="640" w:firstLineChars="200"/>
        <w:rPr>
          <w:rFonts w:hint="eastAsia" w:ascii="Times New Roman" w:hAnsi="Times New Roman" w:eastAsia="仿宋_GB2312" w:cs="Times New Roman"/>
          <w:sz w:val="32"/>
          <w:szCs w:val="32"/>
          <w:lang w:val="zh-CN"/>
        </w:rPr>
      </w:pPr>
    </w:p>
    <w:p w14:paraId="78497F8A">
      <w:pPr>
        <w:spacing w:line="360" w:lineRule="auto"/>
        <w:ind w:firstLine="643" w:firstLineChars="200"/>
        <w:jc w:val="left"/>
        <w:rPr>
          <w:rFonts w:hint="eastAsia" w:ascii="楷体_GB2312" w:eastAsia="楷体_GB2312"/>
          <w:b/>
          <w:sz w:val="32"/>
          <w:szCs w:val="32"/>
          <w:lang w:val="zh-CN"/>
        </w:rPr>
      </w:pPr>
      <w:r>
        <w:rPr>
          <w:rFonts w:hint="eastAsia" w:ascii="楷体_GB2312" w:eastAsia="楷体_GB2312"/>
          <w:b/>
          <w:sz w:val="32"/>
          <w:szCs w:val="32"/>
          <w:lang w:val="zh-CN"/>
        </w:rPr>
        <w:t>（二）实施目的及支持方向：</w:t>
      </w:r>
    </w:p>
    <w:p w14:paraId="674D0DA5">
      <w:pPr>
        <w:spacing w:line="360" w:lineRule="auto"/>
        <w:ind w:firstLine="640" w:firstLineChars="200"/>
        <w:jc w:val="left"/>
        <w:rPr>
          <w:rFonts w:hint="eastAsia" w:ascii="Times New Roman" w:hAnsi="Times New Roman" w:eastAsia="仿宋_GB2312" w:cs="Times New Roman"/>
          <w:sz w:val="32"/>
          <w:szCs w:val="32"/>
          <w:lang w:val="zh-CN"/>
        </w:rPr>
      </w:pPr>
      <w:r>
        <w:rPr>
          <w:rFonts w:hint="eastAsia" w:ascii="Times New Roman" w:hAnsi="Times New Roman" w:eastAsia="仿宋_GB2312" w:cs="Times New Roman"/>
          <w:sz w:val="32"/>
          <w:szCs w:val="32"/>
          <w:lang w:val="zh-CN" w:eastAsia="zh-CN"/>
        </w:rPr>
        <w:t>该项目是行政运转性项目，通过项目的实施，</w:t>
      </w:r>
      <w:r>
        <w:rPr>
          <w:rFonts w:hint="eastAsia" w:ascii="Times New Roman" w:hAnsi="Times New Roman" w:eastAsia="仿宋_GB2312" w:cs="Times New Roman"/>
          <w:sz w:val="32"/>
          <w:szCs w:val="32"/>
          <w:lang w:val="en-US" w:eastAsia="zh-CN"/>
        </w:rPr>
        <w:t>为本单位行使城市管理领域法律、法规、规章规定的行政处罚权提供资金保障。</w:t>
      </w:r>
      <w:r>
        <w:rPr>
          <w:rFonts w:hint="eastAsia" w:ascii="Times New Roman" w:hAnsi="Times New Roman" w:eastAsia="仿宋_GB2312" w:cs="Times New Roman"/>
          <w:sz w:val="32"/>
          <w:szCs w:val="32"/>
          <w:lang w:val="zh-CN" w:eastAsia="zh-CN"/>
        </w:rPr>
        <w:t>达到美化城乡环境、创建卫生城市、文明城市的目标。不断提高</w:t>
      </w:r>
      <w:r>
        <w:rPr>
          <w:rFonts w:hint="eastAsia" w:ascii="Times New Roman" w:hAnsi="Times New Roman" w:eastAsia="仿宋_GB2312" w:cs="Times New Roman"/>
          <w:sz w:val="32"/>
          <w:szCs w:val="32"/>
          <w:lang w:val="en-US" w:eastAsia="zh-CN"/>
        </w:rPr>
        <w:t>人民群众的</w:t>
      </w:r>
      <w:r>
        <w:rPr>
          <w:rFonts w:hint="eastAsia" w:ascii="Times New Roman" w:hAnsi="Times New Roman" w:eastAsia="仿宋_GB2312" w:cs="Times New Roman"/>
          <w:sz w:val="32"/>
          <w:szCs w:val="32"/>
          <w:lang w:val="zh-CN" w:eastAsia="zh-CN"/>
        </w:rPr>
        <w:t>满意度。</w:t>
      </w:r>
    </w:p>
    <w:p w14:paraId="1B6FABE3">
      <w:pPr>
        <w:ind w:firstLine="643" w:firstLineChars="200"/>
        <w:rPr>
          <w:rFonts w:hint="eastAsia" w:ascii="Times New Roman" w:hAnsi="Times New Roman" w:eastAsia="仿宋_GB2312" w:cs="Times New Roman"/>
          <w:sz w:val="32"/>
          <w:szCs w:val="32"/>
          <w:lang w:val="zh-CN"/>
        </w:rPr>
      </w:pPr>
      <w:r>
        <w:rPr>
          <w:rFonts w:hint="eastAsia" w:ascii="楷体_GB2312" w:eastAsia="楷体_GB2312"/>
          <w:b/>
          <w:sz w:val="32"/>
          <w:szCs w:val="32"/>
          <w:lang w:val="zh-CN"/>
        </w:rPr>
        <w:t>（三）预算安排及分配管理：</w:t>
      </w:r>
      <w:r>
        <w:rPr>
          <w:rFonts w:hint="eastAsia" w:eastAsia="仿宋_GB2312" w:cs="Times New Roman"/>
          <w:sz w:val="32"/>
          <w:szCs w:val="32"/>
          <w:lang w:val="zh-CN"/>
        </w:rPr>
        <w:t>2024</w:t>
      </w:r>
      <w:r>
        <w:rPr>
          <w:rFonts w:hint="eastAsia" w:ascii="Times New Roman" w:hAnsi="Times New Roman" w:eastAsia="仿宋_GB2312" w:cs="Times New Roman"/>
          <w:sz w:val="32"/>
          <w:szCs w:val="32"/>
          <w:lang w:val="zh-CN"/>
        </w:rPr>
        <w:t>年综合行政执法局计划使用财政资金</w:t>
      </w:r>
      <w:r>
        <w:rPr>
          <w:rFonts w:hint="eastAsia" w:eastAsia="仿宋_GB2312" w:cs="Times New Roman"/>
          <w:sz w:val="32"/>
          <w:szCs w:val="32"/>
          <w:lang w:val="en-US" w:eastAsia="zh-CN"/>
        </w:rPr>
        <w:t>15</w:t>
      </w:r>
      <w:r>
        <w:rPr>
          <w:rFonts w:hint="eastAsia" w:ascii="Times New Roman" w:hAnsi="Times New Roman" w:eastAsia="仿宋_GB2312" w:cs="Times New Roman"/>
          <w:sz w:val="32"/>
          <w:szCs w:val="32"/>
          <w:lang w:val="zh-CN"/>
        </w:rPr>
        <w:t>万元，用于</w:t>
      </w:r>
      <w:r>
        <w:rPr>
          <w:rFonts w:hint="eastAsia" w:ascii="Times New Roman" w:hAnsi="Times New Roman" w:eastAsia="仿宋_GB2312" w:cs="Times New Roman"/>
          <w:sz w:val="32"/>
          <w:szCs w:val="32"/>
          <w:lang w:val="en-US" w:eastAsia="zh-CN"/>
        </w:rPr>
        <w:t>对全区范围内的违章建筑进行拆除所需的经费。</w:t>
      </w:r>
    </w:p>
    <w:p w14:paraId="13DC579B">
      <w:pPr>
        <w:ind w:firstLine="640" w:firstLineChars="200"/>
        <w:rPr>
          <w:rFonts w:hint="eastAsia" w:ascii="楷体_GB2312" w:eastAsia="楷体_GB2312"/>
          <w:b/>
          <w:sz w:val="32"/>
          <w:szCs w:val="32"/>
          <w:lang w:val="zh-CN"/>
        </w:rPr>
      </w:pPr>
      <w:r>
        <w:rPr>
          <w:rFonts w:hint="eastAsia" w:ascii="Times New Roman" w:hAnsi="Times New Roman" w:eastAsia="仿宋_GB2312" w:cs="Times New Roman"/>
          <w:sz w:val="32"/>
          <w:szCs w:val="32"/>
          <w:lang w:val="zh-CN"/>
        </w:rPr>
        <w:t>（</w:t>
      </w:r>
      <w:r>
        <w:rPr>
          <w:rFonts w:hint="eastAsia" w:ascii="楷体_GB2312" w:eastAsia="楷体_GB2312"/>
          <w:b/>
          <w:sz w:val="32"/>
          <w:szCs w:val="32"/>
          <w:lang w:val="zh-CN"/>
        </w:rPr>
        <w:t>四）项目绩效目标设置：</w:t>
      </w:r>
    </w:p>
    <w:p w14:paraId="14A586AB">
      <w:pPr>
        <w:keepNext w:val="0"/>
        <w:keepLines w:val="0"/>
        <w:pageBreakBefore w:val="0"/>
        <w:widowControl w:val="0"/>
        <w:numPr>
          <w:ilvl w:val="0"/>
          <w:numId w:val="0"/>
        </w:numPr>
        <w:pBdr>
          <w:top w:val="single" w:color="FFFFFF" w:sz="4" w:space="2"/>
          <w:left w:val="single" w:color="FFFFFF" w:sz="4" w:space="31"/>
          <w:bottom w:val="single" w:color="FFFFFF" w:sz="4" w:space="31"/>
          <w:right w:val="single" w:color="FFFFFF" w:sz="4" w:space="13"/>
        </w:pBdr>
        <w:kinsoku/>
        <w:wordWrap/>
        <w:overflowPunct/>
        <w:topLinePunct w:val="0"/>
        <w:autoSpaceDE/>
        <w:autoSpaceDN/>
        <w:bidi w:val="0"/>
        <w:adjustRightInd w:val="0"/>
        <w:snapToGrid w:val="0"/>
        <w:spacing w:line="360" w:lineRule="auto"/>
        <w:ind w:firstLine="640" w:firstLineChars="200"/>
        <w:jc w:val="left"/>
        <w:textAlignment w:val="auto"/>
        <w:rPr>
          <w:rFonts w:hint="eastAsia" w:ascii="仿宋" w:hAnsi="仿宋" w:eastAsia="仿宋" w:cs="仿宋"/>
          <w:b w:val="0"/>
          <w:bCs w:val="0"/>
          <w:color w:val="000000"/>
          <w:kern w:val="0"/>
          <w:sz w:val="32"/>
          <w:szCs w:val="32"/>
          <w:shd w:val="clear" w:color="auto" w:fill="FFFFFF"/>
          <w:lang w:val="zh-CN" w:eastAsia="zh-CN" w:bidi="ar-SA"/>
        </w:rPr>
      </w:pPr>
      <w:r>
        <w:rPr>
          <w:rFonts w:hint="eastAsia" w:ascii="仿宋" w:hAnsi="仿宋" w:eastAsia="仿宋" w:cs="仿宋"/>
          <w:b w:val="0"/>
          <w:bCs w:val="0"/>
          <w:color w:val="000000"/>
          <w:kern w:val="0"/>
          <w:sz w:val="32"/>
          <w:szCs w:val="32"/>
          <w:shd w:val="clear" w:color="auto" w:fill="FFFFFF"/>
          <w:lang w:val="zh-CN" w:eastAsia="zh-CN" w:bidi="ar-SA"/>
        </w:rPr>
        <w:t>本单位指标设置及完成情况如下：</w:t>
      </w:r>
    </w:p>
    <w:p w14:paraId="427FF099">
      <w:pPr>
        <w:pStyle w:val="2"/>
        <w:jc w:val="center"/>
        <w:outlineLvl w:val="1"/>
        <w:rPr>
          <w:rFonts w:hint="eastAsia"/>
          <w:lang w:val="zh-CN" w:eastAsia="zh-CN"/>
        </w:rPr>
      </w:pPr>
      <w:bookmarkStart w:id="82" w:name="_Toc6443"/>
      <w:r>
        <w:rPr>
          <w:rFonts w:hint="eastAsia" w:ascii="仿宋" w:hAnsi="仿宋" w:eastAsia="仿宋" w:cs="仿宋_GB2312"/>
          <w:b/>
          <w:sz w:val="28"/>
          <w:szCs w:val="28"/>
          <w:highlight w:val="none"/>
        </w:rPr>
        <w:t>指标设置及完成情况表</w:t>
      </w:r>
      <w:bookmarkEnd w:id="82"/>
    </w:p>
    <w:tbl>
      <w:tblPr>
        <w:tblStyle w:val="17"/>
        <w:tblW w:w="873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05"/>
        <w:gridCol w:w="1496"/>
        <w:gridCol w:w="1890"/>
        <w:gridCol w:w="1044"/>
        <w:gridCol w:w="776"/>
        <w:gridCol w:w="1050"/>
        <w:gridCol w:w="495"/>
        <w:gridCol w:w="780"/>
      </w:tblGrid>
      <w:tr w14:paraId="0C0FE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2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DD8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3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36D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51111222T000000317773-违章建筑拆除经费</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939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10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FBE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66B84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2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984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3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3D4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综合行政执法局</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D45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10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4B5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五通桥区综合行政执法局机关</w:t>
            </w:r>
          </w:p>
        </w:tc>
      </w:tr>
      <w:tr w14:paraId="16DE9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8736"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318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4A31A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2701" w:type="dxa"/>
            <w:gridSpan w:val="2"/>
            <w:tcBorders>
              <w:top w:val="single" w:color="000000" w:sz="4" w:space="0"/>
              <w:left w:val="single" w:color="000000" w:sz="4" w:space="0"/>
              <w:bottom w:val="single" w:color="000000" w:sz="4" w:space="0"/>
              <w:right w:val="nil"/>
            </w:tcBorders>
            <w:shd w:val="clear" w:color="auto" w:fill="auto"/>
            <w:noWrap/>
            <w:vAlign w:val="center"/>
          </w:tcPr>
          <w:p w14:paraId="0408D36A">
            <w:pPr>
              <w:jc w:val="center"/>
              <w:rPr>
                <w:rFonts w:hint="eastAsia" w:ascii="宋体" w:hAnsi="宋体" w:eastAsia="宋体" w:cs="宋体"/>
                <w:i w:val="0"/>
                <w:iCs w:val="0"/>
                <w:color w:val="000000"/>
                <w:sz w:val="20"/>
                <w:szCs w:val="20"/>
                <w:u w:val="none"/>
              </w:rPr>
            </w:pPr>
          </w:p>
        </w:tc>
        <w:tc>
          <w:tcPr>
            <w:tcW w:w="1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802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8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B46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3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9A8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6A242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270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451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039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4.08</w:t>
            </w:r>
          </w:p>
        </w:tc>
        <w:tc>
          <w:tcPr>
            <w:tcW w:w="18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170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4.08</w:t>
            </w:r>
          </w:p>
        </w:tc>
        <w:tc>
          <w:tcPr>
            <w:tcW w:w="23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A39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6B093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270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BED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282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4.08</w:t>
            </w:r>
          </w:p>
        </w:tc>
        <w:tc>
          <w:tcPr>
            <w:tcW w:w="18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1F7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4.08</w:t>
            </w:r>
          </w:p>
        </w:tc>
        <w:tc>
          <w:tcPr>
            <w:tcW w:w="23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88B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3CF38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2701" w:type="dxa"/>
            <w:gridSpan w:val="2"/>
            <w:tcBorders>
              <w:top w:val="single" w:color="000000" w:sz="4" w:space="0"/>
              <w:left w:val="single" w:color="000000" w:sz="4" w:space="0"/>
              <w:bottom w:val="single" w:color="auto" w:sz="4" w:space="0"/>
              <w:right w:val="single" w:color="000000" w:sz="4" w:space="0"/>
            </w:tcBorders>
            <w:shd w:val="clear" w:color="auto" w:fill="auto"/>
            <w:noWrap/>
            <w:vAlign w:val="center"/>
          </w:tcPr>
          <w:p w14:paraId="7650B0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89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50F8F80F">
            <w:pPr>
              <w:jc w:val="center"/>
              <w:rPr>
                <w:rFonts w:hint="eastAsia" w:ascii="宋体" w:hAnsi="宋体" w:eastAsia="宋体" w:cs="宋体"/>
                <w:i w:val="0"/>
                <w:iCs w:val="0"/>
                <w:color w:val="000000"/>
                <w:sz w:val="20"/>
                <w:szCs w:val="20"/>
                <w:u w:val="none"/>
              </w:rPr>
            </w:pPr>
          </w:p>
        </w:tc>
        <w:tc>
          <w:tcPr>
            <w:tcW w:w="1820" w:type="dxa"/>
            <w:gridSpan w:val="2"/>
            <w:tcBorders>
              <w:top w:val="single" w:color="000000" w:sz="4" w:space="0"/>
              <w:left w:val="single" w:color="000000" w:sz="4" w:space="0"/>
              <w:bottom w:val="single" w:color="auto" w:sz="4" w:space="0"/>
              <w:right w:val="single" w:color="000000" w:sz="4" w:space="0"/>
            </w:tcBorders>
            <w:shd w:val="clear" w:color="auto" w:fill="auto"/>
            <w:noWrap/>
            <w:vAlign w:val="center"/>
          </w:tcPr>
          <w:p w14:paraId="3215821D">
            <w:pPr>
              <w:jc w:val="center"/>
              <w:rPr>
                <w:rFonts w:hint="eastAsia" w:ascii="宋体" w:hAnsi="宋体" w:eastAsia="宋体" w:cs="宋体"/>
                <w:i w:val="0"/>
                <w:iCs w:val="0"/>
                <w:color w:val="000000"/>
                <w:sz w:val="20"/>
                <w:szCs w:val="20"/>
                <w:u w:val="none"/>
              </w:rPr>
            </w:pPr>
          </w:p>
        </w:tc>
        <w:tc>
          <w:tcPr>
            <w:tcW w:w="2325" w:type="dxa"/>
            <w:gridSpan w:val="3"/>
            <w:tcBorders>
              <w:top w:val="single" w:color="000000" w:sz="4" w:space="0"/>
              <w:left w:val="single" w:color="000000" w:sz="4" w:space="0"/>
              <w:bottom w:val="single" w:color="auto" w:sz="4" w:space="0"/>
              <w:right w:val="single" w:color="000000" w:sz="4" w:space="0"/>
            </w:tcBorders>
            <w:shd w:val="clear" w:color="auto" w:fill="auto"/>
            <w:noWrap/>
            <w:vAlign w:val="center"/>
          </w:tcPr>
          <w:p w14:paraId="43A781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0EC7C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205"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00D6A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4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AE128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101"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0311AA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78A89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0" w:hRule="atLeast"/>
        </w:trPr>
        <w:tc>
          <w:tcPr>
            <w:tcW w:w="1205"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8BB658C">
            <w:pPr>
              <w:jc w:val="left"/>
              <w:rPr>
                <w:rFonts w:hint="eastAsia" w:ascii="宋体" w:hAnsi="宋体" w:eastAsia="宋体" w:cs="宋体"/>
                <w:i w:val="0"/>
                <w:iCs w:val="0"/>
                <w:color w:val="000000"/>
                <w:sz w:val="20"/>
                <w:szCs w:val="20"/>
                <w:u w:val="none"/>
              </w:rPr>
            </w:pPr>
          </w:p>
        </w:tc>
        <w:tc>
          <w:tcPr>
            <w:tcW w:w="443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9BC7D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综合行政执法局计划使用财政资金4.08万元用于违章建筑拆除工作，预计拆除面积510平方米，每平方米80元，共计4.08万元。通过项目的实施，为本单位行使城市管理领域法律、法规、规章规定的行政处罚权提供资金保障。达到美化城乡环境、创建卫生城市、文明城市的目标。不断提高人民群众的满意度。</w:t>
            </w:r>
          </w:p>
        </w:tc>
        <w:tc>
          <w:tcPr>
            <w:tcW w:w="310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31A65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调整预算后完成，达到美化城乡环境、创建卫生城市、文明城市的目标。</w:t>
            </w:r>
          </w:p>
        </w:tc>
      </w:tr>
      <w:tr w14:paraId="6D24E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1205"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BD6C8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496"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F31FD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89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F7880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044"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A6F5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76"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1D23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0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F871633">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495" w:type="dxa"/>
            <w:tcBorders>
              <w:top w:val="single" w:color="auto" w:sz="4" w:space="0"/>
              <w:left w:val="single" w:color="000000" w:sz="4" w:space="0"/>
              <w:bottom w:val="single" w:color="000000" w:sz="4" w:space="0"/>
              <w:right w:val="single" w:color="000000" w:sz="4" w:space="0"/>
            </w:tcBorders>
            <w:shd w:val="clear" w:color="auto" w:fill="auto"/>
            <w:vAlign w:val="center"/>
          </w:tcPr>
          <w:p w14:paraId="7722E2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80" w:type="dxa"/>
            <w:tcBorders>
              <w:top w:val="single" w:color="auto" w:sz="4" w:space="0"/>
              <w:left w:val="nil"/>
              <w:bottom w:val="single" w:color="000000" w:sz="4" w:space="0"/>
              <w:right w:val="single" w:color="000000" w:sz="4" w:space="0"/>
            </w:tcBorders>
            <w:shd w:val="clear" w:color="auto" w:fill="auto"/>
            <w:noWrap/>
            <w:vAlign w:val="center"/>
          </w:tcPr>
          <w:p w14:paraId="6BE3B0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55B4C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641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B64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49C96">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047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D5173">
            <w:pPr>
              <w:jc w:val="center"/>
              <w:rPr>
                <w:rFonts w:hint="eastAsia" w:ascii="宋体" w:hAnsi="宋体" w:eastAsia="宋体" w:cs="宋体"/>
                <w:i w:val="0"/>
                <w:iCs w:val="0"/>
                <w:color w:val="000000"/>
                <w:sz w:val="18"/>
                <w:szCs w:val="18"/>
                <w:u w:val="none"/>
              </w:rPr>
            </w:pPr>
          </w:p>
        </w:tc>
      </w:tr>
      <w:tr w14:paraId="31A11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591"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63368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10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F1B58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BBE12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8F13C2">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9DD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82B35">
            <w:pPr>
              <w:rPr>
                <w:rFonts w:hint="eastAsia" w:ascii="宋体" w:hAnsi="宋体" w:eastAsia="宋体" w:cs="宋体"/>
                <w:i w:val="0"/>
                <w:iCs w:val="0"/>
                <w:color w:val="000000"/>
                <w:sz w:val="18"/>
                <w:szCs w:val="18"/>
                <w:u w:val="none"/>
              </w:rPr>
            </w:pPr>
          </w:p>
        </w:tc>
      </w:tr>
      <w:tr w14:paraId="295A9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2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81542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496" w:type="dxa"/>
            <w:tcBorders>
              <w:top w:val="single" w:color="000000" w:sz="4" w:space="0"/>
              <w:left w:val="single" w:color="000000" w:sz="4" w:space="0"/>
              <w:bottom w:val="single" w:color="000000" w:sz="4" w:space="0"/>
              <w:right w:val="nil"/>
            </w:tcBorders>
            <w:shd w:val="clear" w:color="auto" w:fill="FFFFFF"/>
            <w:noWrap/>
            <w:vAlign w:val="center"/>
          </w:tcPr>
          <w:p w14:paraId="204C3AB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A35BA">
            <w:pPr>
              <w:keepNext w:val="0"/>
              <w:keepLines w:val="0"/>
              <w:widowControl/>
              <w:suppressLineNumbers w:val="0"/>
              <w:jc w:val="both"/>
              <w:textAlignment w:val="center"/>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违章建筑预算拆除面积</w:t>
            </w:r>
          </w:p>
        </w:tc>
        <w:tc>
          <w:tcPr>
            <w:tcW w:w="10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A2FA7E">
            <w:pPr>
              <w:keepNext w:val="0"/>
              <w:keepLines w:val="0"/>
              <w:widowControl/>
              <w:suppressLineNumbers w:val="0"/>
              <w:jc w:val="center"/>
              <w:textAlignment w:val="center"/>
              <w:rPr>
                <w:rFonts w:ascii="Arial" w:hAnsi="Arial" w:eastAsia="宋体" w:cs="Arial"/>
                <w:i w:val="0"/>
                <w:iCs w:val="0"/>
                <w:color w:val="333333"/>
                <w:sz w:val="18"/>
                <w:szCs w:val="18"/>
                <w:u w:val="none"/>
              </w:rPr>
            </w:pPr>
            <w:r>
              <w:rPr>
                <w:rStyle w:val="45"/>
                <w:rFonts w:eastAsia="宋体"/>
                <w:lang w:val="en-US" w:eastAsia="zh-CN" w:bidi="ar"/>
              </w:rPr>
              <w:t>≥510</w:t>
            </w:r>
            <w:r>
              <w:rPr>
                <w:rFonts w:hint="eastAsia" w:ascii="宋体" w:hAnsi="宋体" w:eastAsia="宋体" w:cs="宋体"/>
                <w:i w:val="0"/>
                <w:iCs w:val="0"/>
                <w:color w:val="333333"/>
                <w:kern w:val="0"/>
                <w:sz w:val="18"/>
                <w:szCs w:val="18"/>
                <w:u w:val="none"/>
                <w:lang w:val="en-US" w:eastAsia="zh-CN" w:bidi="ar"/>
              </w:rPr>
              <w:t>平米</w:t>
            </w:r>
          </w:p>
        </w:tc>
        <w:tc>
          <w:tcPr>
            <w:tcW w:w="7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D2073D">
            <w:pPr>
              <w:keepNext w:val="0"/>
              <w:keepLines w:val="0"/>
              <w:widowControl/>
              <w:suppressLineNumbers w:val="0"/>
              <w:jc w:val="center"/>
              <w:textAlignment w:val="center"/>
              <w:rPr>
                <w:rFonts w:hint="default" w:ascii="Arial" w:hAnsi="Arial" w:eastAsia="宋体" w:cs="Arial"/>
                <w:i w:val="0"/>
                <w:iCs w:val="0"/>
                <w:color w:val="333333"/>
                <w:sz w:val="18"/>
                <w:szCs w:val="18"/>
                <w:u w:val="none"/>
              </w:rPr>
            </w:pPr>
            <w:r>
              <w:rPr>
                <w:rStyle w:val="45"/>
                <w:rFonts w:eastAsia="宋体"/>
                <w:lang w:val="en-US" w:eastAsia="zh-CN" w:bidi="ar"/>
              </w:rPr>
              <w:t>≥510</w:t>
            </w:r>
            <w:r>
              <w:rPr>
                <w:rFonts w:hint="eastAsia" w:ascii="宋体" w:hAnsi="宋体" w:eastAsia="宋体" w:cs="宋体"/>
                <w:i w:val="0"/>
                <w:iCs w:val="0"/>
                <w:color w:val="333333"/>
                <w:kern w:val="0"/>
                <w:sz w:val="18"/>
                <w:szCs w:val="18"/>
                <w:u w:val="none"/>
                <w:lang w:val="en-US" w:eastAsia="zh-CN" w:bidi="ar"/>
              </w:rPr>
              <w:t>平米</w:t>
            </w:r>
          </w:p>
        </w:tc>
        <w:tc>
          <w:tcPr>
            <w:tcW w:w="1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71CA72">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A50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9D32E">
            <w:pPr>
              <w:rPr>
                <w:rFonts w:hint="eastAsia" w:ascii="宋体" w:hAnsi="宋体" w:eastAsia="宋体" w:cs="宋体"/>
                <w:i w:val="0"/>
                <w:iCs w:val="0"/>
                <w:color w:val="000000"/>
                <w:sz w:val="18"/>
                <w:szCs w:val="18"/>
                <w:u w:val="none"/>
              </w:rPr>
            </w:pPr>
          </w:p>
        </w:tc>
      </w:tr>
      <w:tr w14:paraId="06491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F14184">
            <w:pPr>
              <w:jc w:val="center"/>
              <w:rPr>
                <w:rFonts w:hint="eastAsia" w:ascii="宋体" w:hAnsi="宋体" w:eastAsia="宋体" w:cs="宋体"/>
                <w:i w:val="0"/>
                <w:iCs w:val="0"/>
                <w:color w:val="333333"/>
                <w:sz w:val="18"/>
                <w:szCs w:val="18"/>
                <w:u w:val="none"/>
              </w:rPr>
            </w:pPr>
          </w:p>
        </w:tc>
        <w:tc>
          <w:tcPr>
            <w:tcW w:w="1496" w:type="dxa"/>
            <w:tcBorders>
              <w:top w:val="single" w:color="000000" w:sz="4" w:space="0"/>
              <w:left w:val="single" w:color="000000" w:sz="4" w:space="0"/>
              <w:bottom w:val="single" w:color="000000" w:sz="4" w:space="0"/>
              <w:right w:val="nil"/>
            </w:tcBorders>
            <w:shd w:val="clear" w:color="auto" w:fill="FFFFFF"/>
            <w:noWrap/>
            <w:vAlign w:val="center"/>
          </w:tcPr>
          <w:p w14:paraId="433B25D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41CEA">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拆除违章建筑准确率</w:t>
            </w:r>
          </w:p>
        </w:tc>
        <w:tc>
          <w:tcPr>
            <w:tcW w:w="10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E0BA37">
            <w:pPr>
              <w:keepNext w:val="0"/>
              <w:keepLines w:val="0"/>
              <w:widowControl/>
              <w:suppressLineNumbers w:val="0"/>
              <w:jc w:val="center"/>
              <w:textAlignment w:val="center"/>
              <w:rPr>
                <w:rFonts w:hint="default" w:ascii="Arial" w:hAnsi="Arial" w:eastAsia="宋体" w:cs="Arial"/>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C10E08">
            <w:pPr>
              <w:keepNext w:val="0"/>
              <w:keepLines w:val="0"/>
              <w:widowControl/>
              <w:suppressLineNumbers w:val="0"/>
              <w:jc w:val="center"/>
              <w:textAlignment w:val="center"/>
              <w:rPr>
                <w:rFonts w:hint="default" w:ascii="Arial" w:hAnsi="Arial" w:eastAsia="宋体" w:cs="Arial"/>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完成</w:t>
            </w:r>
          </w:p>
        </w:tc>
        <w:tc>
          <w:tcPr>
            <w:tcW w:w="1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1929CA">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03B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4E862">
            <w:pPr>
              <w:rPr>
                <w:rFonts w:hint="eastAsia" w:ascii="宋体" w:hAnsi="宋体" w:eastAsia="宋体" w:cs="宋体"/>
                <w:i w:val="0"/>
                <w:iCs w:val="0"/>
                <w:color w:val="000000"/>
                <w:sz w:val="18"/>
                <w:szCs w:val="18"/>
                <w:u w:val="none"/>
              </w:rPr>
            </w:pPr>
          </w:p>
        </w:tc>
      </w:tr>
      <w:tr w14:paraId="09EE1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8449B7">
            <w:pPr>
              <w:jc w:val="center"/>
              <w:rPr>
                <w:rFonts w:hint="eastAsia" w:ascii="宋体" w:hAnsi="宋体" w:eastAsia="宋体" w:cs="宋体"/>
                <w:i w:val="0"/>
                <w:iCs w:val="0"/>
                <w:color w:val="333333"/>
                <w:sz w:val="18"/>
                <w:szCs w:val="18"/>
                <w:u w:val="none"/>
              </w:rPr>
            </w:pPr>
          </w:p>
        </w:tc>
        <w:tc>
          <w:tcPr>
            <w:tcW w:w="1496" w:type="dxa"/>
            <w:tcBorders>
              <w:top w:val="nil"/>
              <w:left w:val="single" w:color="000000" w:sz="4" w:space="0"/>
              <w:bottom w:val="single" w:color="000000" w:sz="4" w:space="0"/>
              <w:right w:val="nil"/>
            </w:tcBorders>
            <w:shd w:val="clear" w:color="auto" w:fill="FFFFFF"/>
            <w:noWrap/>
            <w:vAlign w:val="center"/>
          </w:tcPr>
          <w:p w14:paraId="427C91D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16E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拆除违章建筑及时率</w:t>
            </w:r>
          </w:p>
        </w:tc>
        <w:tc>
          <w:tcPr>
            <w:tcW w:w="10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4D9D9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76" w:type="dxa"/>
            <w:tcBorders>
              <w:top w:val="nil"/>
              <w:left w:val="single" w:color="000000" w:sz="4" w:space="0"/>
              <w:bottom w:val="single" w:color="000000" w:sz="4" w:space="0"/>
              <w:right w:val="single" w:color="000000" w:sz="4" w:space="0"/>
            </w:tcBorders>
            <w:shd w:val="clear" w:color="auto" w:fill="FFFFFF"/>
            <w:noWrap/>
            <w:vAlign w:val="center"/>
          </w:tcPr>
          <w:p w14:paraId="0442E30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完成</w:t>
            </w:r>
          </w:p>
        </w:tc>
        <w:tc>
          <w:tcPr>
            <w:tcW w:w="1050" w:type="dxa"/>
            <w:tcBorders>
              <w:top w:val="nil"/>
              <w:left w:val="single" w:color="000000" w:sz="4" w:space="0"/>
              <w:bottom w:val="single" w:color="000000" w:sz="4" w:space="0"/>
              <w:right w:val="single" w:color="000000" w:sz="4" w:space="0"/>
            </w:tcBorders>
            <w:shd w:val="clear" w:color="auto" w:fill="FFFFFF"/>
            <w:noWrap/>
            <w:vAlign w:val="center"/>
          </w:tcPr>
          <w:p w14:paraId="032C439C">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w:t>
            </w:r>
          </w:p>
        </w:tc>
        <w:tc>
          <w:tcPr>
            <w:tcW w:w="495" w:type="dxa"/>
            <w:tcBorders>
              <w:top w:val="nil"/>
              <w:left w:val="single" w:color="000000" w:sz="4" w:space="0"/>
              <w:bottom w:val="single" w:color="000000" w:sz="4" w:space="0"/>
              <w:right w:val="single" w:color="000000" w:sz="4" w:space="0"/>
            </w:tcBorders>
            <w:shd w:val="clear" w:color="auto" w:fill="auto"/>
            <w:noWrap/>
            <w:vAlign w:val="center"/>
          </w:tcPr>
          <w:p w14:paraId="169C2D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80" w:type="dxa"/>
            <w:tcBorders>
              <w:top w:val="nil"/>
              <w:left w:val="single" w:color="000000" w:sz="4" w:space="0"/>
              <w:bottom w:val="single" w:color="000000" w:sz="4" w:space="0"/>
              <w:right w:val="single" w:color="000000" w:sz="4" w:space="0"/>
            </w:tcBorders>
            <w:shd w:val="clear" w:color="auto" w:fill="auto"/>
            <w:noWrap/>
            <w:vAlign w:val="center"/>
          </w:tcPr>
          <w:p w14:paraId="35E8F420">
            <w:pPr>
              <w:rPr>
                <w:rFonts w:hint="eastAsia" w:ascii="宋体" w:hAnsi="宋体" w:eastAsia="宋体" w:cs="宋体"/>
                <w:i w:val="0"/>
                <w:iCs w:val="0"/>
                <w:color w:val="000000"/>
                <w:sz w:val="18"/>
                <w:szCs w:val="18"/>
                <w:u w:val="none"/>
              </w:rPr>
            </w:pPr>
          </w:p>
        </w:tc>
      </w:tr>
      <w:tr w14:paraId="17A9B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9448C8">
            <w:pPr>
              <w:jc w:val="center"/>
              <w:rPr>
                <w:rFonts w:hint="eastAsia" w:ascii="宋体" w:hAnsi="宋体" w:eastAsia="宋体" w:cs="宋体"/>
                <w:i w:val="0"/>
                <w:iCs w:val="0"/>
                <w:color w:val="333333"/>
                <w:sz w:val="18"/>
                <w:szCs w:val="18"/>
                <w:u w:val="none"/>
              </w:rPr>
            </w:pPr>
          </w:p>
        </w:tc>
        <w:tc>
          <w:tcPr>
            <w:tcW w:w="1496" w:type="dxa"/>
            <w:tcBorders>
              <w:top w:val="single" w:color="000000" w:sz="4" w:space="0"/>
              <w:left w:val="single" w:color="000000" w:sz="4" w:space="0"/>
              <w:bottom w:val="single" w:color="000000" w:sz="4" w:space="0"/>
              <w:right w:val="nil"/>
            </w:tcBorders>
            <w:shd w:val="clear" w:color="auto" w:fill="FFFFFF"/>
            <w:noWrap/>
            <w:vAlign w:val="center"/>
          </w:tcPr>
          <w:p w14:paraId="4573291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890" w:type="dxa"/>
            <w:tcBorders>
              <w:top w:val="nil"/>
              <w:left w:val="single" w:color="000000" w:sz="4" w:space="0"/>
              <w:bottom w:val="single" w:color="000000" w:sz="4" w:space="0"/>
              <w:right w:val="single" w:color="000000" w:sz="4" w:space="0"/>
            </w:tcBorders>
            <w:shd w:val="clear" w:color="auto" w:fill="auto"/>
            <w:vAlign w:val="center"/>
          </w:tcPr>
          <w:p w14:paraId="65BBD5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拆除违章建筑成本预算</w:t>
            </w:r>
          </w:p>
        </w:tc>
        <w:tc>
          <w:tcPr>
            <w:tcW w:w="1044" w:type="dxa"/>
            <w:tcBorders>
              <w:top w:val="nil"/>
              <w:left w:val="single" w:color="000000" w:sz="4" w:space="0"/>
              <w:bottom w:val="single" w:color="000000" w:sz="4" w:space="0"/>
              <w:right w:val="single" w:color="000000" w:sz="4" w:space="0"/>
            </w:tcBorders>
            <w:shd w:val="clear" w:color="auto" w:fill="FFFFFF"/>
            <w:noWrap/>
            <w:vAlign w:val="center"/>
          </w:tcPr>
          <w:p w14:paraId="79330A4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≤4.08万元</w:t>
            </w:r>
          </w:p>
        </w:tc>
        <w:tc>
          <w:tcPr>
            <w:tcW w:w="7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B0F29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=4.08万元</w:t>
            </w:r>
          </w:p>
        </w:tc>
        <w:tc>
          <w:tcPr>
            <w:tcW w:w="1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4821D6">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73C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40362">
            <w:pPr>
              <w:rPr>
                <w:rFonts w:hint="eastAsia" w:ascii="宋体" w:hAnsi="宋体" w:eastAsia="宋体" w:cs="宋体"/>
                <w:i w:val="0"/>
                <w:iCs w:val="0"/>
                <w:color w:val="000000"/>
                <w:sz w:val="18"/>
                <w:szCs w:val="18"/>
                <w:u w:val="none"/>
              </w:rPr>
            </w:pPr>
          </w:p>
        </w:tc>
      </w:tr>
      <w:tr w14:paraId="245E0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2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384F1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496" w:type="dxa"/>
            <w:tcBorders>
              <w:top w:val="single" w:color="000000" w:sz="4" w:space="0"/>
              <w:left w:val="single" w:color="000000" w:sz="4" w:space="0"/>
              <w:bottom w:val="single" w:color="000000" w:sz="4" w:space="0"/>
              <w:right w:val="nil"/>
            </w:tcBorders>
            <w:shd w:val="clear" w:color="auto" w:fill="FFFFFF"/>
            <w:noWrap/>
            <w:vAlign w:val="center"/>
          </w:tcPr>
          <w:p w14:paraId="47B108D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854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拆除违章建筑工作正常开展率</w:t>
            </w:r>
          </w:p>
        </w:tc>
        <w:tc>
          <w:tcPr>
            <w:tcW w:w="10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41FA3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优</w:t>
            </w:r>
          </w:p>
        </w:tc>
        <w:tc>
          <w:tcPr>
            <w:tcW w:w="7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BC254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优</w:t>
            </w:r>
          </w:p>
        </w:tc>
        <w:tc>
          <w:tcPr>
            <w:tcW w:w="1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33A40A">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15</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9A5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884F9">
            <w:pPr>
              <w:rPr>
                <w:rFonts w:hint="eastAsia" w:ascii="宋体" w:hAnsi="宋体" w:eastAsia="宋体" w:cs="宋体"/>
                <w:i w:val="0"/>
                <w:iCs w:val="0"/>
                <w:color w:val="000000"/>
                <w:sz w:val="18"/>
                <w:szCs w:val="18"/>
                <w:u w:val="none"/>
              </w:rPr>
            </w:pPr>
          </w:p>
        </w:tc>
      </w:tr>
      <w:tr w14:paraId="22BDC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F275FD">
            <w:pPr>
              <w:jc w:val="center"/>
              <w:rPr>
                <w:rFonts w:hint="eastAsia" w:ascii="宋体" w:hAnsi="宋体" w:eastAsia="宋体" w:cs="宋体"/>
                <w:i w:val="0"/>
                <w:iCs w:val="0"/>
                <w:color w:val="333333"/>
                <w:sz w:val="18"/>
                <w:szCs w:val="18"/>
                <w:u w:val="none"/>
              </w:rPr>
            </w:pPr>
          </w:p>
        </w:tc>
        <w:tc>
          <w:tcPr>
            <w:tcW w:w="1496" w:type="dxa"/>
            <w:tcBorders>
              <w:top w:val="single" w:color="000000" w:sz="4" w:space="0"/>
              <w:left w:val="single" w:color="000000" w:sz="4" w:space="0"/>
              <w:bottom w:val="single" w:color="000000" w:sz="4" w:space="0"/>
              <w:right w:val="nil"/>
            </w:tcBorders>
            <w:shd w:val="clear" w:color="auto" w:fill="FFFFFF"/>
            <w:noWrap/>
            <w:vAlign w:val="center"/>
          </w:tcPr>
          <w:p w14:paraId="21D9079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E7C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违章建筑拆除工作机制健全性</w:t>
            </w:r>
          </w:p>
        </w:tc>
        <w:tc>
          <w:tcPr>
            <w:tcW w:w="10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2AD0C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优</w:t>
            </w:r>
          </w:p>
        </w:tc>
        <w:tc>
          <w:tcPr>
            <w:tcW w:w="7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1657D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优</w:t>
            </w:r>
          </w:p>
        </w:tc>
        <w:tc>
          <w:tcPr>
            <w:tcW w:w="1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AAF8B2">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15</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7BF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163DD">
            <w:pPr>
              <w:rPr>
                <w:rFonts w:hint="eastAsia" w:ascii="宋体" w:hAnsi="宋体" w:eastAsia="宋体" w:cs="宋体"/>
                <w:i w:val="0"/>
                <w:iCs w:val="0"/>
                <w:color w:val="000000"/>
                <w:sz w:val="18"/>
                <w:szCs w:val="18"/>
                <w:u w:val="none"/>
              </w:rPr>
            </w:pPr>
          </w:p>
        </w:tc>
      </w:tr>
      <w:tr w14:paraId="2D321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2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F1284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496" w:type="dxa"/>
            <w:vMerge w:val="restart"/>
            <w:tcBorders>
              <w:top w:val="single" w:color="000000" w:sz="4" w:space="0"/>
              <w:left w:val="single" w:color="000000" w:sz="4" w:space="0"/>
              <w:bottom w:val="nil"/>
              <w:right w:val="nil"/>
            </w:tcBorders>
            <w:shd w:val="clear" w:color="auto" w:fill="FFFFFF"/>
            <w:noWrap/>
            <w:vAlign w:val="center"/>
          </w:tcPr>
          <w:p w14:paraId="248BA8B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1890" w:type="dxa"/>
            <w:tcBorders>
              <w:top w:val="single" w:color="000000" w:sz="4" w:space="0"/>
              <w:left w:val="single" w:color="000000" w:sz="4" w:space="0"/>
              <w:bottom w:val="nil"/>
              <w:right w:val="single" w:color="000000" w:sz="4" w:space="0"/>
            </w:tcBorders>
            <w:shd w:val="clear" w:color="auto" w:fill="auto"/>
            <w:vAlign w:val="center"/>
          </w:tcPr>
          <w:p w14:paraId="2B3F32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群众满意度</w:t>
            </w:r>
          </w:p>
        </w:tc>
        <w:tc>
          <w:tcPr>
            <w:tcW w:w="1044" w:type="dxa"/>
            <w:tcBorders>
              <w:top w:val="single" w:color="000000" w:sz="4" w:space="0"/>
              <w:left w:val="single" w:color="000000" w:sz="4" w:space="0"/>
              <w:bottom w:val="nil"/>
              <w:right w:val="single" w:color="000000" w:sz="4" w:space="0"/>
            </w:tcBorders>
            <w:shd w:val="clear" w:color="auto" w:fill="FFFFFF"/>
            <w:noWrap/>
            <w:vAlign w:val="center"/>
          </w:tcPr>
          <w:p w14:paraId="3D14A29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≥90%</w:t>
            </w:r>
          </w:p>
        </w:tc>
        <w:tc>
          <w:tcPr>
            <w:tcW w:w="7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77E07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≥90%</w:t>
            </w:r>
          </w:p>
        </w:tc>
        <w:tc>
          <w:tcPr>
            <w:tcW w:w="1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EBDE41">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5</w:t>
            </w:r>
          </w:p>
        </w:tc>
        <w:tc>
          <w:tcPr>
            <w:tcW w:w="495" w:type="dxa"/>
            <w:tcBorders>
              <w:top w:val="single" w:color="000000" w:sz="4" w:space="0"/>
              <w:left w:val="single" w:color="000000" w:sz="4" w:space="0"/>
              <w:bottom w:val="nil"/>
              <w:right w:val="single" w:color="000000" w:sz="4" w:space="0"/>
            </w:tcBorders>
            <w:shd w:val="clear" w:color="auto" w:fill="auto"/>
            <w:noWrap/>
            <w:vAlign w:val="center"/>
          </w:tcPr>
          <w:p w14:paraId="48FA2C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nil"/>
              <w:right w:val="single" w:color="000000" w:sz="4" w:space="0"/>
            </w:tcBorders>
            <w:shd w:val="clear" w:color="auto" w:fill="auto"/>
            <w:noWrap/>
            <w:vAlign w:val="center"/>
          </w:tcPr>
          <w:p w14:paraId="6A36B1FD">
            <w:pPr>
              <w:rPr>
                <w:rFonts w:hint="eastAsia" w:ascii="宋体" w:hAnsi="宋体" w:eastAsia="宋体" w:cs="宋体"/>
                <w:i w:val="0"/>
                <w:iCs w:val="0"/>
                <w:color w:val="000000"/>
                <w:sz w:val="18"/>
                <w:szCs w:val="18"/>
                <w:u w:val="none"/>
              </w:rPr>
            </w:pPr>
          </w:p>
        </w:tc>
      </w:tr>
      <w:tr w14:paraId="7A3A0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205" w:type="dxa"/>
            <w:vMerge w:val="continue"/>
            <w:tcBorders>
              <w:top w:val="single" w:color="000000" w:sz="4" w:space="0"/>
              <w:left w:val="nil"/>
              <w:bottom w:val="nil"/>
              <w:right w:val="nil"/>
            </w:tcBorders>
            <w:shd w:val="clear" w:color="auto" w:fill="FFFFFF"/>
            <w:noWrap/>
            <w:vAlign w:val="center"/>
          </w:tcPr>
          <w:p w14:paraId="5AF2D89D">
            <w:pPr>
              <w:jc w:val="center"/>
              <w:rPr>
                <w:rFonts w:hint="eastAsia" w:ascii="宋体" w:hAnsi="宋体" w:eastAsia="宋体" w:cs="宋体"/>
                <w:i w:val="0"/>
                <w:iCs w:val="0"/>
                <w:color w:val="333333"/>
                <w:sz w:val="18"/>
                <w:szCs w:val="18"/>
                <w:u w:val="none"/>
              </w:rPr>
            </w:pPr>
          </w:p>
        </w:tc>
        <w:tc>
          <w:tcPr>
            <w:tcW w:w="1496"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861E9E">
            <w:pPr>
              <w:jc w:val="center"/>
              <w:rPr>
                <w:rFonts w:hint="eastAsia" w:ascii="宋体" w:hAnsi="宋体" w:eastAsia="宋体" w:cs="宋体"/>
                <w:i w:val="0"/>
                <w:iCs w:val="0"/>
                <w:color w:val="333333"/>
                <w:sz w:val="18"/>
                <w:szCs w:val="18"/>
                <w:u w:val="none"/>
              </w:rPr>
            </w:pP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FA1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违章建筑拆除工作人员满意度</w:t>
            </w:r>
          </w:p>
        </w:tc>
        <w:tc>
          <w:tcPr>
            <w:tcW w:w="10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8983F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7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2CE22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1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8F5A72">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73E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7335E">
            <w:pPr>
              <w:jc w:val="left"/>
              <w:rPr>
                <w:rFonts w:hint="eastAsia" w:ascii="宋体" w:hAnsi="宋体" w:eastAsia="宋体" w:cs="宋体"/>
                <w:i w:val="0"/>
                <w:iCs w:val="0"/>
                <w:color w:val="000000"/>
                <w:sz w:val="18"/>
                <w:szCs w:val="18"/>
                <w:u w:val="none"/>
              </w:rPr>
            </w:pPr>
          </w:p>
        </w:tc>
      </w:tr>
      <w:tr w14:paraId="428B1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1205" w:type="dxa"/>
            <w:tcBorders>
              <w:top w:val="single" w:color="000000" w:sz="4" w:space="0"/>
              <w:left w:val="nil"/>
              <w:bottom w:val="nil"/>
              <w:right w:val="nil"/>
            </w:tcBorders>
            <w:shd w:val="clear" w:color="auto" w:fill="FFFFFF"/>
            <w:noWrap/>
            <w:vAlign w:val="center"/>
          </w:tcPr>
          <w:p w14:paraId="1A47E3B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000000"/>
                <w:kern w:val="0"/>
                <w:sz w:val="20"/>
                <w:szCs w:val="20"/>
                <w:u w:val="none"/>
                <w:lang w:val="en-US" w:eastAsia="zh-CN" w:bidi="ar"/>
              </w:rPr>
              <w:t>项目名称：</w:t>
            </w:r>
          </w:p>
        </w:tc>
        <w:tc>
          <w:tcPr>
            <w:tcW w:w="338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698C1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51111222T000000317773-违章建筑拆除经费</w:t>
            </w:r>
          </w:p>
        </w:tc>
        <w:tc>
          <w:tcPr>
            <w:tcW w:w="10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B977BF">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000000"/>
                <w:kern w:val="0"/>
                <w:sz w:val="20"/>
                <w:szCs w:val="20"/>
                <w:u w:val="none"/>
                <w:lang w:val="en-US" w:eastAsia="zh-CN" w:bidi="ar"/>
              </w:rPr>
              <w:t>年度：</w:t>
            </w:r>
          </w:p>
        </w:tc>
        <w:tc>
          <w:tcPr>
            <w:tcW w:w="3101"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A498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2024</w:t>
            </w:r>
          </w:p>
        </w:tc>
      </w:tr>
    </w:tbl>
    <w:p w14:paraId="74A4B090">
      <w:pPr>
        <w:pStyle w:val="2"/>
        <w:rPr>
          <w:rFonts w:hint="eastAsia"/>
          <w:lang w:val="zh-CN" w:eastAsia="zh-CN"/>
        </w:rPr>
      </w:pPr>
    </w:p>
    <w:p w14:paraId="0C93F1F1">
      <w:pPr>
        <w:spacing w:line="576" w:lineRule="exact"/>
        <w:ind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2024年，本部门在编制部门预算时按要求填报了项目支出绩效目标。绩效目标的完成指标、效益指标及满意度指标三大要素基本完整。</w:t>
      </w:r>
    </w:p>
    <w:p w14:paraId="3A31AD1D">
      <w:pPr>
        <w:pStyle w:val="2"/>
        <w:ind w:left="0" w:leftChars="0" w:firstLine="640" w:firstLineChars="200"/>
        <w:rPr>
          <w:rFonts w:hint="eastAsia" w:ascii="楷体_GB2312" w:eastAsia="楷体_GB2312"/>
          <w:b/>
          <w:sz w:val="32"/>
          <w:szCs w:val="32"/>
          <w:lang w:val="zh-CN"/>
        </w:rPr>
      </w:pPr>
      <w:r>
        <w:rPr>
          <w:rFonts w:hint="eastAsia" w:ascii="仿宋_GB2312" w:eastAsia="仿宋_GB2312"/>
          <w:sz w:val="32"/>
          <w:szCs w:val="32"/>
        </w:rPr>
        <w:t>开展了</w:t>
      </w:r>
      <w:r>
        <w:rPr>
          <w:rFonts w:hint="eastAsia" w:eastAsia="仿宋_GB2312"/>
          <w:sz w:val="32"/>
          <w:szCs w:val="32"/>
          <w:lang w:eastAsia="zh-CN"/>
        </w:rPr>
        <w:t>该项目的</w:t>
      </w:r>
      <w:r>
        <w:rPr>
          <w:rFonts w:hint="eastAsia" w:ascii="仿宋_GB2312" w:eastAsia="仿宋_GB2312"/>
          <w:sz w:val="32"/>
          <w:szCs w:val="32"/>
        </w:rPr>
        <w:t>预算事前绩效评估，对</w:t>
      </w:r>
      <w:r>
        <w:rPr>
          <w:rFonts w:hint="eastAsia" w:eastAsia="仿宋_GB2312"/>
          <w:sz w:val="32"/>
          <w:szCs w:val="32"/>
          <w:lang w:eastAsia="zh-CN"/>
        </w:rPr>
        <w:t>该</w:t>
      </w:r>
      <w:r>
        <w:rPr>
          <w:rFonts w:hint="eastAsia" w:ascii="仿宋_GB2312" w:eastAsia="仿宋_GB2312"/>
          <w:sz w:val="32"/>
          <w:szCs w:val="32"/>
        </w:rPr>
        <w:t>项目编制了绩效目标，预算执行过程中，</w:t>
      </w:r>
      <w:r>
        <w:rPr>
          <w:rFonts w:hint="eastAsia" w:eastAsia="仿宋_GB2312"/>
          <w:sz w:val="32"/>
          <w:szCs w:val="32"/>
          <w:lang w:eastAsia="zh-CN"/>
        </w:rPr>
        <w:t>对该项目</w:t>
      </w:r>
      <w:r>
        <w:rPr>
          <w:rFonts w:hint="eastAsia" w:ascii="仿宋_GB2312" w:eastAsia="仿宋_GB2312"/>
          <w:sz w:val="32"/>
          <w:szCs w:val="32"/>
        </w:rPr>
        <w:t>开展绩效监控，组织对</w:t>
      </w:r>
      <w:r>
        <w:rPr>
          <w:rFonts w:hint="eastAsia" w:eastAsia="仿宋_GB2312"/>
          <w:sz w:val="32"/>
          <w:szCs w:val="32"/>
          <w:lang w:val="en-US" w:eastAsia="zh-CN"/>
        </w:rPr>
        <w:t>该</w:t>
      </w:r>
      <w:r>
        <w:rPr>
          <w:rFonts w:hint="eastAsia" w:ascii="仿宋_GB2312" w:eastAsia="仿宋_GB2312"/>
          <w:sz w:val="32"/>
          <w:szCs w:val="32"/>
        </w:rPr>
        <w:t>项目开展</w:t>
      </w:r>
      <w:r>
        <w:rPr>
          <w:rFonts w:hint="eastAsia" w:eastAsia="仿宋_GB2312"/>
          <w:sz w:val="32"/>
          <w:szCs w:val="32"/>
          <w:lang w:eastAsia="zh-CN"/>
        </w:rPr>
        <w:t>了</w:t>
      </w:r>
      <w:r>
        <w:rPr>
          <w:rFonts w:hint="eastAsia" w:ascii="仿宋_GB2312" w:eastAsia="仿宋_GB2312"/>
          <w:sz w:val="32"/>
          <w:szCs w:val="32"/>
        </w:rPr>
        <w:t>绩效自评</w:t>
      </w:r>
      <w:r>
        <w:rPr>
          <w:rFonts w:hint="eastAsia" w:eastAsia="仿宋_GB2312"/>
          <w:sz w:val="32"/>
          <w:szCs w:val="32"/>
          <w:lang w:eastAsia="zh-CN"/>
        </w:rPr>
        <w:t>。</w:t>
      </w:r>
    </w:p>
    <w:p w14:paraId="38F8C99B">
      <w:pPr>
        <w:ind w:firstLine="640" w:firstLineChars="200"/>
        <w:outlineLvl w:val="1"/>
        <w:rPr>
          <w:rFonts w:ascii="黑体" w:hAnsi="黑体" w:eastAsia="黑体"/>
          <w:sz w:val="32"/>
          <w:szCs w:val="32"/>
          <w:lang w:val="zh-CN"/>
        </w:rPr>
      </w:pPr>
      <w:bookmarkStart w:id="83" w:name="_Toc27930"/>
      <w:r>
        <w:rPr>
          <w:rFonts w:hint="eastAsia" w:ascii="黑体" w:hAnsi="黑体" w:eastAsia="黑体"/>
          <w:sz w:val="32"/>
          <w:szCs w:val="32"/>
          <w:lang w:val="zh-CN"/>
        </w:rPr>
        <w:t>二、评价实施</w:t>
      </w:r>
      <w:bookmarkEnd w:id="83"/>
    </w:p>
    <w:p w14:paraId="73174509">
      <w:pPr>
        <w:ind w:firstLine="643" w:firstLineChars="200"/>
        <w:rPr>
          <w:rFonts w:hint="eastAsia" w:ascii="楷体_GB2312" w:eastAsia="楷体_GB2312"/>
          <w:b/>
          <w:sz w:val="32"/>
          <w:szCs w:val="32"/>
          <w:lang w:val="zh-CN"/>
        </w:rPr>
      </w:pPr>
      <w:r>
        <w:rPr>
          <w:rFonts w:hint="eastAsia" w:ascii="楷体_GB2312" w:eastAsia="楷体_GB2312"/>
          <w:b/>
          <w:sz w:val="32"/>
          <w:szCs w:val="32"/>
          <w:lang w:val="zh-CN"/>
        </w:rPr>
        <w:t>（一）评价目的：</w:t>
      </w:r>
    </w:p>
    <w:p w14:paraId="0E6A3A2C">
      <w:pPr>
        <w:ind w:firstLine="640" w:firstLineChars="200"/>
        <w:rPr>
          <w:rFonts w:eastAsia="仿宋_GB2312"/>
          <w:sz w:val="32"/>
          <w:szCs w:val="32"/>
          <w:lang w:val="zh-CN"/>
        </w:rPr>
      </w:pPr>
      <w:r>
        <w:rPr>
          <w:rFonts w:hint="eastAsia" w:eastAsia="仿宋_GB2312"/>
          <w:sz w:val="32"/>
          <w:szCs w:val="32"/>
          <w:lang w:val="zh-CN"/>
        </w:rPr>
        <w:t>通过对</w:t>
      </w:r>
      <w:r>
        <w:rPr>
          <w:rFonts w:hint="eastAsia" w:eastAsia="仿宋_GB2312"/>
          <w:sz w:val="32"/>
          <w:szCs w:val="32"/>
          <w:lang w:eastAsia="zh-CN"/>
        </w:rPr>
        <w:t>该</w:t>
      </w:r>
      <w:r>
        <w:rPr>
          <w:rFonts w:hint="eastAsia" w:eastAsia="仿宋_GB2312"/>
          <w:sz w:val="32"/>
          <w:szCs w:val="32"/>
          <w:lang w:val="zh-CN"/>
        </w:rPr>
        <w:t>项目绩效自评实现的对该项目执行情况的有效监控。</w:t>
      </w:r>
    </w:p>
    <w:p w14:paraId="1D84C0A5">
      <w:pPr>
        <w:ind w:firstLine="643" w:firstLineChars="200"/>
        <w:rPr>
          <w:rFonts w:eastAsia="仿宋_GB2312"/>
          <w:sz w:val="32"/>
          <w:szCs w:val="32"/>
          <w:lang w:val="zh-CN"/>
        </w:rPr>
      </w:pPr>
      <w:r>
        <w:rPr>
          <w:rFonts w:hint="eastAsia" w:ascii="楷体_GB2312" w:eastAsia="楷体_GB2312"/>
          <w:b/>
          <w:sz w:val="32"/>
          <w:szCs w:val="32"/>
          <w:lang w:val="zh-CN"/>
        </w:rPr>
        <w:t>（二）预设问题及评价重点：</w:t>
      </w:r>
      <w:r>
        <w:rPr>
          <w:rFonts w:hint="eastAsia" w:eastAsia="仿宋_GB2312"/>
          <w:sz w:val="32"/>
          <w:szCs w:val="32"/>
          <w:lang w:val="zh-CN"/>
        </w:rPr>
        <w:t>按照绩效评价指标体系，对该项目资金支出使用全过程及其实施效果进行了综合评价和判断。</w:t>
      </w:r>
    </w:p>
    <w:p w14:paraId="1413A760">
      <w:pPr>
        <w:ind w:firstLine="643" w:firstLineChars="200"/>
        <w:rPr>
          <w:rFonts w:hint="eastAsia" w:ascii="楷体_GB2312" w:eastAsia="楷体_GB2312"/>
          <w:b/>
          <w:sz w:val="32"/>
          <w:szCs w:val="32"/>
          <w:lang w:val="zh-CN"/>
        </w:rPr>
      </w:pPr>
      <w:r>
        <w:rPr>
          <w:rFonts w:hint="eastAsia" w:ascii="楷体_GB2312" w:eastAsia="楷体_GB2312"/>
          <w:b/>
          <w:sz w:val="32"/>
          <w:szCs w:val="32"/>
          <w:lang w:val="zh-CN"/>
        </w:rPr>
        <w:t>（三）评价选点：</w:t>
      </w:r>
    </w:p>
    <w:p w14:paraId="43FA0D03">
      <w:pPr>
        <w:ind w:firstLine="640" w:firstLineChars="200"/>
        <w:rPr>
          <w:rFonts w:eastAsia="仿宋_GB2312"/>
          <w:sz w:val="32"/>
          <w:szCs w:val="32"/>
          <w:lang w:val="zh-CN"/>
        </w:rPr>
      </w:pPr>
      <w:r>
        <w:rPr>
          <w:rFonts w:hint="eastAsia" w:eastAsia="仿宋_GB2312"/>
          <w:sz w:val="32"/>
          <w:szCs w:val="32"/>
          <w:lang w:val="zh-CN"/>
        </w:rPr>
        <w:t>项目绩效自评所抽样点位是年终决算后。</w:t>
      </w:r>
    </w:p>
    <w:p w14:paraId="17A39C7A">
      <w:pPr>
        <w:ind w:firstLine="643" w:firstLineChars="200"/>
        <w:rPr>
          <w:rFonts w:eastAsia="仿宋_GB2312"/>
          <w:sz w:val="32"/>
          <w:szCs w:val="32"/>
          <w:lang w:val="zh-CN"/>
        </w:rPr>
      </w:pPr>
      <w:r>
        <w:rPr>
          <w:rFonts w:hint="eastAsia" w:ascii="楷体_GB2312" w:eastAsia="楷体_GB2312"/>
          <w:b/>
          <w:sz w:val="32"/>
          <w:szCs w:val="32"/>
          <w:lang w:val="zh-CN"/>
        </w:rPr>
        <w:t>（四）评价方法：</w:t>
      </w:r>
      <w:r>
        <w:rPr>
          <w:rFonts w:hint="eastAsia" w:eastAsia="仿宋_GB2312"/>
          <w:sz w:val="32"/>
          <w:szCs w:val="32"/>
          <w:lang w:val="zh-CN"/>
        </w:rPr>
        <w:t>根据项目情况和评价重点，用来收集相关材料和开展具体评价的方法是单位自评法。</w:t>
      </w:r>
    </w:p>
    <w:p w14:paraId="42F59E88">
      <w:pPr>
        <w:ind w:firstLine="643" w:firstLineChars="200"/>
        <w:rPr>
          <w:rFonts w:hint="eastAsia" w:ascii="楷体_GB2312" w:eastAsia="楷体_GB2312"/>
          <w:b/>
          <w:sz w:val="32"/>
          <w:szCs w:val="32"/>
          <w:lang w:val="zh-CN"/>
        </w:rPr>
      </w:pPr>
      <w:r>
        <w:rPr>
          <w:rFonts w:hint="eastAsia" w:ascii="楷体_GB2312" w:eastAsia="楷体_GB2312"/>
          <w:b/>
          <w:sz w:val="32"/>
          <w:szCs w:val="32"/>
          <w:lang w:val="zh-CN"/>
        </w:rPr>
        <w:t>（五）评价组织：</w:t>
      </w:r>
    </w:p>
    <w:p w14:paraId="1B392739">
      <w:pPr>
        <w:ind w:firstLine="640" w:firstLineChars="200"/>
        <w:rPr>
          <w:rFonts w:eastAsia="仿宋_GB2312"/>
          <w:sz w:val="32"/>
          <w:szCs w:val="32"/>
          <w:lang w:val="zh-CN"/>
        </w:rPr>
      </w:pPr>
      <w:r>
        <w:rPr>
          <w:rFonts w:hint="eastAsia" w:eastAsia="仿宋_GB2312"/>
          <w:sz w:val="32"/>
          <w:szCs w:val="32"/>
          <w:lang w:val="zh-CN"/>
        </w:rPr>
        <w:t>评价组人员构成：部门主要领导、财务人员、项目经办人员。职责分工：部门主要领导负责评价全面工作，财务人员、项目经办人员负责收集相关材料、填报相关表格、形成相关报告。</w:t>
      </w:r>
    </w:p>
    <w:p w14:paraId="758BDB64">
      <w:pPr>
        <w:ind w:firstLine="640" w:firstLineChars="200"/>
        <w:outlineLvl w:val="1"/>
        <w:rPr>
          <w:rFonts w:ascii="黑体" w:hAnsi="黑体" w:eastAsia="黑体"/>
          <w:sz w:val="32"/>
          <w:szCs w:val="32"/>
          <w:lang w:val="zh-CN"/>
        </w:rPr>
      </w:pPr>
      <w:bookmarkStart w:id="84" w:name="_Toc12204"/>
      <w:r>
        <w:rPr>
          <w:rFonts w:hint="eastAsia" w:ascii="黑体" w:hAnsi="黑体" w:eastAsia="黑体"/>
          <w:sz w:val="32"/>
          <w:szCs w:val="32"/>
          <w:lang w:val="zh-CN"/>
        </w:rPr>
        <w:t>三、绩效分析</w:t>
      </w:r>
      <w:bookmarkEnd w:id="84"/>
    </w:p>
    <w:p w14:paraId="57A249AB">
      <w:pPr>
        <w:ind w:firstLine="640" w:firstLineChars="200"/>
        <w:rPr>
          <w:rFonts w:eastAsia="仿宋_GB2312"/>
          <w:sz w:val="32"/>
          <w:szCs w:val="32"/>
          <w:lang w:val="zh-CN"/>
        </w:rPr>
      </w:pPr>
      <w:r>
        <w:rPr>
          <w:rFonts w:hint="eastAsia" w:eastAsia="仿宋_GB2312"/>
          <w:sz w:val="32"/>
          <w:szCs w:val="32"/>
          <w:lang w:val="zh-CN"/>
        </w:rPr>
        <w:t>根据项目预算绩效评价指标体系对该项目二、三级指标进行了逐项绩效分析并评分，自评得分为</w:t>
      </w:r>
      <w:r>
        <w:rPr>
          <w:rFonts w:hint="eastAsia" w:eastAsia="仿宋_GB2312"/>
          <w:sz w:val="32"/>
          <w:szCs w:val="32"/>
          <w:lang w:val="en-US" w:eastAsia="zh-CN"/>
        </w:rPr>
        <w:t>100分。</w:t>
      </w:r>
    </w:p>
    <w:p w14:paraId="4FA2AAE0">
      <w:pPr>
        <w:ind w:firstLine="643" w:firstLineChars="200"/>
        <w:rPr>
          <w:rFonts w:ascii="楷体_GB2312" w:eastAsia="楷体_GB2312"/>
          <w:b/>
          <w:sz w:val="32"/>
          <w:szCs w:val="32"/>
          <w:lang w:val="zh-CN"/>
        </w:rPr>
      </w:pPr>
      <w:r>
        <w:rPr>
          <w:rFonts w:hint="eastAsia" w:ascii="楷体_GB2312" w:eastAsia="楷体_GB2312"/>
          <w:b/>
          <w:sz w:val="32"/>
          <w:szCs w:val="32"/>
          <w:lang w:val="zh-CN"/>
        </w:rPr>
        <w:t>（一）通用指标绩效分析。</w:t>
      </w:r>
    </w:p>
    <w:p w14:paraId="1C88231A">
      <w:pPr>
        <w:spacing w:line="360" w:lineRule="auto"/>
        <w:ind w:firstLine="640" w:firstLineChars="200"/>
        <w:rPr>
          <w:rFonts w:hint="eastAsia" w:ascii="楷体_GB2312" w:eastAsia="楷体_GB2312"/>
          <w:sz w:val="32"/>
          <w:szCs w:val="32"/>
          <w:lang w:val="zh-CN"/>
        </w:rPr>
      </w:pPr>
      <w:r>
        <w:rPr>
          <w:rFonts w:hint="eastAsia" w:ascii="楷体_GB2312" w:eastAsia="楷体_GB2312"/>
          <w:sz w:val="32"/>
          <w:szCs w:val="32"/>
          <w:lang w:val="zh-CN"/>
        </w:rPr>
        <w:t>1.项目决策：</w:t>
      </w:r>
    </w:p>
    <w:p w14:paraId="3AB2EBB3">
      <w:pPr>
        <w:spacing w:line="360" w:lineRule="auto"/>
        <w:ind w:firstLine="643" w:firstLineChars="200"/>
        <w:rPr>
          <w:rFonts w:hint="eastAsia" w:ascii="Times New Roman" w:hAnsi="Times New Roman" w:eastAsia="仿宋_GB2312" w:cs="Times New Roman"/>
          <w:sz w:val="32"/>
          <w:szCs w:val="32"/>
          <w:lang w:val="zh-CN"/>
        </w:rPr>
      </w:pPr>
      <w:r>
        <w:rPr>
          <w:rFonts w:hint="eastAsia" w:ascii="仿宋" w:hAnsi="仿宋" w:eastAsia="仿宋" w:cs="仿宋_GB2312"/>
          <w:b/>
          <w:bCs/>
          <w:sz w:val="32"/>
          <w:szCs w:val="32"/>
          <w:highlight w:val="none"/>
        </w:rPr>
        <w:t>程序严密：</w:t>
      </w:r>
      <w:r>
        <w:rPr>
          <w:rFonts w:hint="eastAsia" w:ascii="仿宋_GB2312" w:eastAsia="仿宋_GB2312"/>
          <w:sz w:val="32"/>
          <w:szCs w:val="32"/>
          <w:highlight w:val="none"/>
          <w:lang w:eastAsia="zh-CN"/>
        </w:rPr>
        <w:t>本</w:t>
      </w:r>
      <w:r>
        <w:rPr>
          <w:rFonts w:hint="eastAsia" w:ascii="Times New Roman" w:hAnsi="Times New Roman" w:eastAsia="仿宋_GB2312" w:cs="Times New Roman"/>
          <w:sz w:val="32"/>
          <w:szCs w:val="32"/>
          <w:lang w:val="zh-CN" w:eastAsia="zh-CN"/>
        </w:rPr>
        <w:t>部门</w:t>
      </w:r>
      <w:r>
        <w:rPr>
          <w:rFonts w:hint="eastAsia" w:ascii="Times New Roman" w:hAnsi="Times New Roman" w:eastAsia="仿宋_GB2312" w:cs="Times New Roman"/>
          <w:sz w:val="32"/>
          <w:szCs w:val="32"/>
          <w:lang w:val="zh-CN"/>
        </w:rPr>
        <w:t>严格按照</w:t>
      </w:r>
      <w:r>
        <w:rPr>
          <w:rFonts w:hint="eastAsia" w:ascii="Times New Roman" w:hAnsi="Times New Roman" w:eastAsia="仿宋_GB2312" w:cs="Times New Roman"/>
          <w:sz w:val="32"/>
          <w:szCs w:val="32"/>
          <w:lang w:val="zh-CN" w:eastAsia="zh-Hans"/>
        </w:rPr>
        <w:t>《</w:t>
      </w:r>
      <w:r>
        <w:rPr>
          <w:rFonts w:hint="eastAsia" w:ascii="Times New Roman" w:hAnsi="Times New Roman" w:eastAsia="仿宋_GB2312" w:cs="Times New Roman"/>
          <w:sz w:val="32"/>
          <w:szCs w:val="32"/>
          <w:lang w:val="zh-CN"/>
        </w:rPr>
        <w:t>五通桥区财政资金管理办法</w:t>
      </w:r>
      <w:r>
        <w:rPr>
          <w:rFonts w:hint="eastAsia" w:ascii="Times New Roman" w:hAnsi="Times New Roman" w:eastAsia="仿宋_GB2312" w:cs="Times New Roman"/>
          <w:sz w:val="32"/>
          <w:szCs w:val="32"/>
          <w:lang w:val="zh-CN" w:eastAsia="zh-Hans"/>
        </w:rPr>
        <w:t>》</w:t>
      </w:r>
      <w:r>
        <w:rPr>
          <w:rFonts w:hint="eastAsia" w:ascii="Times New Roman" w:hAnsi="Times New Roman" w:eastAsia="仿宋_GB2312" w:cs="Times New Roman"/>
          <w:sz w:val="32"/>
          <w:szCs w:val="32"/>
          <w:lang w:val="zh-CN"/>
        </w:rPr>
        <w:t>等相关文件执行。</w:t>
      </w:r>
    </w:p>
    <w:p w14:paraId="66A6E56C">
      <w:pPr>
        <w:spacing w:line="360" w:lineRule="auto"/>
        <w:ind w:firstLine="643" w:firstLineChars="200"/>
        <w:rPr>
          <w:rFonts w:hint="eastAsia" w:ascii="Times New Roman" w:hAnsi="Times New Roman" w:eastAsia="仿宋_GB2312" w:cs="Times New Roman"/>
          <w:sz w:val="32"/>
          <w:szCs w:val="32"/>
          <w:lang w:val="zh-CN" w:eastAsia="zh-CN"/>
        </w:rPr>
      </w:pPr>
      <w:r>
        <w:rPr>
          <w:rFonts w:hint="eastAsia" w:ascii="仿宋" w:hAnsi="仿宋" w:eastAsia="仿宋" w:cs="仿宋_GB2312"/>
          <w:b/>
          <w:bCs/>
          <w:sz w:val="32"/>
          <w:szCs w:val="32"/>
          <w:highlight w:val="none"/>
        </w:rPr>
        <w:t>规划合理：</w:t>
      </w:r>
      <w:r>
        <w:rPr>
          <w:rFonts w:hint="eastAsia" w:ascii="仿宋_GB2312" w:eastAsia="仿宋_GB2312"/>
          <w:sz w:val="32"/>
          <w:szCs w:val="32"/>
          <w:highlight w:val="none"/>
          <w:lang w:eastAsia="zh-CN"/>
        </w:rPr>
        <w:t>本</w:t>
      </w:r>
      <w:r>
        <w:rPr>
          <w:rFonts w:hint="eastAsia" w:ascii="Times New Roman" w:hAnsi="Times New Roman" w:eastAsia="仿宋_GB2312" w:cs="Times New Roman"/>
          <w:sz w:val="32"/>
          <w:szCs w:val="32"/>
          <w:lang w:val="zh-CN" w:eastAsia="zh-CN"/>
        </w:rPr>
        <w:t>部门严格按照相关政策文件精神进行，符合重大决策部署和宏观政策规划。</w:t>
      </w:r>
    </w:p>
    <w:p w14:paraId="560B9866">
      <w:pPr>
        <w:ind w:left="319" w:leftChars="152" w:firstLine="321" w:firstLineChars="100"/>
        <w:rPr>
          <w:rFonts w:hint="eastAsia" w:ascii="楷体_GB2312" w:hAnsi="Times New Roman" w:eastAsia="楷体_GB2312" w:cs="Times New Roman"/>
          <w:sz w:val="32"/>
          <w:szCs w:val="32"/>
          <w:lang w:val="zh-CN" w:eastAsia="zh-CN"/>
        </w:rPr>
      </w:pPr>
      <w:r>
        <w:rPr>
          <w:rFonts w:hint="eastAsia" w:ascii="仿宋" w:hAnsi="仿宋" w:eastAsia="仿宋" w:cs="仿宋_GB2312"/>
          <w:b/>
          <w:bCs/>
          <w:sz w:val="32"/>
          <w:szCs w:val="32"/>
          <w:highlight w:val="none"/>
        </w:rPr>
        <w:t>结果符合：</w:t>
      </w:r>
      <w:r>
        <w:rPr>
          <w:rFonts w:hint="eastAsia" w:ascii="Times New Roman" w:hAnsi="Times New Roman" w:eastAsia="仿宋_GB2312" w:cs="Times New Roman"/>
          <w:sz w:val="32"/>
          <w:szCs w:val="32"/>
          <w:lang w:val="en-US" w:eastAsia="zh-CN"/>
        </w:rPr>
        <w:t>该</w:t>
      </w:r>
      <w:r>
        <w:rPr>
          <w:rFonts w:hint="eastAsia" w:ascii="Times New Roman" w:hAnsi="Times New Roman" w:eastAsia="仿宋_GB2312" w:cs="Times New Roman"/>
          <w:sz w:val="32"/>
          <w:szCs w:val="32"/>
          <w:lang w:val="zh-CN" w:eastAsia="zh-CN"/>
        </w:rPr>
        <w:t>项目实施结果与项目总体规划计划一致。</w:t>
      </w:r>
      <w:r>
        <w:rPr>
          <w:rFonts w:hint="eastAsia" w:ascii="楷体_GB2312" w:hAnsi="Times New Roman" w:eastAsia="楷体_GB2312" w:cs="Times New Roman"/>
          <w:sz w:val="32"/>
          <w:szCs w:val="32"/>
          <w:lang w:val="zh-CN" w:eastAsia="zh-CN"/>
        </w:rPr>
        <w:t>2.项目管理：</w:t>
      </w:r>
    </w:p>
    <w:p w14:paraId="693A595A">
      <w:pPr>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zh-CN" w:eastAsia="zh-CN"/>
        </w:rPr>
        <w:t>根据《预算法》和相关法律法规，本部门建立、健全了预算管理制度、财务管理制度、</w:t>
      </w:r>
      <w:r>
        <w:rPr>
          <w:rFonts w:hint="eastAsia" w:ascii="Times New Roman" w:hAnsi="Times New Roman" w:eastAsia="仿宋_GB2312" w:cs="Times New Roman"/>
          <w:sz w:val="32"/>
          <w:szCs w:val="32"/>
          <w:lang w:val="en-US" w:eastAsia="zh-CN"/>
        </w:rPr>
        <w:t>绩效评价管理制度。对该项目的立项、申报、入库、批复、执行等流程进行了全方位的</w:t>
      </w:r>
      <w:r>
        <w:rPr>
          <w:rFonts w:hint="eastAsia" w:ascii="Times New Roman" w:hAnsi="Times New Roman" w:eastAsia="仿宋_GB2312" w:cs="Times New Roman"/>
          <w:sz w:val="32"/>
          <w:szCs w:val="32"/>
          <w:lang w:val="zh-CN" w:eastAsia="zh-CN"/>
        </w:rPr>
        <w:t>绩效监管。很好地完成了</w:t>
      </w:r>
      <w:r>
        <w:rPr>
          <w:rFonts w:hint="eastAsia" w:ascii="Times New Roman" w:hAnsi="Times New Roman" w:eastAsia="仿宋_GB2312" w:cs="Times New Roman"/>
          <w:sz w:val="32"/>
          <w:szCs w:val="32"/>
          <w:lang w:val="en-US" w:eastAsia="zh-CN"/>
        </w:rPr>
        <w:t>该项目设定的目标任务。</w:t>
      </w:r>
    </w:p>
    <w:p w14:paraId="183E381F">
      <w:pPr>
        <w:spacing w:line="360" w:lineRule="auto"/>
        <w:ind w:firstLine="640" w:firstLineChars="200"/>
        <w:rPr>
          <w:rFonts w:hint="eastAsia" w:ascii="楷体_GB2312" w:eastAsia="楷体_GB2312"/>
          <w:sz w:val="32"/>
          <w:szCs w:val="32"/>
          <w:lang w:val="zh-CN"/>
        </w:rPr>
      </w:pPr>
      <w:r>
        <w:rPr>
          <w:rFonts w:hint="eastAsia" w:ascii="楷体_GB2312" w:eastAsia="楷体_GB2312"/>
          <w:sz w:val="32"/>
          <w:szCs w:val="32"/>
          <w:lang w:val="zh-CN"/>
        </w:rPr>
        <w:t>3.项目实施：</w:t>
      </w:r>
    </w:p>
    <w:p w14:paraId="22139619">
      <w:pPr>
        <w:spacing w:line="360" w:lineRule="auto"/>
        <w:ind w:firstLine="643" w:firstLineChars="200"/>
        <w:rPr>
          <w:rFonts w:hint="eastAsia" w:ascii="Times New Roman" w:hAnsi="Times New Roman" w:eastAsia="仿宋_GB2312" w:cs="Times New Roman"/>
          <w:sz w:val="32"/>
          <w:szCs w:val="32"/>
          <w:lang w:val="en-US" w:eastAsia="zh-CN"/>
        </w:rPr>
      </w:pPr>
      <w:r>
        <w:rPr>
          <w:rFonts w:hint="eastAsia" w:ascii="仿宋" w:hAnsi="仿宋" w:eastAsia="仿宋" w:cs="仿宋_GB2312"/>
          <w:b/>
          <w:bCs/>
          <w:sz w:val="32"/>
          <w:szCs w:val="32"/>
          <w:highlight w:val="none"/>
        </w:rPr>
        <w:t>分配科学：</w:t>
      </w:r>
      <w:r>
        <w:rPr>
          <w:rFonts w:hint="eastAsia" w:ascii="Times New Roman" w:hAnsi="Times New Roman" w:eastAsia="仿宋_GB2312" w:cs="Times New Roman"/>
          <w:sz w:val="32"/>
          <w:szCs w:val="32"/>
          <w:lang w:val="en-US" w:eastAsia="zh-CN"/>
        </w:rPr>
        <w:t>该项目选取了据实据效的绩效分配方式，分类评价分配程序和过程管理基本规范、基础数据真实，测算精准。</w:t>
      </w:r>
    </w:p>
    <w:p w14:paraId="7B3B7E3D">
      <w:pPr>
        <w:spacing w:line="360" w:lineRule="auto"/>
        <w:ind w:firstLine="643" w:firstLineChars="200"/>
        <w:rPr>
          <w:rFonts w:hint="eastAsia" w:ascii="Times New Roman" w:hAnsi="Times New Roman" w:eastAsia="仿宋_GB2312" w:cs="Times New Roman"/>
          <w:sz w:val="32"/>
          <w:szCs w:val="32"/>
          <w:lang w:val="zh-CN" w:eastAsia="zh-CN"/>
        </w:rPr>
      </w:pPr>
      <w:r>
        <w:rPr>
          <w:rFonts w:hint="eastAsia" w:ascii="仿宋" w:hAnsi="仿宋" w:eastAsia="仿宋" w:cs="仿宋_GB2312"/>
          <w:b/>
          <w:bCs/>
          <w:sz w:val="32"/>
          <w:szCs w:val="32"/>
          <w:highlight w:val="none"/>
        </w:rPr>
        <w:t>分配及时：</w:t>
      </w:r>
      <w:r>
        <w:rPr>
          <w:rFonts w:hint="eastAsia" w:ascii="Times New Roman" w:hAnsi="Times New Roman" w:eastAsia="仿宋_GB2312" w:cs="Times New Roman"/>
          <w:sz w:val="32"/>
          <w:szCs w:val="32"/>
          <w:lang w:val="en-US" w:eastAsia="zh-CN"/>
        </w:rPr>
        <w:t>本单位按《预算法》规定时限及时分配专项预算资金。</w:t>
      </w:r>
    </w:p>
    <w:p w14:paraId="04165568">
      <w:pPr>
        <w:numPr>
          <w:ilvl w:val="0"/>
          <w:numId w:val="0"/>
        </w:numPr>
        <w:ind w:leftChars="200"/>
        <w:rPr>
          <w:rFonts w:hint="eastAsia" w:ascii="楷体_GB2312" w:hAnsi="Times New Roman" w:eastAsia="楷体_GB2312" w:cs="Times New Roman"/>
          <w:sz w:val="32"/>
          <w:szCs w:val="32"/>
          <w:lang w:val="zh-CN"/>
        </w:rPr>
      </w:pPr>
      <w:r>
        <w:rPr>
          <w:rFonts w:hint="eastAsia" w:ascii="楷体_GB2312" w:hAnsi="Times New Roman" w:eastAsia="楷体_GB2312" w:cs="Times New Roman"/>
          <w:sz w:val="32"/>
          <w:szCs w:val="32"/>
          <w:lang w:val="en-US" w:eastAsia="zh-CN"/>
        </w:rPr>
        <w:t>4.</w:t>
      </w:r>
      <w:r>
        <w:rPr>
          <w:rFonts w:hint="eastAsia" w:ascii="楷体_GB2312" w:hAnsi="Times New Roman" w:eastAsia="楷体_GB2312" w:cs="Times New Roman"/>
          <w:sz w:val="32"/>
          <w:szCs w:val="32"/>
          <w:lang w:val="zh-CN"/>
        </w:rPr>
        <w:t>项目结果：</w:t>
      </w:r>
    </w:p>
    <w:p w14:paraId="40496C0F">
      <w:pPr>
        <w:spacing w:line="360" w:lineRule="auto"/>
        <w:ind w:firstLine="640" w:firstLineChars="200"/>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en-US" w:eastAsia="zh-CN"/>
        </w:rPr>
        <w:t>该项目年初预算资金15万元，调整预算-10.92万元，资金到位4.08万元，资金使用4.08万元，预决算差异率0%。</w:t>
      </w:r>
    </w:p>
    <w:p w14:paraId="5D0BA79C">
      <w:pPr>
        <w:ind w:firstLine="643" w:firstLineChars="200"/>
        <w:rPr>
          <w:rFonts w:hint="eastAsia" w:ascii="楷体_GB2312" w:eastAsia="楷体_GB2312"/>
          <w:b/>
          <w:sz w:val="32"/>
          <w:szCs w:val="32"/>
          <w:lang w:val="zh-CN"/>
        </w:rPr>
      </w:pPr>
      <w:r>
        <w:rPr>
          <w:rFonts w:hint="eastAsia" w:ascii="楷体_GB2312" w:eastAsia="楷体_GB2312"/>
          <w:b/>
          <w:sz w:val="32"/>
          <w:szCs w:val="32"/>
          <w:lang w:val="zh-CN"/>
        </w:rPr>
        <w:t>（二）专用指标绩效分析：</w:t>
      </w:r>
    </w:p>
    <w:p w14:paraId="0290ECFA">
      <w:pPr>
        <w:spacing w:line="360" w:lineRule="auto"/>
        <w:ind w:firstLine="640" w:firstLineChars="200"/>
        <w:jc w:val="left"/>
        <w:rPr>
          <w:rFonts w:eastAsia="仿宋_GB2312"/>
          <w:sz w:val="32"/>
          <w:szCs w:val="32"/>
          <w:lang w:val="zh-CN"/>
        </w:rPr>
      </w:pPr>
      <w:r>
        <w:rPr>
          <w:rFonts w:hint="eastAsia" w:ascii="Times New Roman" w:hAnsi="Times New Roman" w:eastAsia="仿宋_GB2312" w:cs="Times New Roman"/>
          <w:sz w:val="32"/>
          <w:szCs w:val="32"/>
          <w:lang w:val="en-US" w:eastAsia="zh-CN"/>
        </w:rPr>
        <w:t>该项目</w:t>
      </w:r>
      <w:r>
        <w:rPr>
          <w:rFonts w:hint="eastAsia" w:ascii="Times New Roman" w:hAnsi="Times New Roman" w:eastAsia="仿宋_GB2312" w:cs="Times New Roman"/>
          <w:sz w:val="32"/>
          <w:szCs w:val="32"/>
          <w:lang w:val="zh-CN" w:eastAsia="zh-CN"/>
        </w:rPr>
        <w:t>支持对象为行政运转性项目。通过项目的实施，</w:t>
      </w:r>
      <w:r>
        <w:rPr>
          <w:rFonts w:hint="eastAsia" w:ascii="Times New Roman" w:hAnsi="Times New Roman" w:eastAsia="仿宋_GB2312" w:cs="Times New Roman"/>
          <w:sz w:val="32"/>
          <w:szCs w:val="32"/>
          <w:lang w:val="en-US" w:eastAsia="zh-CN"/>
        </w:rPr>
        <w:t>为本单位行使城市管理领域法律、法规、规章规定的行政处罚权提供资金保障。</w:t>
      </w:r>
      <w:r>
        <w:rPr>
          <w:rFonts w:hint="eastAsia" w:ascii="Times New Roman" w:hAnsi="Times New Roman" w:eastAsia="仿宋_GB2312" w:cs="Times New Roman"/>
          <w:sz w:val="32"/>
          <w:szCs w:val="32"/>
          <w:lang w:val="zh-CN" w:eastAsia="zh-CN"/>
        </w:rPr>
        <w:t>达到美化城乡环境、创建卫生城市、文明城市的目标。不断提高</w:t>
      </w:r>
      <w:r>
        <w:rPr>
          <w:rFonts w:hint="eastAsia" w:ascii="Times New Roman" w:hAnsi="Times New Roman" w:eastAsia="仿宋_GB2312" w:cs="Times New Roman"/>
          <w:sz w:val="32"/>
          <w:szCs w:val="32"/>
          <w:lang w:val="en-US" w:eastAsia="zh-CN"/>
        </w:rPr>
        <w:t>人民群众的</w:t>
      </w:r>
      <w:r>
        <w:rPr>
          <w:rFonts w:hint="eastAsia" w:ascii="Times New Roman" w:hAnsi="Times New Roman" w:eastAsia="仿宋_GB2312" w:cs="Times New Roman"/>
          <w:sz w:val="32"/>
          <w:szCs w:val="32"/>
          <w:lang w:val="zh-CN" w:eastAsia="zh-CN"/>
        </w:rPr>
        <w:t>满意度。</w:t>
      </w:r>
    </w:p>
    <w:p w14:paraId="4E48DF62">
      <w:pPr>
        <w:ind w:firstLine="643" w:firstLineChars="200"/>
        <w:rPr>
          <w:rFonts w:hint="eastAsia" w:ascii="楷体_GB2312" w:eastAsia="楷体_GB2312"/>
          <w:b/>
          <w:sz w:val="32"/>
          <w:szCs w:val="32"/>
          <w:lang w:val="zh-CN"/>
        </w:rPr>
      </w:pPr>
      <w:r>
        <w:rPr>
          <w:rFonts w:hint="eastAsia" w:ascii="楷体_GB2312" w:eastAsia="楷体_GB2312"/>
          <w:b/>
          <w:sz w:val="32"/>
          <w:szCs w:val="32"/>
          <w:lang w:val="zh-CN"/>
        </w:rPr>
        <w:t>（三）个性指标绩效分析：</w:t>
      </w:r>
    </w:p>
    <w:p w14:paraId="42242E3F">
      <w:pPr>
        <w:ind w:firstLine="640" w:firstLineChars="200"/>
        <w:rPr>
          <w:rFonts w:eastAsia="仿宋_GB2312"/>
          <w:sz w:val="32"/>
          <w:szCs w:val="32"/>
          <w:lang w:val="zh-CN"/>
        </w:rPr>
      </w:pPr>
      <w:r>
        <w:rPr>
          <w:rFonts w:hint="eastAsia" w:eastAsia="仿宋_GB2312"/>
          <w:sz w:val="32"/>
          <w:szCs w:val="32"/>
          <w:lang w:val="zh-CN"/>
        </w:rPr>
        <w:t>根据项目个性自行设定部分指标，反映该项指标执行完成情况：无。</w:t>
      </w:r>
    </w:p>
    <w:p w14:paraId="0218521C">
      <w:pPr>
        <w:ind w:firstLine="640" w:firstLineChars="200"/>
        <w:outlineLvl w:val="1"/>
        <w:rPr>
          <w:rFonts w:ascii="黑体" w:hAnsi="黑体" w:eastAsia="黑体"/>
          <w:sz w:val="32"/>
          <w:szCs w:val="32"/>
          <w:lang w:val="zh-CN"/>
        </w:rPr>
      </w:pPr>
      <w:bookmarkStart w:id="85" w:name="_Toc4105"/>
      <w:r>
        <w:rPr>
          <w:rFonts w:hint="eastAsia" w:ascii="黑体" w:hAnsi="黑体" w:eastAsia="黑体"/>
          <w:sz w:val="32"/>
          <w:szCs w:val="32"/>
          <w:lang w:val="zh-CN"/>
        </w:rPr>
        <w:t>四、评价结论</w:t>
      </w:r>
      <w:bookmarkEnd w:id="85"/>
    </w:p>
    <w:p w14:paraId="056411E1">
      <w:pPr>
        <w:spacing w:line="360" w:lineRule="auto"/>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按照2024年度《区级部门整体绩效自评体系》设定的绩效指标和计分标准，本部门2024年</w:t>
      </w:r>
      <w:r>
        <w:rPr>
          <w:rFonts w:hint="eastAsia" w:ascii="Times New Roman" w:hAnsi="Times New Roman" w:eastAsia="仿宋_GB2312" w:cs="Times New Roman"/>
          <w:sz w:val="32"/>
          <w:szCs w:val="32"/>
          <w:lang w:val="zh-CN" w:eastAsia="zh-CN"/>
        </w:rPr>
        <w:t>“</w:t>
      </w:r>
      <w:r>
        <w:rPr>
          <w:rFonts w:hint="eastAsia" w:ascii="Times New Roman" w:hAnsi="Times New Roman" w:eastAsia="仿宋_GB2312" w:cs="Times New Roman"/>
          <w:sz w:val="32"/>
          <w:szCs w:val="32"/>
          <w:lang w:val="en-US" w:eastAsia="zh-CN"/>
        </w:rPr>
        <w:t>违章建筑拆除经费</w:t>
      </w:r>
      <w:r>
        <w:rPr>
          <w:rFonts w:hint="eastAsia" w:ascii="Times New Roman" w:hAnsi="Times New Roman" w:eastAsia="仿宋_GB2312" w:cs="Times New Roman"/>
          <w:sz w:val="32"/>
          <w:szCs w:val="32"/>
          <w:lang w:val="zh-CN" w:eastAsia="zh-CN"/>
        </w:rPr>
        <w:t>”</w:t>
      </w:r>
      <w:r>
        <w:rPr>
          <w:rFonts w:hint="eastAsia" w:ascii="Times New Roman" w:hAnsi="Times New Roman" w:eastAsia="仿宋_GB2312" w:cs="Times New Roman"/>
          <w:sz w:val="32"/>
          <w:szCs w:val="32"/>
          <w:lang w:val="en-US" w:eastAsia="zh-CN"/>
        </w:rPr>
        <w:t>专项预算项目绩效自评得分为100分。</w:t>
      </w:r>
    </w:p>
    <w:p w14:paraId="632D1BBD">
      <w:pPr>
        <w:ind w:firstLine="640" w:firstLineChars="200"/>
        <w:outlineLvl w:val="1"/>
        <w:rPr>
          <w:rFonts w:ascii="黑体" w:hAnsi="黑体" w:eastAsia="黑体"/>
          <w:sz w:val="32"/>
          <w:szCs w:val="32"/>
          <w:lang w:val="zh-CN"/>
        </w:rPr>
      </w:pPr>
      <w:bookmarkStart w:id="86" w:name="_Toc3368"/>
      <w:r>
        <w:rPr>
          <w:rFonts w:hint="eastAsia" w:ascii="黑体" w:hAnsi="黑体" w:eastAsia="黑体"/>
          <w:sz w:val="32"/>
          <w:szCs w:val="32"/>
          <w:lang w:val="zh-CN"/>
        </w:rPr>
        <w:t>五、存在主要问题</w:t>
      </w:r>
      <w:bookmarkEnd w:id="86"/>
    </w:p>
    <w:p w14:paraId="4F4CE895">
      <w:pPr>
        <w:spacing w:line="360" w:lineRule="auto"/>
        <w:ind w:firstLine="640" w:firstLineChars="200"/>
        <w:jc w:val="left"/>
        <w:rPr>
          <w:rFonts w:hint="eastAsia" w:ascii="Times New Roman" w:hAnsi="Times New Roman" w:eastAsia="仿宋_GB2312" w:cs="Times New Roman"/>
          <w:sz w:val="32"/>
          <w:szCs w:val="32"/>
          <w:lang w:val="en-US" w:eastAsia="zh-Hans"/>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en-US" w:eastAsia="zh-Hans"/>
        </w:rPr>
        <w:t>、</w:t>
      </w:r>
      <w:r>
        <w:rPr>
          <w:rFonts w:hint="eastAsia" w:ascii="Times New Roman" w:hAnsi="Times New Roman" w:eastAsia="仿宋_GB2312" w:cs="Times New Roman"/>
          <w:sz w:val="32"/>
          <w:szCs w:val="32"/>
          <w:lang w:val="en-US" w:eastAsia="zh-CN"/>
        </w:rPr>
        <w:t>存在年初</w:t>
      </w:r>
      <w:r>
        <w:rPr>
          <w:rFonts w:hint="eastAsia" w:ascii="Times New Roman" w:hAnsi="Times New Roman" w:eastAsia="仿宋_GB2312" w:cs="Times New Roman"/>
          <w:sz w:val="32"/>
          <w:szCs w:val="32"/>
          <w:lang w:val="en-US" w:eastAsia="zh-Hans"/>
        </w:rPr>
        <w:t>预算偏差程度</w:t>
      </w:r>
      <w:r>
        <w:rPr>
          <w:rFonts w:hint="eastAsia" w:ascii="Times New Roman" w:hAnsi="Times New Roman" w:eastAsia="仿宋_GB2312" w:cs="Times New Roman"/>
          <w:sz w:val="32"/>
          <w:szCs w:val="32"/>
          <w:lang w:val="en-US" w:eastAsia="zh-CN"/>
        </w:rPr>
        <w:t>差异较大的问题</w:t>
      </w:r>
      <w:r>
        <w:rPr>
          <w:rFonts w:hint="eastAsia" w:ascii="Times New Roman" w:hAnsi="Times New Roman" w:eastAsia="仿宋_GB2312" w:cs="Times New Roman"/>
          <w:sz w:val="32"/>
          <w:szCs w:val="32"/>
          <w:lang w:val="en-US" w:eastAsia="zh-Hans"/>
        </w:rPr>
        <w:t>。</w:t>
      </w:r>
    </w:p>
    <w:p w14:paraId="6D64F61F">
      <w:pPr>
        <w:spacing w:line="360" w:lineRule="auto"/>
        <w:ind w:firstLine="640" w:firstLineChars="200"/>
        <w:jc w:val="left"/>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en-US" w:eastAsia="zh-CN"/>
        </w:rPr>
        <w:t>2、在基本绩效目标的科学合理、规范完整、细化量化并与预算安排相匹配方面还需进一步提高。</w:t>
      </w:r>
    </w:p>
    <w:p w14:paraId="75FCCA8D">
      <w:pPr>
        <w:ind w:firstLine="640" w:firstLineChars="200"/>
        <w:outlineLvl w:val="1"/>
        <w:rPr>
          <w:rFonts w:ascii="黑体" w:hAnsi="黑体" w:eastAsia="黑体"/>
          <w:sz w:val="32"/>
          <w:szCs w:val="32"/>
          <w:lang w:val="zh-CN"/>
        </w:rPr>
      </w:pPr>
      <w:bookmarkStart w:id="87" w:name="_Toc14293"/>
      <w:r>
        <w:rPr>
          <w:rFonts w:hint="eastAsia" w:ascii="黑体" w:hAnsi="黑体" w:eastAsia="黑体"/>
          <w:sz w:val="32"/>
          <w:szCs w:val="32"/>
          <w:lang w:val="zh-CN"/>
        </w:rPr>
        <w:t>六、改进建议</w:t>
      </w:r>
      <w:bookmarkEnd w:id="87"/>
    </w:p>
    <w:p w14:paraId="2816BAE0">
      <w:pPr>
        <w:spacing w:line="360" w:lineRule="auto"/>
        <w:ind w:firstLine="640" w:firstLineChars="200"/>
        <w:jc w:val="left"/>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en-US" w:eastAsia="zh-Hans"/>
        </w:rPr>
        <w:t>提高预算管理水平，合理安排支出结构。充分了解预算需求，提高预算编制的准确度。</w:t>
      </w:r>
    </w:p>
    <w:p w14:paraId="3672355D">
      <w:pPr>
        <w:jc w:val="both"/>
        <w:rPr>
          <w:rFonts w:hint="eastAsia" w:ascii="方正小标宋简体" w:hAnsi="方正小标宋简体" w:eastAsia="方正小标宋简体" w:cs="Times New Roman"/>
          <w:sz w:val="44"/>
          <w:szCs w:val="44"/>
          <w:lang w:val="zh-CN"/>
        </w:rPr>
      </w:pPr>
    </w:p>
    <w:p w14:paraId="0934ED1A">
      <w:pPr>
        <w:jc w:val="both"/>
        <w:outlineLvl w:val="0"/>
        <w:rPr>
          <w:rFonts w:hint="eastAsia" w:ascii="方正小标宋简体" w:hAnsi="方正小标宋简体" w:eastAsia="方正小标宋简体" w:cs="Times New Roman"/>
          <w:sz w:val="44"/>
          <w:szCs w:val="44"/>
          <w:lang w:val="zh-CN"/>
        </w:rPr>
      </w:pPr>
      <w:bookmarkStart w:id="88" w:name="_Toc7074"/>
    </w:p>
    <w:p w14:paraId="1ED2E198">
      <w:pPr>
        <w:pStyle w:val="2"/>
        <w:rPr>
          <w:rFonts w:hint="eastAsia" w:ascii="方正小标宋简体" w:hAnsi="方正小标宋简体" w:eastAsia="方正小标宋简体" w:cs="Times New Roman"/>
          <w:sz w:val="44"/>
          <w:szCs w:val="44"/>
          <w:lang w:val="zh-CN"/>
        </w:rPr>
      </w:pPr>
    </w:p>
    <w:p w14:paraId="472B90E6">
      <w:pPr>
        <w:jc w:val="both"/>
        <w:outlineLvl w:val="0"/>
        <w:rPr>
          <w:rFonts w:hint="eastAsia" w:ascii="方正小标宋简体" w:hAnsi="方正小标宋简体" w:eastAsia="方正小标宋简体" w:cs="Times New Roman"/>
          <w:sz w:val="44"/>
          <w:szCs w:val="44"/>
          <w:lang w:val="zh-CN"/>
        </w:rPr>
      </w:pPr>
    </w:p>
    <w:p w14:paraId="76BC0F3E">
      <w:pPr>
        <w:pStyle w:val="2"/>
        <w:rPr>
          <w:rFonts w:hint="eastAsia" w:ascii="方正小标宋简体" w:hAnsi="方正小标宋简体" w:eastAsia="方正小标宋简体" w:cs="Times New Roman"/>
          <w:sz w:val="44"/>
          <w:szCs w:val="44"/>
          <w:lang w:val="zh-CN"/>
        </w:rPr>
      </w:pPr>
    </w:p>
    <w:p w14:paraId="7D6FBDD3">
      <w:pPr>
        <w:pStyle w:val="4"/>
        <w:rPr>
          <w:rFonts w:hint="eastAsia"/>
          <w:lang w:val="zh-CN"/>
        </w:rPr>
      </w:pPr>
    </w:p>
    <w:p w14:paraId="5D8F6B1F">
      <w:pPr>
        <w:jc w:val="both"/>
        <w:outlineLvl w:val="0"/>
        <w:rPr>
          <w:rFonts w:hint="eastAsia" w:ascii="方正小标宋简体" w:hAnsi="方正小标宋简体" w:eastAsia="方正小标宋简体" w:cs="Times New Roman"/>
          <w:sz w:val="44"/>
          <w:szCs w:val="44"/>
          <w:lang w:val="zh-CN"/>
        </w:rPr>
      </w:pPr>
    </w:p>
    <w:p w14:paraId="6D3C3328">
      <w:pPr>
        <w:jc w:val="center"/>
        <w:outlineLvl w:val="0"/>
        <w:rPr>
          <w:rFonts w:hint="eastAsia" w:ascii="方正小标宋简体" w:hAnsi="方正小标宋简体" w:eastAsia="方正小标宋简体" w:cs="Times New Roman"/>
          <w:sz w:val="44"/>
          <w:szCs w:val="44"/>
          <w:lang w:val="zh-CN"/>
        </w:rPr>
      </w:pPr>
      <w:r>
        <w:rPr>
          <w:rFonts w:hint="eastAsia" w:ascii="方正小标宋简体" w:hAnsi="方正小标宋简体" w:eastAsia="方正小标宋简体" w:cs="Times New Roman"/>
          <w:sz w:val="44"/>
          <w:szCs w:val="44"/>
          <w:lang w:val="zh-CN"/>
        </w:rPr>
        <w:t>第五部分 附表</w:t>
      </w:r>
      <w:bookmarkEnd w:id="88"/>
    </w:p>
    <w:p w14:paraId="0F12C588">
      <w:pPr>
        <w:rPr>
          <w:rFonts w:ascii="仿宋" w:hAnsi="仿宋" w:eastAsia="仿宋"/>
          <w:sz w:val="32"/>
          <w:szCs w:val="32"/>
        </w:rPr>
      </w:pPr>
      <w:r>
        <w:rPr>
          <w:rFonts w:hint="eastAsia" w:ascii="仿宋" w:hAnsi="仿宋" w:eastAsia="仿宋"/>
          <w:sz w:val="32"/>
          <w:szCs w:val="32"/>
        </w:rPr>
        <w:t>一、收入支出决算总表</w:t>
      </w:r>
    </w:p>
    <w:p w14:paraId="20763546">
      <w:pPr>
        <w:rPr>
          <w:rFonts w:ascii="仿宋" w:hAnsi="仿宋" w:eastAsia="仿宋"/>
          <w:sz w:val="32"/>
          <w:szCs w:val="32"/>
        </w:rPr>
      </w:pPr>
      <w:r>
        <w:rPr>
          <w:rFonts w:hint="eastAsia" w:ascii="仿宋" w:hAnsi="仿宋" w:eastAsia="仿宋"/>
          <w:sz w:val="32"/>
          <w:szCs w:val="32"/>
        </w:rPr>
        <w:t>二、收入决算表</w:t>
      </w:r>
    </w:p>
    <w:p w14:paraId="119827FC">
      <w:pPr>
        <w:rPr>
          <w:rFonts w:ascii="仿宋" w:hAnsi="仿宋" w:eastAsia="仿宋"/>
          <w:sz w:val="32"/>
          <w:szCs w:val="32"/>
        </w:rPr>
      </w:pPr>
      <w:r>
        <w:rPr>
          <w:rFonts w:hint="eastAsia" w:ascii="仿宋" w:hAnsi="仿宋" w:eastAsia="仿宋"/>
          <w:sz w:val="32"/>
          <w:szCs w:val="32"/>
        </w:rPr>
        <w:t>三、支出决算表</w:t>
      </w:r>
    </w:p>
    <w:p w14:paraId="269ED7C0">
      <w:pPr>
        <w:rPr>
          <w:rFonts w:ascii="仿宋" w:hAnsi="仿宋" w:eastAsia="仿宋"/>
          <w:sz w:val="32"/>
          <w:szCs w:val="32"/>
        </w:rPr>
      </w:pPr>
      <w:r>
        <w:rPr>
          <w:rFonts w:hint="eastAsia" w:ascii="仿宋" w:hAnsi="仿宋" w:eastAsia="仿宋"/>
          <w:sz w:val="32"/>
          <w:szCs w:val="32"/>
        </w:rPr>
        <w:t>四、财政拨款收入支出决算总表</w:t>
      </w:r>
    </w:p>
    <w:p w14:paraId="28EE1B60">
      <w:pPr>
        <w:rPr>
          <w:rFonts w:ascii="仿宋" w:hAnsi="仿宋" w:eastAsia="仿宋"/>
          <w:sz w:val="32"/>
          <w:szCs w:val="32"/>
        </w:rPr>
      </w:pPr>
      <w:r>
        <w:rPr>
          <w:rFonts w:hint="eastAsia" w:ascii="仿宋" w:hAnsi="仿宋" w:eastAsia="仿宋"/>
          <w:sz w:val="32"/>
          <w:szCs w:val="32"/>
        </w:rPr>
        <w:t>五、财政拨款支出决算明细表</w:t>
      </w:r>
    </w:p>
    <w:p w14:paraId="6C23A7D4">
      <w:pPr>
        <w:rPr>
          <w:rFonts w:ascii="仿宋" w:hAnsi="仿宋" w:eastAsia="仿宋"/>
          <w:sz w:val="32"/>
          <w:szCs w:val="32"/>
        </w:rPr>
      </w:pPr>
      <w:r>
        <w:rPr>
          <w:rFonts w:hint="eastAsia" w:ascii="仿宋" w:hAnsi="仿宋" w:eastAsia="仿宋"/>
          <w:sz w:val="32"/>
          <w:szCs w:val="32"/>
        </w:rPr>
        <w:t>六、一般公共预算财政拨款支出决算表</w:t>
      </w:r>
    </w:p>
    <w:p w14:paraId="31117C0F">
      <w:pPr>
        <w:rPr>
          <w:rFonts w:ascii="仿宋" w:hAnsi="仿宋" w:eastAsia="仿宋"/>
          <w:sz w:val="32"/>
          <w:szCs w:val="32"/>
        </w:rPr>
      </w:pPr>
      <w:r>
        <w:rPr>
          <w:rFonts w:hint="eastAsia" w:ascii="仿宋" w:hAnsi="仿宋" w:eastAsia="仿宋"/>
          <w:sz w:val="32"/>
          <w:szCs w:val="32"/>
        </w:rPr>
        <w:t>七、一般公共预算财政拨款支出决算明细表</w:t>
      </w:r>
    </w:p>
    <w:p w14:paraId="7F08C4BB">
      <w:pPr>
        <w:rPr>
          <w:rFonts w:ascii="仿宋" w:hAnsi="仿宋" w:eastAsia="仿宋"/>
          <w:sz w:val="32"/>
          <w:szCs w:val="32"/>
        </w:rPr>
      </w:pPr>
      <w:r>
        <w:rPr>
          <w:rFonts w:hint="eastAsia" w:ascii="仿宋" w:hAnsi="仿宋" w:eastAsia="仿宋"/>
          <w:sz w:val="32"/>
          <w:szCs w:val="32"/>
        </w:rPr>
        <w:t>八、一般公共预算财政拨款基本支出决算表</w:t>
      </w:r>
    </w:p>
    <w:p w14:paraId="7F1A28DB">
      <w:pPr>
        <w:rPr>
          <w:rFonts w:ascii="仿宋" w:hAnsi="仿宋" w:eastAsia="仿宋"/>
          <w:sz w:val="32"/>
          <w:szCs w:val="32"/>
        </w:rPr>
      </w:pPr>
      <w:r>
        <w:rPr>
          <w:rFonts w:hint="eastAsia" w:ascii="仿宋" w:hAnsi="仿宋" w:eastAsia="仿宋"/>
          <w:sz w:val="32"/>
          <w:szCs w:val="32"/>
        </w:rPr>
        <w:t>九、一般公共预算财政拨款项目支出决算表</w:t>
      </w:r>
    </w:p>
    <w:p w14:paraId="58BC117E">
      <w:pPr>
        <w:rPr>
          <w:rFonts w:ascii="仿宋" w:hAnsi="仿宋" w:eastAsia="仿宋"/>
          <w:sz w:val="32"/>
          <w:szCs w:val="32"/>
        </w:rPr>
      </w:pPr>
      <w:r>
        <w:rPr>
          <w:rFonts w:hint="eastAsia" w:ascii="仿宋" w:hAnsi="仿宋" w:eastAsia="仿宋"/>
          <w:sz w:val="32"/>
          <w:szCs w:val="32"/>
        </w:rPr>
        <w:t>十、政府性基金预算财政拨款收入支出决算表</w:t>
      </w:r>
    </w:p>
    <w:p w14:paraId="7E353740">
      <w:pPr>
        <w:rPr>
          <w:rFonts w:ascii="仿宋" w:hAnsi="仿宋" w:eastAsia="仿宋"/>
          <w:sz w:val="32"/>
          <w:szCs w:val="32"/>
        </w:rPr>
      </w:pPr>
      <w:r>
        <w:rPr>
          <w:rFonts w:hint="eastAsia" w:ascii="仿宋" w:hAnsi="仿宋" w:eastAsia="仿宋"/>
          <w:sz w:val="32"/>
          <w:szCs w:val="32"/>
        </w:rPr>
        <w:t>十一、国有资本经营预算财政拨款收入支出决算表</w:t>
      </w:r>
    </w:p>
    <w:p w14:paraId="7C1C16E4">
      <w:pPr>
        <w:rPr>
          <w:rFonts w:ascii="仿宋" w:hAnsi="仿宋" w:eastAsia="仿宋"/>
          <w:sz w:val="32"/>
          <w:szCs w:val="32"/>
        </w:rPr>
      </w:pPr>
      <w:r>
        <w:rPr>
          <w:rFonts w:hint="eastAsia" w:ascii="仿宋" w:hAnsi="仿宋" w:eastAsia="仿宋"/>
          <w:sz w:val="32"/>
          <w:szCs w:val="32"/>
        </w:rPr>
        <w:t>十二、国有资本经营预算财政拨款支出决算表</w:t>
      </w:r>
    </w:p>
    <w:p w14:paraId="69BBFBBF">
      <w:pPr>
        <w:rPr>
          <w:rFonts w:hint="eastAsia" w:ascii="仿宋" w:hAnsi="仿宋" w:eastAsia="仿宋"/>
          <w:sz w:val="32"/>
          <w:szCs w:val="32"/>
        </w:rPr>
      </w:pPr>
      <w:r>
        <w:rPr>
          <w:rFonts w:hint="eastAsia" w:ascii="仿宋" w:hAnsi="仿宋" w:eastAsia="仿宋"/>
          <w:sz w:val="32"/>
          <w:szCs w:val="32"/>
        </w:rPr>
        <w:t>十三、财政拨款“三公”经费支出决算表</w:t>
      </w:r>
    </w:p>
    <w:p w14:paraId="571A4D6C">
      <w:pPr>
        <w:pStyle w:val="2"/>
        <w:ind w:left="0" w:leftChars="0" w:firstLine="0" w:firstLineChars="0"/>
      </w:pPr>
      <w:bookmarkStart w:id="89" w:name="_Toc9969"/>
      <w:r>
        <w:rPr>
          <w:rStyle w:val="39"/>
          <w:rFonts w:hint="eastAsia" w:ascii="仿宋" w:hAnsi="仿宋" w:eastAsia="仿宋"/>
          <w:b w:val="0"/>
          <w:bCs w:val="0"/>
          <w:color w:val="auto"/>
          <w:highlight w:val="none"/>
          <w:lang w:val="en-US" w:eastAsia="zh-CN" w:bidi="ar-SA"/>
        </w:rPr>
        <w:t>注：以上附表详见《五通桥区综合行政执法局2024年部门决算公开表》</w:t>
      </w:r>
      <w:bookmarkEnd w:id="89"/>
    </w:p>
    <w:sectPr>
      <w:headerReference r:id="rId4" w:type="first"/>
      <w:footerReference r:id="rId6" w:type="first"/>
      <w:headerReference r:id="rId3" w:type="default"/>
      <w:footerReference r:id="rId5"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7A7ACC17">
        <w:pPr>
          <w:pStyle w:val="10"/>
          <w:jc w:val="center"/>
        </w:pPr>
        <w:r>
          <w:fldChar w:fldCharType="begin"/>
        </w:r>
        <w:r>
          <w:instrText xml:space="preserve">PAGE   \* MERGEFORMAT</w:instrText>
        </w:r>
        <w:r>
          <w:fldChar w:fldCharType="separate"/>
        </w:r>
        <w:r>
          <w:rPr>
            <w:lang w:val="zh-CN"/>
          </w:rPr>
          <w:t>15</w:t>
        </w:r>
        <w:r>
          <w:fldChar w:fldCharType="end"/>
        </w:r>
      </w:p>
    </w:sdtContent>
  </w:sdt>
  <w:p w14:paraId="29FD85CB">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9FD0C">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1F0DB3">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41F0DB3">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4B364">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81BB2">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kY2FlMGQyNDEzM2Q3ODNlYmRhZTM0YmMzNGFlY2M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1127C6"/>
    <w:rsid w:val="022B0E5C"/>
    <w:rsid w:val="03DC2831"/>
    <w:rsid w:val="081B5E94"/>
    <w:rsid w:val="082563B7"/>
    <w:rsid w:val="09151807"/>
    <w:rsid w:val="0A2032A3"/>
    <w:rsid w:val="0A2F4616"/>
    <w:rsid w:val="0ACD1DF8"/>
    <w:rsid w:val="0B8A37D8"/>
    <w:rsid w:val="0D0F25F0"/>
    <w:rsid w:val="0E010BCA"/>
    <w:rsid w:val="0F5FFB2F"/>
    <w:rsid w:val="0FFFCF60"/>
    <w:rsid w:val="10C055FF"/>
    <w:rsid w:val="113B2757"/>
    <w:rsid w:val="118107EC"/>
    <w:rsid w:val="11DD6519"/>
    <w:rsid w:val="12A25A36"/>
    <w:rsid w:val="12DD4691"/>
    <w:rsid w:val="130A686C"/>
    <w:rsid w:val="132A4EF0"/>
    <w:rsid w:val="13CB6196"/>
    <w:rsid w:val="154E1181"/>
    <w:rsid w:val="15C813FD"/>
    <w:rsid w:val="16074DE4"/>
    <w:rsid w:val="16BB723D"/>
    <w:rsid w:val="18015F3F"/>
    <w:rsid w:val="1844012A"/>
    <w:rsid w:val="186C064B"/>
    <w:rsid w:val="1A9908E0"/>
    <w:rsid w:val="1B423B60"/>
    <w:rsid w:val="1BE8440E"/>
    <w:rsid w:val="1C4A5F90"/>
    <w:rsid w:val="1D155CEE"/>
    <w:rsid w:val="1DDC2BB3"/>
    <w:rsid w:val="1F523D91"/>
    <w:rsid w:val="1F634658"/>
    <w:rsid w:val="1F642CC6"/>
    <w:rsid w:val="1FDBBF84"/>
    <w:rsid w:val="20F57F95"/>
    <w:rsid w:val="236B3D2C"/>
    <w:rsid w:val="23EB32B6"/>
    <w:rsid w:val="240371BF"/>
    <w:rsid w:val="246464A4"/>
    <w:rsid w:val="24DE0DDA"/>
    <w:rsid w:val="25711CC6"/>
    <w:rsid w:val="25C741E6"/>
    <w:rsid w:val="26F11867"/>
    <w:rsid w:val="276F80C0"/>
    <w:rsid w:val="27842671"/>
    <w:rsid w:val="27A73E71"/>
    <w:rsid w:val="28092488"/>
    <w:rsid w:val="29445AC2"/>
    <w:rsid w:val="29FD04D3"/>
    <w:rsid w:val="2A2A7B3A"/>
    <w:rsid w:val="2ABE7A3E"/>
    <w:rsid w:val="2AFF09B6"/>
    <w:rsid w:val="2BBE346C"/>
    <w:rsid w:val="2CA234A8"/>
    <w:rsid w:val="2E8A4AF0"/>
    <w:rsid w:val="2ED9066B"/>
    <w:rsid w:val="2EFA178C"/>
    <w:rsid w:val="2EFDF86C"/>
    <w:rsid w:val="2F9D17E1"/>
    <w:rsid w:val="30B46D73"/>
    <w:rsid w:val="319F7F4E"/>
    <w:rsid w:val="345D2848"/>
    <w:rsid w:val="34D13DB9"/>
    <w:rsid w:val="356A28F1"/>
    <w:rsid w:val="357C035A"/>
    <w:rsid w:val="35B82066"/>
    <w:rsid w:val="35CC76C7"/>
    <w:rsid w:val="35DD5FF2"/>
    <w:rsid w:val="368E000D"/>
    <w:rsid w:val="376672CB"/>
    <w:rsid w:val="3768294A"/>
    <w:rsid w:val="37877158"/>
    <w:rsid w:val="383D272C"/>
    <w:rsid w:val="39AE70AB"/>
    <w:rsid w:val="3A4DCE41"/>
    <w:rsid w:val="3BCB56FA"/>
    <w:rsid w:val="3C0C0783"/>
    <w:rsid w:val="3C2E0F2B"/>
    <w:rsid w:val="3CC06C7E"/>
    <w:rsid w:val="3D986CD1"/>
    <w:rsid w:val="3EE01818"/>
    <w:rsid w:val="3EE7C2F4"/>
    <w:rsid w:val="3F371B56"/>
    <w:rsid w:val="3F792ED8"/>
    <w:rsid w:val="3F9F3A96"/>
    <w:rsid w:val="3FECA4B2"/>
    <w:rsid w:val="3FF58C48"/>
    <w:rsid w:val="415C14CF"/>
    <w:rsid w:val="41647407"/>
    <w:rsid w:val="42FF6694"/>
    <w:rsid w:val="455A0EEE"/>
    <w:rsid w:val="47B665E8"/>
    <w:rsid w:val="48BF60AB"/>
    <w:rsid w:val="493C27E9"/>
    <w:rsid w:val="496F39ED"/>
    <w:rsid w:val="49FF41D3"/>
    <w:rsid w:val="4BE068DB"/>
    <w:rsid w:val="4BF6002B"/>
    <w:rsid w:val="4BFFC6BE"/>
    <w:rsid w:val="4CFD79B0"/>
    <w:rsid w:val="4ECE2238"/>
    <w:rsid w:val="4EE37B71"/>
    <w:rsid w:val="501C0E6E"/>
    <w:rsid w:val="510C6D30"/>
    <w:rsid w:val="51A4428B"/>
    <w:rsid w:val="51DB4B86"/>
    <w:rsid w:val="51F136EA"/>
    <w:rsid w:val="51F64DB0"/>
    <w:rsid w:val="540725A0"/>
    <w:rsid w:val="54246E44"/>
    <w:rsid w:val="55333C3E"/>
    <w:rsid w:val="55BA1E53"/>
    <w:rsid w:val="569D57E6"/>
    <w:rsid w:val="56C629C3"/>
    <w:rsid w:val="5747180A"/>
    <w:rsid w:val="575F7FC3"/>
    <w:rsid w:val="5AB83FF7"/>
    <w:rsid w:val="5AF346BB"/>
    <w:rsid w:val="5D5326E5"/>
    <w:rsid w:val="5DEA37ED"/>
    <w:rsid w:val="5F67802D"/>
    <w:rsid w:val="5F7DC4F2"/>
    <w:rsid w:val="5FB36814"/>
    <w:rsid w:val="5FBB8E56"/>
    <w:rsid w:val="5FF92476"/>
    <w:rsid w:val="5FFB5535"/>
    <w:rsid w:val="613D4CE3"/>
    <w:rsid w:val="618F5819"/>
    <w:rsid w:val="63C078F8"/>
    <w:rsid w:val="642F00A4"/>
    <w:rsid w:val="64CA39A1"/>
    <w:rsid w:val="6946316D"/>
    <w:rsid w:val="694F14B1"/>
    <w:rsid w:val="69630ADE"/>
    <w:rsid w:val="69BD5F13"/>
    <w:rsid w:val="69FB0B4B"/>
    <w:rsid w:val="6B6D4417"/>
    <w:rsid w:val="6BFFE1FB"/>
    <w:rsid w:val="6C4A05C8"/>
    <w:rsid w:val="6CD36D8E"/>
    <w:rsid w:val="6D3B1A89"/>
    <w:rsid w:val="6D636719"/>
    <w:rsid w:val="6DB7D8A3"/>
    <w:rsid w:val="6E7B63EF"/>
    <w:rsid w:val="6EC78701"/>
    <w:rsid w:val="6F6876B4"/>
    <w:rsid w:val="6F7A5481"/>
    <w:rsid w:val="6FD9651F"/>
    <w:rsid w:val="6FFE07A9"/>
    <w:rsid w:val="70F16808"/>
    <w:rsid w:val="715E7BC3"/>
    <w:rsid w:val="71BF4EC2"/>
    <w:rsid w:val="72734D90"/>
    <w:rsid w:val="7297466E"/>
    <w:rsid w:val="73E75B71"/>
    <w:rsid w:val="7412278C"/>
    <w:rsid w:val="74582343"/>
    <w:rsid w:val="748103F8"/>
    <w:rsid w:val="74DD1DB8"/>
    <w:rsid w:val="752905DA"/>
    <w:rsid w:val="758F6E2D"/>
    <w:rsid w:val="75C66BA2"/>
    <w:rsid w:val="75DDCDA9"/>
    <w:rsid w:val="75FF44B1"/>
    <w:rsid w:val="77670518"/>
    <w:rsid w:val="777FA627"/>
    <w:rsid w:val="779C55E7"/>
    <w:rsid w:val="77DF1B5F"/>
    <w:rsid w:val="77EF2D9D"/>
    <w:rsid w:val="792115FE"/>
    <w:rsid w:val="79E7B28D"/>
    <w:rsid w:val="7ACF4B3E"/>
    <w:rsid w:val="7ACFF0C2"/>
    <w:rsid w:val="7AFB9108"/>
    <w:rsid w:val="7BD203E7"/>
    <w:rsid w:val="7BD5340C"/>
    <w:rsid w:val="7BFB19D2"/>
    <w:rsid w:val="7BFD1750"/>
    <w:rsid w:val="7BFDAA1B"/>
    <w:rsid w:val="7CDF9A82"/>
    <w:rsid w:val="7CFFA1BD"/>
    <w:rsid w:val="7D2E3F7A"/>
    <w:rsid w:val="7DB3405F"/>
    <w:rsid w:val="7DDF4311"/>
    <w:rsid w:val="7DED9490"/>
    <w:rsid w:val="7DFF4872"/>
    <w:rsid w:val="7E6D1C55"/>
    <w:rsid w:val="7E7487E6"/>
    <w:rsid w:val="7E7C2A54"/>
    <w:rsid w:val="7EEEFD72"/>
    <w:rsid w:val="7F1D517C"/>
    <w:rsid w:val="7F2705A8"/>
    <w:rsid w:val="7F5DA057"/>
    <w:rsid w:val="7F6C2237"/>
    <w:rsid w:val="7F7F319B"/>
    <w:rsid w:val="7F9F20EE"/>
    <w:rsid w:val="7FBBE890"/>
    <w:rsid w:val="7FBC2ABD"/>
    <w:rsid w:val="7FBF5D48"/>
    <w:rsid w:val="7FCCFC01"/>
    <w:rsid w:val="7FDD1748"/>
    <w:rsid w:val="7FE769C6"/>
    <w:rsid w:val="7FFD083E"/>
    <w:rsid w:val="7FFD5912"/>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40"/>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3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35"/>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unhideWhenUsed/>
    <w:qFormat/>
    <w:uiPriority w:val="99"/>
    <w:pPr>
      <w:ind w:firstLine="420" w:firstLineChars="200"/>
    </w:pPr>
  </w:style>
  <w:style w:type="paragraph" w:styleId="3">
    <w:name w:val="Body Text Indent"/>
    <w:basedOn w:val="1"/>
    <w:next w:val="2"/>
    <w:qFormat/>
    <w:uiPriority w:val="0"/>
    <w:pPr>
      <w:spacing w:after="120"/>
      <w:ind w:left="200" w:leftChars="200"/>
    </w:pPr>
    <w:rPr>
      <w:rFonts w:ascii="仿宋_GB2312"/>
      <w:szCs w:val="32"/>
    </w:rPr>
  </w:style>
  <w:style w:type="paragraph" w:styleId="4">
    <w:name w:val="Body Text"/>
    <w:basedOn w:val="1"/>
    <w:link w:val="28"/>
    <w:qFormat/>
    <w:uiPriority w:val="99"/>
    <w:pPr>
      <w:spacing w:beforeLines="30"/>
    </w:pPr>
    <w:rPr>
      <w:rFonts w:ascii="仿宋_GB2312" w:eastAsia="仿宋_GB2312"/>
      <w:kern w:val="0"/>
      <w:sz w:val="30"/>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4"/>
    <w:semiHidden/>
    <w:unhideWhenUsed/>
    <w:qFormat/>
    <w:uiPriority w:val="99"/>
    <w:rPr>
      <w:sz w:val="18"/>
      <w:szCs w:val="18"/>
    </w:rPr>
  </w:style>
  <w:style w:type="paragraph" w:styleId="10">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2"/>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unhideWhenUsed/>
    <w:qFormat/>
    <w:uiPriority w:val="99"/>
    <w:rPr>
      <w:sz w:val="24"/>
    </w:rPr>
  </w:style>
  <w:style w:type="paragraph" w:styleId="16">
    <w:name w:val="Title"/>
    <w:basedOn w:val="1"/>
    <w:qFormat/>
    <w:uiPriority w:val="10"/>
    <w:pPr>
      <w:spacing w:before="240" w:after="60"/>
      <w:jc w:val="center"/>
      <w:outlineLvl w:val="0"/>
    </w:pPr>
    <w:rPr>
      <w:rFonts w:ascii="Arial" w:hAnsi="Arial" w:cs="Arial"/>
      <w:b/>
      <w:bCs/>
      <w:sz w:val="32"/>
      <w:szCs w:val="32"/>
    </w:rPr>
  </w:style>
  <w:style w:type="table" w:styleId="18">
    <w:name w:val="Table Grid"/>
    <w:basedOn w:val="1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99"/>
    <w:rPr>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paragraph" w:customStyle="1" w:styleId="2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3">
    <w:name w:val="Header Char"/>
    <w:basedOn w:val="19"/>
    <w:semiHidden/>
    <w:qFormat/>
    <w:uiPriority w:val="99"/>
    <w:rPr>
      <w:rFonts w:ascii="Times New Roman" w:hAnsi="Times New Roman"/>
      <w:sz w:val="18"/>
      <w:szCs w:val="18"/>
    </w:rPr>
  </w:style>
  <w:style w:type="character" w:customStyle="1" w:styleId="24">
    <w:name w:val="页眉 字符"/>
    <w:link w:val="11"/>
    <w:semiHidden/>
    <w:qFormat/>
    <w:locked/>
    <w:uiPriority w:val="99"/>
    <w:rPr>
      <w:sz w:val="18"/>
    </w:rPr>
  </w:style>
  <w:style w:type="character" w:customStyle="1" w:styleId="25">
    <w:name w:val="Footer Char"/>
    <w:basedOn w:val="19"/>
    <w:semiHidden/>
    <w:qFormat/>
    <w:uiPriority w:val="99"/>
    <w:rPr>
      <w:rFonts w:ascii="Times New Roman" w:hAnsi="Times New Roman"/>
      <w:sz w:val="18"/>
      <w:szCs w:val="18"/>
    </w:rPr>
  </w:style>
  <w:style w:type="character" w:customStyle="1" w:styleId="26">
    <w:name w:val="页脚 字符"/>
    <w:link w:val="10"/>
    <w:qFormat/>
    <w:locked/>
    <w:uiPriority w:val="99"/>
    <w:rPr>
      <w:sz w:val="18"/>
    </w:rPr>
  </w:style>
  <w:style w:type="character" w:customStyle="1" w:styleId="27">
    <w:name w:val="Body Text Char"/>
    <w:basedOn w:val="19"/>
    <w:semiHidden/>
    <w:qFormat/>
    <w:uiPriority w:val="99"/>
    <w:rPr>
      <w:rFonts w:ascii="Times New Roman" w:hAnsi="Times New Roman"/>
      <w:szCs w:val="24"/>
    </w:rPr>
  </w:style>
  <w:style w:type="character" w:customStyle="1" w:styleId="28">
    <w:name w:val="正文文本 字符"/>
    <w:link w:val="4"/>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character" w:customStyle="1" w:styleId="31">
    <w:name w:val="标题 1 字符"/>
    <w:basedOn w:val="19"/>
    <w:link w:val="5"/>
    <w:qFormat/>
    <w:uiPriority w:val="9"/>
    <w:rPr>
      <w:rFonts w:ascii="Times New Roman" w:hAnsi="Times New Roman"/>
      <w:b/>
      <w:bCs/>
      <w:kern w:val="44"/>
      <w:sz w:val="44"/>
      <w:szCs w:val="44"/>
    </w:rPr>
  </w:style>
  <w:style w:type="character" w:customStyle="1" w:styleId="32">
    <w:name w:val="标题 2 字符"/>
    <w:basedOn w:val="19"/>
    <w:link w:val="6"/>
    <w:qFormat/>
    <w:uiPriority w:val="9"/>
    <w:rPr>
      <w:rFonts w:asciiTheme="majorHAnsi" w:hAnsiTheme="majorHAnsi" w:eastAsiaTheme="majorEastAsia" w:cstheme="majorBidi"/>
      <w:b/>
      <w:bCs/>
      <w:kern w:val="2"/>
      <w:sz w:val="32"/>
      <w:szCs w:val="32"/>
    </w:rPr>
  </w:style>
  <w:style w:type="paragraph" w:customStyle="1" w:styleId="33">
    <w:name w:val="TOC 标题1"/>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字符"/>
    <w:basedOn w:val="19"/>
    <w:link w:val="9"/>
    <w:semiHidden/>
    <w:qFormat/>
    <w:uiPriority w:val="99"/>
    <w:rPr>
      <w:rFonts w:ascii="Times New Roman" w:hAnsi="Times New Roman"/>
      <w:kern w:val="2"/>
      <w:sz w:val="18"/>
      <w:szCs w:val="18"/>
    </w:rPr>
  </w:style>
  <w:style w:type="character" w:customStyle="1" w:styleId="35">
    <w:name w:val="标题 3 字符"/>
    <w:basedOn w:val="19"/>
    <w:link w:val="7"/>
    <w:qFormat/>
    <w:uiPriority w:val="9"/>
    <w:rPr>
      <w:rFonts w:ascii="Times New Roman" w:hAnsi="Times New Roman"/>
      <w:b/>
      <w:bCs/>
      <w:kern w:val="2"/>
      <w:sz w:val="32"/>
      <w:szCs w:val="32"/>
    </w:rPr>
  </w:style>
  <w:style w:type="paragraph" w:customStyle="1" w:styleId="36">
    <w:name w:val="TOC 标题2"/>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7">
    <w:name w:val="WPSOffice手动目录 1"/>
    <w:qFormat/>
    <w:uiPriority w:val="0"/>
    <w:pPr>
      <w:ind w:leftChars="0"/>
    </w:pPr>
    <w:rPr>
      <w:rFonts w:asciiTheme="minorHAnsi" w:hAnsiTheme="minorHAnsi" w:eastAsiaTheme="minorEastAsia" w:cstheme="minorBidi"/>
      <w:sz w:val="20"/>
      <w:szCs w:val="20"/>
    </w:rPr>
  </w:style>
  <w:style w:type="paragraph" w:customStyle="1" w:styleId="38">
    <w:name w:val="WPSOffice手动目录 2"/>
    <w:qFormat/>
    <w:uiPriority w:val="0"/>
    <w:pPr>
      <w:ind w:leftChars="200"/>
    </w:pPr>
    <w:rPr>
      <w:rFonts w:asciiTheme="minorHAnsi" w:hAnsiTheme="minorHAnsi" w:eastAsiaTheme="minorEastAsia" w:cstheme="minorBidi"/>
      <w:sz w:val="20"/>
      <w:szCs w:val="20"/>
    </w:rPr>
  </w:style>
  <w:style w:type="character" w:customStyle="1" w:styleId="39">
    <w:name w:val="标题 2 Char"/>
    <w:basedOn w:val="19"/>
    <w:link w:val="6"/>
    <w:qFormat/>
    <w:uiPriority w:val="9"/>
    <w:rPr>
      <w:rFonts w:ascii="Calibri Light" w:hAnsi="Calibri Light" w:eastAsia="宋体" w:cs="Times New Roman"/>
      <w:b/>
      <w:bCs/>
      <w:sz w:val="32"/>
      <w:szCs w:val="32"/>
    </w:rPr>
  </w:style>
  <w:style w:type="character" w:customStyle="1" w:styleId="40">
    <w:name w:val="标题 1 Char"/>
    <w:basedOn w:val="19"/>
    <w:link w:val="5"/>
    <w:qFormat/>
    <w:uiPriority w:val="9"/>
    <w:rPr>
      <w:b/>
      <w:bCs/>
      <w:kern w:val="44"/>
      <w:sz w:val="44"/>
      <w:szCs w:val="44"/>
    </w:rPr>
  </w:style>
  <w:style w:type="character" w:customStyle="1" w:styleId="41">
    <w:name w:val="font41"/>
    <w:basedOn w:val="19"/>
    <w:qFormat/>
    <w:uiPriority w:val="0"/>
    <w:rPr>
      <w:rFonts w:hint="default" w:ascii="Arial" w:hAnsi="Arial" w:cs="Arial"/>
      <w:color w:val="000000"/>
      <w:sz w:val="18"/>
      <w:szCs w:val="18"/>
      <w:u w:val="none"/>
    </w:rPr>
  </w:style>
  <w:style w:type="character" w:customStyle="1" w:styleId="42">
    <w:name w:val="font21"/>
    <w:basedOn w:val="19"/>
    <w:qFormat/>
    <w:uiPriority w:val="0"/>
    <w:rPr>
      <w:rFonts w:hint="eastAsia" w:ascii="宋体" w:hAnsi="宋体" w:eastAsia="宋体" w:cs="宋体"/>
      <w:color w:val="000000"/>
      <w:sz w:val="18"/>
      <w:szCs w:val="18"/>
      <w:u w:val="none"/>
    </w:rPr>
  </w:style>
  <w:style w:type="character" w:customStyle="1" w:styleId="43">
    <w:name w:val="font61"/>
    <w:basedOn w:val="19"/>
    <w:qFormat/>
    <w:uiPriority w:val="0"/>
    <w:rPr>
      <w:rFonts w:hint="default" w:ascii="Arial" w:hAnsi="Arial" w:cs="Arial"/>
      <w:color w:val="333333"/>
      <w:sz w:val="18"/>
      <w:szCs w:val="18"/>
      <w:u w:val="none"/>
    </w:rPr>
  </w:style>
  <w:style w:type="character" w:customStyle="1" w:styleId="44">
    <w:name w:val="font71"/>
    <w:basedOn w:val="19"/>
    <w:qFormat/>
    <w:uiPriority w:val="0"/>
    <w:rPr>
      <w:rFonts w:hint="eastAsia" w:ascii="宋体" w:hAnsi="宋体" w:eastAsia="宋体" w:cs="宋体"/>
      <w:color w:val="333333"/>
      <w:sz w:val="18"/>
      <w:szCs w:val="18"/>
      <w:u w:val="none"/>
    </w:rPr>
  </w:style>
  <w:style w:type="character" w:customStyle="1" w:styleId="45">
    <w:name w:val="font31"/>
    <w:basedOn w:val="19"/>
    <w:qFormat/>
    <w:uiPriority w:val="0"/>
    <w:rPr>
      <w:rFonts w:hint="default" w:ascii="Arial" w:hAnsi="Arial" w:cs="Arial"/>
      <w:color w:val="333333"/>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0275"/>
          <c:y val="0.129666666666667"/>
          <c:w val="0.53675"/>
          <c:h val="0.715666666666667"/>
        </c:manualLayout>
      </c:layout>
      <c:pieChart>
        <c:varyColors val="1"/>
        <c:ser>
          <c:idx val="0"/>
          <c:order val="0"/>
          <c:tx>
            <c:strRef>
              <c:f>Sheet1!$B$1</c:f>
              <c:strCache>
                <c:ptCount val="1"/>
                <c:pt idx="0">
                  <c:v>收入决算结构图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manualLayout>
                  <c:x val="-0.0478942931923281"/>
                  <c:y val="0.0079473246806014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631973903479626"/>
                  <c:y val="0.0147332990397451"/>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一般公共预算财政拨款收入2099.88万元</c:v>
                </c:pt>
                <c:pt idx="1">
                  <c:v>其他收入40.97万元</c:v>
                </c:pt>
              </c:strCache>
            </c:strRef>
          </c:cat>
          <c:val>
            <c:numRef>
              <c:f>Sheet1!$B$2:$B$5</c:f>
              <c:numCache>
                <c:formatCode>General</c:formatCode>
                <c:ptCount val="4"/>
                <c:pt idx="0">
                  <c:v>2099.88</c:v>
                </c:pt>
                <c:pt idx="1">
                  <c:v>40.97</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egendEntry>
        <c:idx val="2"/>
        <c:delete val="1"/>
      </c:legendEntry>
      <c:legendEntry>
        <c:idx val="3"/>
        <c:delete val="1"/>
      </c:legendEntry>
      <c:layout>
        <c:manualLayout>
          <c:xMode val="edge"/>
          <c:yMode val="edge"/>
          <c:x val="0.592375"/>
          <c:y val="0.348166666666667"/>
          <c:w val="0.3945"/>
          <c:h val="0.186833333333333"/>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f49162d4-9c56-40ed-914e-2f7854b2b73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46</Pages>
  <Words>9913</Words>
  <Characters>12444</Characters>
  <Lines>54</Lines>
  <Paragraphs>15</Paragraphs>
  <TotalTime>18</TotalTime>
  <ScaleCrop>false</ScaleCrop>
  <LinksUpToDate>false</LinksUpToDate>
  <CharactersWithSpaces>12586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余厚继</cp:lastModifiedBy>
  <cp:lastPrinted>2025-10-29T01:33:00Z</cp:lastPrinted>
  <dcterms:modified xsi:type="dcterms:W3CDTF">2025-10-29T02:24:42Z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7905617C926742B1A428557580BBFEE2_13</vt:lpwstr>
  </property>
  <property fmtid="{D5CDD505-2E9C-101B-9397-08002B2CF9AE}" pid="4" name="KSOTemplateDocerSaveRecord">
    <vt:lpwstr>eyJoZGlkIjoiZGE2ZjUyMTVlZTUyN2I4ODM5MDIzMDEyMmQ0ODY0NzMiLCJ1c2VySWQiOiIxNDg0NTY2ODEzIn0=</vt:lpwstr>
  </property>
</Properties>
</file>