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19155">
      <w:pPr>
        <w:spacing w:line="600" w:lineRule="exact"/>
        <w:jc w:val="left"/>
        <w:outlineLvl w:val="9"/>
        <w:rPr>
          <w:rFonts w:ascii="方正小标宋简体" w:hAnsi="宋体" w:eastAsia="方正小标宋简体"/>
          <w:szCs w:val="21"/>
        </w:rPr>
      </w:pPr>
      <w:bookmarkStart w:id="0" w:name="_Toc15306267"/>
    </w:p>
    <w:p w14:paraId="784B294E">
      <w:pPr>
        <w:pStyle w:val="4"/>
        <w:spacing w:before="93"/>
      </w:pPr>
    </w:p>
    <w:p w14:paraId="137258E8">
      <w:pPr>
        <w:spacing w:line="600" w:lineRule="exact"/>
        <w:jc w:val="center"/>
        <w:outlineLvl w:val="9"/>
        <w:rPr>
          <w:rFonts w:ascii="方正小标宋简体" w:hAnsi="宋体" w:eastAsia="方正小标宋简体"/>
          <w:sz w:val="72"/>
          <w:szCs w:val="72"/>
        </w:rPr>
      </w:pPr>
    </w:p>
    <w:p w14:paraId="7169A605">
      <w:pPr>
        <w:spacing w:line="600" w:lineRule="exact"/>
        <w:jc w:val="center"/>
        <w:outlineLvl w:val="9"/>
        <w:rPr>
          <w:rFonts w:ascii="方正小标宋简体" w:hAnsi="宋体" w:eastAsia="方正小标宋简体"/>
          <w:sz w:val="72"/>
          <w:szCs w:val="72"/>
        </w:rPr>
      </w:pPr>
    </w:p>
    <w:bookmarkEnd w:id="0"/>
    <w:p w14:paraId="51BF124B">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7425"/>
      <w:bookmarkStart w:id="2" w:name="_Toc15396475"/>
      <w:bookmarkStart w:id="3" w:name="_Toc15377193"/>
      <w:bookmarkStart w:id="4" w:name="_Toc12301"/>
      <w:bookmarkStart w:id="5" w:name="_Toc15396597"/>
      <w:bookmarkStart w:id="6" w:name="_Toc15378441"/>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4</w:t>
      </w:r>
      <w:r>
        <w:rPr>
          <w:rFonts w:hint="eastAsia" w:ascii="方正小标宋简体" w:hAnsi="方正小标宋简体" w:eastAsia="方正小标宋简体" w:cs="方正小标宋简体"/>
          <w:sz w:val="72"/>
          <w:szCs w:val="72"/>
        </w:rPr>
        <w:t>年度</w:t>
      </w:r>
      <w:bookmarkEnd w:id="1"/>
      <w:bookmarkEnd w:id="2"/>
      <w:bookmarkEnd w:id="3"/>
      <w:bookmarkEnd w:id="4"/>
      <w:bookmarkEnd w:id="5"/>
      <w:bookmarkEnd w:id="6"/>
    </w:p>
    <w:p w14:paraId="40FC8B3D">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bookmarkStart w:id="7" w:name="_Toc13304"/>
      <w:bookmarkStart w:id="8" w:name="_Toc15396598"/>
      <w:bookmarkStart w:id="9" w:name="_Toc15377426"/>
      <w:bookmarkStart w:id="10" w:name="_Toc15378442"/>
      <w:bookmarkStart w:id="11" w:name="_Toc15377194"/>
      <w:bookmarkStart w:id="12" w:name="_Toc15396476"/>
      <w:r>
        <w:rPr>
          <w:rFonts w:hint="eastAsia" w:ascii="方正小标宋简体" w:hAnsi="方正小标宋简体" w:eastAsia="方正小标宋简体" w:cs="方正小标宋简体"/>
          <w:sz w:val="72"/>
          <w:szCs w:val="72"/>
        </w:rPr>
        <w:t>四川省</w:t>
      </w:r>
      <w:bookmarkStart w:id="13" w:name="_Toc15306268"/>
      <w:r>
        <w:rPr>
          <w:rFonts w:hint="eastAsia" w:ascii="方正小标宋简体" w:hAnsi="方正小标宋简体" w:eastAsia="方正小标宋简体" w:cs="方正小标宋简体"/>
          <w:sz w:val="72"/>
          <w:szCs w:val="72"/>
          <w:lang w:eastAsia="zh-CN"/>
        </w:rPr>
        <w:t>乐山市</w:t>
      </w:r>
      <w:r>
        <w:rPr>
          <w:rFonts w:hint="eastAsia" w:ascii="方正小标宋简体" w:hAnsi="方正小标宋简体" w:eastAsia="方正小标宋简体" w:cs="方正小标宋简体"/>
          <w:sz w:val="72"/>
          <w:szCs w:val="72"/>
        </w:rPr>
        <w:t>五通桥区</w:t>
      </w:r>
      <w:bookmarkEnd w:id="7"/>
    </w:p>
    <w:p w14:paraId="59271BF2">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bookmarkStart w:id="14" w:name="_Toc22609"/>
      <w:r>
        <w:rPr>
          <w:rFonts w:hint="eastAsia" w:ascii="方正小标宋简体" w:hAnsi="方正小标宋简体" w:eastAsia="方正小标宋简体" w:cs="方正小标宋简体"/>
          <w:sz w:val="72"/>
          <w:szCs w:val="72"/>
        </w:rPr>
        <w:t>综合行政执法局</w:t>
      </w:r>
      <w:bookmarkEnd w:id="14"/>
    </w:p>
    <w:p w14:paraId="0F0EB1F2">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5" w:name="_Toc32492"/>
      <w:r>
        <w:rPr>
          <w:rFonts w:hint="eastAsia" w:ascii="方正小标宋简体" w:hAnsi="方正小标宋简体" w:eastAsia="方正小标宋简体" w:cs="方正小标宋简体"/>
          <w:sz w:val="72"/>
          <w:szCs w:val="72"/>
        </w:rPr>
        <w:t>单位决算</w:t>
      </w:r>
      <w:bookmarkEnd w:id="8"/>
      <w:bookmarkEnd w:id="9"/>
      <w:bookmarkEnd w:id="10"/>
      <w:bookmarkEnd w:id="11"/>
      <w:bookmarkEnd w:id="12"/>
      <w:bookmarkEnd w:id="13"/>
      <w:bookmarkEnd w:id="15"/>
    </w:p>
    <w:p w14:paraId="51E534B7">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14:paraId="19941BCD">
      <w:pPr>
        <w:pStyle w:val="12"/>
        <w:rPr>
          <w:rFonts w:hint="eastAsia"/>
          <w:highlight w:val="none"/>
        </w:rPr>
      </w:pPr>
      <w:r>
        <w:rPr>
          <w:rFonts w:hint="eastAsia"/>
          <w:highlight w:val="none"/>
        </w:rPr>
        <w:t>公开时间：202</w:t>
      </w:r>
      <w:r>
        <w:rPr>
          <w:rFonts w:hint="eastAsia"/>
          <w:highlight w:val="none"/>
          <w:lang w:val="en-US" w:eastAsia="zh-CN"/>
        </w:rPr>
        <w:t>5</w:t>
      </w:r>
      <w:r>
        <w:rPr>
          <w:rFonts w:hint="eastAsia"/>
          <w:highlight w:val="none"/>
        </w:rPr>
        <w:t>年</w:t>
      </w:r>
      <w:r>
        <w:rPr>
          <w:rFonts w:hint="eastAsia"/>
          <w:highlight w:val="none"/>
          <w:lang w:val="en-US" w:eastAsia="zh-CN"/>
        </w:rPr>
        <w:t>10</w:t>
      </w:r>
      <w:r>
        <w:rPr>
          <w:rFonts w:hint="eastAsia"/>
          <w:highlight w:val="none"/>
        </w:rPr>
        <w:t>月</w:t>
      </w:r>
      <w:r>
        <w:rPr>
          <w:rFonts w:hint="eastAsia"/>
          <w:highlight w:val="none"/>
          <w:lang w:val="en-US" w:eastAsia="zh-CN"/>
        </w:rPr>
        <w:t>29</w:t>
      </w:r>
      <w:r>
        <w:rPr>
          <w:rFonts w:hint="eastAsia"/>
          <w:highlight w:val="none"/>
        </w:rPr>
        <w:t>日</w:t>
      </w:r>
      <w:bookmarkStart w:id="104" w:name="_GoBack"/>
      <w:bookmarkEnd w:id="104"/>
    </w:p>
    <w:p w14:paraId="02A2B4DB"/>
    <w:sdt>
      <w:sdtPr>
        <w:rPr>
          <w:rFonts w:ascii="宋体" w:hAnsi="宋体" w:eastAsia="宋体" w:cs="Times New Roman"/>
          <w:kern w:val="2"/>
          <w:sz w:val="21"/>
          <w:szCs w:val="24"/>
          <w:lang w:val="en-US" w:eastAsia="zh-CN" w:bidi="ar-SA"/>
        </w:rPr>
        <w:id w:val="147457852"/>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37811219">
          <w:pPr>
            <w:spacing w:before="0" w:beforeLines="0" w:after="0" w:afterLines="0" w:line="240" w:lineRule="auto"/>
            <w:ind w:left="0" w:leftChars="0" w:right="0" w:rightChars="0" w:firstLine="0" w:firstLineChars="0"/>
            <w:jc w:val="center"/>
            <w:rPr>
              <w:b/>
            </w:rPr>
          </w:pPr>
          <w:r>
            <w:fldChar w:fldCharType="begin"/>
          </w:r>
          <w:r>
            <w:instrText xml:space="preserve">TOC \o "1-2" \h \u </w:instrText>
          </w:r>
          <w:r>
            <w:fldChar w:fldCharType="separate"/>
          </w:r>
        </w:p>
        <w:p w14:paraId="5C309B1C">
          <w:pPr>
            <w:pStyle w:val="35"/>
            <w:tabs>
              <w:tab w:val="right" w:leader="dot" w:pos="8306"/>
            </w:tabs>
            <w:rPr>
              <w:b/>
            </w:rPr>
          </w:pPr>
          <w:r>
            <w:rPr>
              <w:b/>
            </w:rPr>
            <w:fldChar w:fldCharType="begin"/>
          </w:r>
          <w:r>
            <w:rPr>
              <w:b/>
            </w:rPr>
            <w:instrText xml:space="preserve"> HYPERLINK \l _Toc9300 </w:instrText>
          </w:r>
          <w:r>
            <w:rPr>
              <w:b/>
            </w:rPr>
            <w:fldChar w:fldCharType="separate"/>
          </w:r>
          <w:r>
            <w:rPr>
              <w:rFonts w:hint="eastAsia" w:ascii="黑体" w:hAnsi="黑体" w:eastAsia="黑体"/>
              <w:b/>
            </w:rPr>
            <w:t>第一部分 单位</w:t>
          </w:r>
          <w:r>
            <w:rPr>
              <w:rFonts w:hint="eastAsia" w:ascii="黑体" w:hAnsi="黑体" w:eastAsia="黑体"/>
              <w:b/>
              <w:bCs w:val="0"/>
            </w:rPr>
            <w:t>概况</w:t>
          </w:r>
          <w:r>
            <w:rPr>
              <w:b/>
            </w:rPr>
            <w:tab/>
          </w:r>
          <w:r>
            <w:rPr>
              <w:b/>
            </w:rPr>
            <w:fldChar w:fldCharType="begin"/>
          </w:r>
          <w:r>
            <w:rPr>
              <w:b/>
            </w:rPr>
            <w:instrText xml:space="preserve"> PAGEREF _Toc9300 \h </w:instrText>
          </w:r>
          <w:r>
            <w:rPr>
              <w:b/>
            </w:rPr>
            <w:fldChar w:fldCharType="separate"/>
          </w:r>
          <w:r>
            <w:rPr>
              <w:b/>
            </w:rPr>
            <w:t>3</w:t>
          </w:r>
          <w:r>
            <w:rPr>
              <w:b/>
            </w:rPr>
            <w:fldChar w:fldCharType="end"/>
          </w:r>
          <w:r>
            <w:rPr>
              <w:b/>
            </w:rPr>
            <w:fldChar w:fldCharType="end"/>
          </w:r>
        </w:p>
        <w:p w14:paraId="7D28D09E">
          <w:pPr>
            <w:pStyle w:val="36"/>
            <w:tabs>
              <w:tab w:val="right" w:leader="dot" w:pos="8306"/>
            </w:tabs>
          </w:pPr>
          <w:r>
            <w:fldChar w:fldCharType="begin"/>
          </w:r>
          <w:r>
            <w:instrText xml:space="preserve"> HYPERLINK \l _Toc11230 </w:instrText>
          </w:r>
          <w:r>
            <w:fldChar w:fldCharType="separate"/>
          </w:r>
          <w:r>
            <w:rPr>
              <w:rFonts w:hint="eastAsia" w:ascii="黑体" w:hAnsi="黑体" w:eastAsia="黑体"/>
              <w:bCs w:val="0"/>
            </w:rPr>
            <w:t>一、 主要职责</w:t>
          </w:r>
          <w:r>
            <w:tab/>
          </w:r>
          <w:r>
            <w:fldChar w:fldCharType="begin"/>
          </w:r>
          <w:r>
            <w:instrText xml:space="preserve"> PAGEREF _Toc11230 \h </w:instrText>
          </w:r>
          <w:r>
            <w:fldChar w:fldCharType="separate"/>
          </w:r>
          <w:r>
            <w:t>3</w:t>
          </w:r>
          <w:r>
            <w:fldChar w:fldCharType="end"/>
          </w:r>
          <w:r>
            <w:fldChar w:fldCharType="end"/>
          </w:r>
        </w:p>
        <w:p w14:paraId="6CE841C3">
          <w:pPr>
            <w:pStyle w:val="36"/>
            <w:tabs>
              <w:tab w:val="right" w:leader="dot" w:pos="8306"/>
            </w:tabs>
          </w:pPr>
          <w:r>
            <w:fldChar w:fldCharType="begin"/>
          </w:r>
          <w:r>
            <w:instrText xml:space="preserve"> HYPERLINK \l _Toc9131 </w:instrText>
          </w:r>
          <w:r>
            <w:fldChar w:fldCharType="separate"/>
          </w:r>
          <w:r>
            <w:rPr>
              <w:rFonts w:hint="eastAsia" w:ascii="黑体" w:hAnsi="黑体" w:eastAsia="黑体"/>
            </w:rPr>
            <w:t>二、机构设置</w:t>
          </w:r>
          <w:r>
            <w:tab/>
          </w:r>
          <w:r>
            <w:fldChar w:fldCharType="begin"/>
          </w:r>
          <w:r>
            <w:instrText xml:space="preserve"> PAGEREF _Toc9131 \h </w:instrText>
          </w:r>
          <w:r>
            <w:fldChar w:fldCharType="separate"/>
          </w:r>
          <w:r>
            <w:t>3</w:t>
          </w:r>
          <w:r>
            <w:fldChar w:fldCharType="end"/>
          </w:r>
          <w:r>
            <w:fldChar w:fldCharType="end"/>
          </w:r>
        </w:p>
        <w:p w14:paraId="6E80AEF3">
          <w:pPr>
            <w:pStyle w:val="35"/>
            <w:tabs>
              <w:tab w:val="right" w:leader="dot" w:pos="8306"/>
            </w:tabs>
            <w:rPr>
              <w:b/>
            </w:rPr>
          </w:pPr>
          <w:r>
            <w:rPr>
              <w:b/>
            </w:rPr>
            <w:fldChar w:fldCharType="begin"/>
          </w:r>
          <w:r>
            <w:rPr>
              <w:b/>
            </w:rPr>
            <w:instrText xml:space="preserve"> HYPERLINK \l _Toc28661 </w:instrText>
          </w:r>
          <w:r>
            <w:rPr>
              <w:b/>
            </w:rPr>
            <w:fldChar w:fldCharType="separate"/>
          </w:r>
          <w:r>
            <w:rPr>
              <w:rFonts w:hint="eastAsia" w:ascii="黑体" w:hAnsi="黑体" w:eastAsia="黑体"/>
              <w:b/>
            </w:rPr>
            <w:t xml:space="preserve">第二部分 </w:t>
          </w:r>
          <w:r>
            <w:rPr>
              <w:rFonts w:hint="eastAsia" w:ascii="黑体" w:hAnsi="黑体" w:eastAsia="黑体"/>
              <w:b/>
              <w:lang w:eastAsia="zh-CN"/>
            </w:rPr>
            <w:t>2024</w:t>
          </w:r>
          <w:r>
            <w:rPr>
              <w:rFonts w:hint="eastAsia" w:ascii="黑体" w:hAnsi="黑体" w:eastAsia="黑体"/>
              <w:b/>
            </w:rPr>
            <w:t>年度</w:t>
          </w:r>
          <w:r>
            <w:rPr>
              <w:rFonts w:hint="eastAsia" w:ascii="黑体" w:hAnsi="黑体" w:eastAsia="黑体"/>
              <w:b/>
              <w:bCs/>
            </w:rPr>
            <w:t>单位决算情况说明</w:t>
          </w:r>
          <w:r>
            <w:rPr>
              <w:b/>
            </w:rPr>
            <w:tab/>
          </w:r>
          <w:r>
            <w:rPr>
              <w:b/>
            </w:rPr>
            <w:fldChar w:fldCharType="begin"/>
          </w:r>
          <w:r>
            <w:rPr>
              <w:b/>
            </w:rPr>
            <w:instrText xml:space="preserve"> PAGEREF _Toc28661 \h </w:instrText>
          </w:r>
          <w:r>
            <w:rPr>
              <w:b/>
            </w:rPr>
            <w:fldChar w:fldCharType="separate"/>
          </w:r>
          <w:r>
            <w:rPr>
              <w:b/>
            </w:rPr>
            <w:t>4</w:t>
          </w:r>
          <w:r>
            <w:rPr>
              <w:b/>
            </w:rPr>
            <w:fldChar w:fldCharType="end"/>
          </w:r>
          <w:r>
            <w:rPr>
              <w:b/>
            </w:rPr>
            <w:fldChar w:fldCharType="end"/>
          </w:r>
        </w:p>
        <w:p w14:paraId="28F9CE5A">
          <w:pPr>
            <w:pStyle w:val="36"/>
            <w:tabs>
              <w:tab w:val="right" w:leader="dot" w:pos="8306"/>
            </w:tabs>
          </w:pPr>
          <w:r>
            <w:fldChar w:fldCharType="begin"/>
          </w:r>
          <w:r>
            <w:instrText xml:space="preserve"> HYPERLINK \l _Toc4920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_Toc4920 \h </w:instrText>
          </w:r>
          <w:r>
            <w:fldChar w:fldCharType="separate"/>
          </w:r>
          <w:r>
            <w:t>4</w:t>
          </w:r>
          <w:r>
            <w:fldChar w:fldCharType="end"/>
          </w:r>
          <w:r>
            <w:fldChar w:fldCharType="end"/>
          </w:r>
        </w:p>
        <w:p w14:paraId="535824AF">
          <w:pPr>
            <w:pStyle w:val="36"/>
            <w:tabs>
              <w:tab w:val="right" w:leader="dot" w:pos="8306"/>
            </w:tabs>
          </w:pPr>
          <w:r>
            <w:fldChar w:fldCharType="begin"/>
          </w:r>
          <w:r>
            <w:instrText xml:space="preserve"> HYPERLINK \l _Toc26486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rPr>
              <w:rFonts w:hint="eastAsia"/>
              <w:lang w:val="en-US" w:eastAsia="zh-CN"/>
            </w:rPr>
            <w:t>5</w:t>
          </w:r>
          <w:r>
            <w:fldChar w:fldCharType="end"/>
          </w:r>
        </w:p>
        <w:p w14:paraId="70E951E3">
          <w:pPr>
            <w:pStyle w:val="36"/>
            <w:tabs>
              <w:tab w:val="right" w:leader="dot" w:pos="8306"/>
            </w:tabs>
          </w:pPr>
          <w:r>
            <w:fldChar w:fldCharType="begin"/>
          </w:r>
          <w:r>
            <w:instrText xml:space="preserve"> HYPERLINK \l _Toc24026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_Toc24026 \h </w:instrText>
          </w:r>
          <w:r>
            <w:fldChar w:fldCharType="separate"/>
          </w:r>
          <w:r>
            <w:t>5</w:t>
          </w:r>
          <w:r>
            <w:fldChar w:fldCharType="end"/>
          </w:r>
          <w:r>
            <w:fldChar w:fldCharType="end"/>
          </w:r>
        </w:p>
        <w:p w14:paraId="4596BE79">
          <w:pPr>
            <w:pStyle w:val="36"/>
            <w:tabs>
              <w:tab w:val="right" w:leader="dot" w:pos="8306"/>
            </w:tabs>
          </w:pPr>
          <w:r>
            <w:fldChar w:fldCharType="begin"/>
          </w:r>
          <w:r>
            <w:instrText xml:space="preserve"> HYPERLINK \l _Toc20346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_Toc20346 \h </w:instrText>
          </w:r>
          <w:r>
            <w:fldChar w:fldCharType="separate"/>
          </w:r>
          <w:r>
            <w:t>6</w:t>
          </w:r>
          <w:r>
            <w:fldChar w:fldCharType="end"/>
          </w:r>
          <w:r>
            <w:fldChar w:fldCharType="end"/>
          </w:r>
        </w:p>
        <w:p w14:paraId="6190FAB9">
          <w:pPr>
            <w:pStyle w:val="36"/>
            <w:tabs>
              <w:tab w:val="right" w:leader="dot" w:pos="8306"/>
            </w:tabs>
          </w:pPr>
          <w:r>
            <w:fldChar w:fldCharType="begin"/>
          </w:r>
          <w:r>
            <w:instrText xml:space="preserve"> HYPERLINK \l _Toc31411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_Toc31411 \h </w:instrText>
          </w:r>
          <w:r>
            <w:fldChar w:fldCharType="separate"/>
          </w:r>
          <w:r>
            <w:t>7</w:t>
          </w:r>
          <w:r>
            <w:fldChar w:fldCharType="end"/>
          </w:r>
          <w:r>
            <w:fldChar w:fldCharType="end"/>
          </w:r>
        </w:p>
        <w:p w14:paraId="2C6CEBC2">
          <w:pPr>
            <w:pStyle w:val="36"/>
            <w:tabs>
              <w:tab w:val="right" w:leader="dot" w:pos="8306"/>
            </w:tabs>
          </w:pPr>
          <w:r>
            <w:fldChar w:fldCharType="begin"/>
          </w:r>
          <w:r>
            <w:instrText xml:space="preserve"> HYPERLINK \l _Toc2927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_Toc2927 \h </w:instrText>
          </w:r>
          <w:r>
            <w:fldChar w:fldCharType="separate"/>
          </w:r>
          <w:r>
            <w:t>11</w:t>
          </w:r>
          <w:r>
            <w:fldChar w:fldCharType="end"/>
          </w:r>
          <w:r>
            <w:fldChar w:fldCharType="end"/>
          </w:r>
        </w:p>
        <w:p w14:paraId="3395100A">
          <w:pPr>
            <w:pStyle w:val="36"/>
            <w:tabs>
              <w:tab w:val="right" w:leader="dot" w:pos="8306"/>
            </w:tabs>
          </w:pPr>
          <w:r>
            <w:fldChar w:fldCharType="begin"/>
          </w:r>
          <w:r>
            <w:instrText xml:space="preserve"> HYPERLINK \l _Toc13879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_Toc13879 \h </w:instrText>
          </w:r>
          <w:r>
            <w:fldChar w:fldCharType="separate"/>
          </w:r>
          <w:r>
            <w:t>11</w:t>
          </w:r>
          <w:r>
            <w:fldChar w:fldCharType="end"/>
          </w:r>
          <w:r>
            <w:fldChar w:fldCharType="end"/>
          </w:r>
        </w:p>
        <w:p w14:paraId="3777D5B7">
          <w:pPr>
            <w:pStyle w:val="36"/>
            <w:tabs>
              <w:tab w:val="right" w:leader="dot" w:pos="8306"/>
            </w:tabs>
            <w:rPr>
              <w:rFonts w:hint="eastAsia" w:eastAsiaTheme="minorEastAsia"/>
              <w:lang w:val="en-US" w:eastAsia="zh-CN"/>
            </w:rPr>
          </w:pPr>
          <w:r>
            <w:fldChar w:fldCharType="begin"/>
          </w:r>
          <w:r>
            <w:instrText xml:space="preserve"> HYPERLINK \l _Toc12649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rPr>
              <w:rFonts w:hint="eastAsia"/>
              <w:lang w:val="en-US" w:eastAsia="zh-CN"/>
            </w:rPr>
            <w:t>1</w:t>
          </w:r>
          <w:r>
            <w:fldChar w:fldCharType="end"/>
          </w:r>
          <w:r>
            <w:rPr>
              <w:rFonts w:hint="eastAsia"/>
              <w:lang w:val="en-US" w:eastAsia="zh-CN"/>
            </w:rPr>
            <w:t>4</w:t>
          </w:r>
        </w:p>
        <w:p w14:paraId="11765156">
          <w:pPr>
            <w:pStyle w:val="36"/>
            <w:tabs>
              <w:tab w:val="right" w:leader="dot" w:pos="8306"/>
            </w:tabs>
            <w:rPr>
              <w:rFonts w:hint="eastAsia" w:eastAsiaTheme="minorEastAsia"/>
              <w:lang w:val="en-US" w:eastAsia="zh-CN"/>
            </w:rPr>
          </w:pPr>
          <w:r>
            <w:fldChar w:fldCharType="begin"/>
          </w:r>
          <w:r>
            <w:instrText xml:space="preserve"> HYPERLINK \l _Toc32034 </w:instrText>
          </w:r>
          <w:r>
            <w:fldChar w:fldCharType="separate"/>
          </w:r>
          <w:r>
            <w:rPr>
              <w:rFonts w:hint="eastAsia" w:ascii="黑体" w:hAnsi="黑体" w:eastAsia="黑体"/>
            </w:rPr>
            <w:t>九、 国有资本经营预算支出决算情况说明</w:t>
          </w:r>
          <w:r>
            <w:tab/>
          </w:r>
          <w:r>
            <w:rPr>
              <w:rFonts w:hint="eastAsia"/>
              <w:lang w:val="en-US" w:eastAsia="zh-CN"/>
            </w:rPr>
            <w:t>1</w:t>
          </w:r>
          <w:r>
            <w:fldChar w:fldCharType="end"/>
          </w:r>
          <w:r>
            <w:rPr>
              <w:rFonts w:hint="eastAsia"/>
              <w:lang w:val="en-US" w:eastAsia="zh-CN"/>
            </w:rPr>
            <w:t>4</w:t>
          </w:r>
        </w:p>
        <w:p w14:paraId="60612CDA">
          <w:pPr>
            <w:pStyle w:val="36"/>
            <w:tabs>
              <w:tab w:val="right" w:leader="dot" w:pos="8306"/>
            </w:tabs>
            <w:rPr>
              <w:rFonts w:hint="eastAsia" w:eastAsiaTheme="minorEastAsia"/>
              <w:lang w:val="en-US" w:eastAsia="zh-CN"/>
            </w:rPr>
          </w:pPr>
          <w:r>
            <w:fldChar w:fldCharType="begin"/>
          </w:r>
          <w:r>
            <w:instrText xml:space="preserve"> HYPERLINK \l _Toc4666 </w:instrText>
          </w:r>
          <w:r>
            <w:fldChar w:fldCharType="separate"/>
          </w:r>
          <w:r>
            <w:rPr>
              <w:rFonts w:hint="eastAsia" w:ascii="黑体" w:hAnsi="黑体" w:eastAsia="黑体"/>
            </w:rPr>
            <w:t>十、 其他重要事项的情况说明</w:t>
          </w:r>
          <w:r>
            <w:tab/>
          </w:r>
          <w:r>
            <w:rPr>
              <w:rFonts w:hint="eastAsia"/>
              <w:lang w:val="en-US" w:eastAsia="zh-CN"/>
            </w:rPr>
            <w:t>1</w:t>
          </w:r>
          <w:r>
            <w:fldChar w:fldCharType="end"/>
          </w:r>
          <w:r>
            <w:rPr>
              <w:rFonts w:hint="eastAsia"/>
              <w:lang w:val="en-US" w:eastAsia="zh-CN"/>
            </w:rPr>
            <w:t>4</w:t>
          </w:r>
        </w:p>
        <w:p w14:paraId="015B9437">
          <w:pPr>
            <w:pStyle w:val="35"/>
            <w:tabs>
              <w:tab w:val="right" w:leader="dot" w:pos="8306"/>
            </w:tabs>
            <w:rPr>
              <w:b/>
            </w:rPr>
          </w:pPr>
          <w:r>
            <w:rPr>
              <w:b/>
            </w:rPr>
            <w:fldChar w:fldCharType="begin"/>
          </w:r>
          <w:r>
            <w:rPr>
              <w:b/>
            </w:rPr>
            <w:instrText xml:space="preserve"> HYPERLINK \l _Toc6547 </w:instrText>
          </w:r>
          <w:r>
            <w:rPr>
              <w:b/>
            </w:rPr>
            <w:fldChar w:fldCharType="separate"/>
          </w:r>
          <w:r>
            <w:rPr>
              <w:rFonts w:hint="eastAsia" w:ascii="黑体" w:hAnsi="黑体" w:eastAsia="黑体" w:cs="黑体"/>
              <w:b/>
              <w:szCs w:val="44"/>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_Toc6547 \h </w:instrText>
          </w:r>
          <w:r>
            <w:rPr>
              <w:b/>
            </w:rPr>
            <w:fldChar w:fldCharType="separate"/>
          </w:r>
          <w:r>
            <w:rPr>
              <w:b/>
            </w:rPr>
            <w:t>16</w:t>
          </w:r>
          <w:r>
            <w:rPr>
              <w:b/>
            </w:rPr>
            <w:fldChar w:fldCharType="end"/>
          </w:r>
          <w:r>
            <w:rPr>
              <w:b/>
            </w:rPr>
            <w:fldChar w:fldCharType="end"/>
          </w:r>
        </w:p>
        <w:p w14:paraId="1A1B6DFF">
          <w:pPr>
            <w:pStyle w:val="35"/>
            <w:tabs>
              <w:tab w:val="right" w:leader="dot" w:pos="8306"/>
            </w:tabs>
          </w:pPr>
          <w:r>
            <w:rPr>
              <w:b/>
            </w:rPr>
            <w:fldChar w:fldCharType="begin"/>
          </w:r>
          <w:r>
            <w:rPr>
              <w:b/>
            </w:rPr>
            <w:instrText xml:space="preserve"> HYPERLINK \l _Toc24919 </w:instrText>
          </w:r>
          <w:r>
            <w:rPr>
              <w:b/>
            </w:rPr>
            <w:fldChar w:fldCharType="separate"/>
          </w:r>
          <w:r>
            <w:rPr>
              <w:rFonts w:hint="eastAsia" w:ascii="黑体" w:hAnsi="黑体" w:eastAsia="黑体"/>
              <w:b/>
              <w:szCs w:val="44"/>
            </w:rPr>
            <w:t>第</w:t>
          </w:r>
          <w:r>
            <w:rPr>
              <w:rFonts w:hint="eastAsia" w:ascii="黑体" w:hAnsi="黑体" w:eastAsia="黑体"/>
              <w:b/>
            </w:rPr>
            <w:t>四部分 附件</w:t>
          </w:r>
          <w:r>
            <w:rPr>
              <w:b/>
            </w:rPr>
            <w:tab/>
          </w:r>
          <w:r>
            <w:rPr>
              <w:b/>
            </w:rPr>
            <w:fldChar w:fldCharType="begin"/>
          </w:r>
          <w:r>
            <w:rPr>
              <w:b/>
            </w:rPr>
            <w:instrText xml:space="preserve"> PAGEREF _Toc24919 \h </w:instrText>
          </w:r>
          <w:r>
            <w:rPr>
              <w:b/>
            </w:rPr>
            <w:fldChar w:fldCharType="separate"/>
          </w:r>
          <w:r>
            <w:rPr>
              <w:b/>
            </w:rPr>
            <w:t>20</w:t>
          </w:r>
          <w:r>
            <w:rPr>
              <w:b/>
            </w:rPr>
            <w:fldChar w:fldCharType="end"/>
          </w:r>
          <w:r>
            <w:rPr>
              <w:b/>
            </w:rPr>
            <w:fldChar w:fldCharType="end"/>
          </w:r>
        </w:p>
        <w:p w14:paraId="1E39F394">
          <w:pPr>
            <w:pStyle w:val="35"/>
            <w:tabs>
              <w:tab w:val="right" w:leader="dot" w:pos="8306"/>
            </w:tabs>
            <w:rPr>
              <w:b/>
            </w:rPr>
          </w:pPr>
          <w:r>
            <w:rPr>
              <w:b/>
            </w:rPr>
            <w:fldChar w:fldCharType="begin"/>
          </w:r>
          <w:r>
            <w:rPr>
              <w:b/>
            </w:rPr>
            <w:instrText xml:space="preserve"> HYPERLINK \l _Toc30591 </w:instrText>
          </w:r>
          <w:r>
            <w:rPr>
              <w:b/>
            </w:rPr>
            <w:fldChar w:fldCharType="separate"/>
          </w:r>
          <w:r>
            <w:rPr>
              <w:rFonts w:hint="eastAsia" w:ascii="黑体" w:hAnsi="黑体" w:eastAsia="黑体"/>
              <w:b/>
              <w:szCs w:val="44"/>
            </w:rPr>
            <w:t>第</w:t>
          </w:r>
          <w:r>
            <w:rPr>
              <w:rFonts w:hint="eastAsia" w:ascii="黑体" w:hAnsi="黑体" w:eastAsia="黑体"/>
              <w:b/>
            </w:rPr>
            <w:t>五部分 附表</w:t>
          </w:r>
          <w:r>
            <w:rPr>
              <w:b/>
            </w:rPr>
            <w:tab/>
          </w:r>
          <w:r>
            <w:rPr>
              <w:b/>
            </w:rPr>
            <w:fldChar w:fldCharType="begin"/>
          </w:r>
          <w:r>
            <w:rPr>
              <w:b/>
            </w:rPr>
            <w:instrText xml:space="preserve"> PAGEREF _Toc30591 \h </w:instrText>
          </w:r>
          <w:r>
            <w:rPr>
              <w:b/>
            </w:rPr>
            <w:fldChar w:fldCharType="separate"/>
          </w:r>
          <w:r>
            <w:rPr>
              <w:b/>
            </w:rPr>
            <w:t>21</w:t>
          </w:r>
          <w:r>
            <w:rPr>
              <w:b/>
            </w:rPr>
            <w:fldChar w:fldCharType="end"/>
          </w:r>
          <w:r>
            <w:rPr>
              <w:b/>
            </w:rPr>
            <w:fldChar w:fldCharType="end"/>
          </w:r>
        </w:p>
        <w:p w14:paraId="352BACDC">
          <w:pPr>
            <w:pStyle w:val="36"/>
            <w:tabs>
              <w:tab w:val="right" w:leader="dot" w:pos="8306"/>
            </w:tabs>
            <w:rPr>
              <w:b/>
              <w:bCs/>
            </w:rPr>
          </w:pPr>
          <w:r>
            <w:rPr>
              <w:b/>
              <w:bCs/>
            </w:rPr>
            <w:fldChar w:fldCharType="begin"/>
          </w:r>
          <w:r>
            <w:rPr>
              <w:b/>
              <w:bCs/>
            </w:rPr>
            <w:instrText xml:space="preserve"> HYPERLINK \l _Toc17998 </w:instrText>
          </w:r>
          <w:r>
            <w:rPr>
              <w:b/>
              <w:bCs/>
            </w:rPr>
            <w:fldChar w:fldCharType="separate"/>
          </w:r>
          <w:r>
            <w:rPr>
              <w:rFonts w:hint="eastAsia" w:ascii="仿宋" w:hAnsi="仿宋" w:eastAsia="仿宋"/>
              <w:b/>
              <w:bCs/>
            </w:rPr>
            <w:t>一、收入支出决算总表</w:t>
          </w:r>
          <w:r>
            <w:rPr>
              <w:b/>
              <w:bCs/>
            </w:rPr>
            <w:tab/>
          </w:r>
          <w:r>
            <w:rPr>
              <w:b/>
              <w:bCs/>
            </w:rPr>
            <w:fldChar w:fldCharType="begin"/>
          </w:r>
          <w:r>
            <w:rPr>
              <w:b/>
              <w:bCs/>
            </w:rPr>
            <w:instrText xml:space="preserve"> PAGEREF _Toc17998 \h </w:instrText>
          </w:r>
          <w:r>
            <w:rPr>
              <w:b/>
              <w:bCs/>
            </w:rPr>
            <w:fldChar w:fldCharType="separate"/>
          </w:r>
          <w:r>
            <w:rPr>
              <w:b/>
              <w:bCs/>
            </w:rPr>
            <w:t>21</w:t>
          </w:r>
          <w:r>
            <w:rPr>
              <w:b/>
              <w:bCs/>
            </w:rPr>
            <w:fldChar w:fldCharType="end"/>
          </w:r>
          <w:r>
            <w:rPr>
              <w:b/>
              <w:bCs/>
            </w:rPr>
            <w:fldChar w:fldCharType="end"/>
          </w:r>
        </w:p>
        <w:p w14:paraId="4390F7BB">
          <w:pPr>
            <w:pStyle w:val="36"/>
            <w:tabs>
              <w:tab w:val="right" w:leader="dot" w:pos="8306"/>
            </w:tabs>
            <w:rPr>
              <w:b/>
              <w:bCs/>
            </w:rPr>
          </w:pPr>
          <w:r>
            <w:rPr>
              <w:b/>
              <w:bCs/>
            </w:rPr>
            <w:fldChar w:fldCharType="begin"/>
          </w:r>
          <w:r>
            <w:rPr>
              <w:b/>
              <w:bCs/>
            </w:rPr>
            <w:instrText xml:space="preserve"> HYPERLINK \l _Toc27341 </w:instrText>
          </w:r>
          <w:r>
            <w:rPr>
              <w:b/>
              <w:bCs/>
            </w:rPr>
            <w:fldChar w:fldCharType="separate"/>
          </w:r>
          <w:r>
            <w:rPr>
              <w:rFonts w:hint="eastAsia" w:ascii="仿宋" w:hAnsi="仿宋" w:eastAsia="仿宋"/>
              <w:b/>
              <w:bCs/>
            </w:rPr>
            <w:t>二、收入决算表</w:t>
          </w:r>
          <w:r>
            <w:rPr>
              <w:b/>
              <w:bCs/>
            </w:rPr>
            <w:tab/>
          </w:r>
          <w:r>
            <w:rPr>
              <w:b/>
              <w:bCs/>
            </w:rPr>
            <w:fldChar w:fldCharType="begin"/>
          </w:r>
          <w:r>
            <w:rPr>
              <w:b/>
              <w:bCs/>
            </w:rPr>
            <w:instrText xml:space="preserve"> PAGEREF _Toc27341 \h </w:instrText>
          </w:r>
          <w:r>
            <w:rPr>
              <w:b/>
              <w:bCs/>
            </w:rPr>
            <w:fldChar w:fldCharType="separate"/>
          </w:r>
          <w:r>
            <w:rPr>
              <w:b/>
              <w:bCs/>
            </w:rPr>
            <w:t>21</w:t>
          </w:r>
          <w:r>
            <w:rPr>
              <w:b/>
              <w:bCs/>
            </w:rPr>
            <w:fldChar w:fldCharType="end"/>
          </w:r>
          <w:r>
            <w:rPr>
              <w:b/>
              <w:bCs/>
            </w:rPr>
            <w:fldChar w:fldCharType="end"/>
          </w:r>
        </w:p>
        <w:p w14:paraId="595DF9F2">
          <w:pPr>
            <w:pStyle w:val="36"/>
            <w:tabs>
              <w:tab w:val="right" w:leader="dot" w:pos="8306"/>
            </w:tabs>
            <w:rPr>
              <w:b/>
              <w:bCs/>
            </w:rPr>
          </w:pPr>
          <w:r>
            <w:rPr>
              <w:b/>
              <w:bCs/>
            </w:rPr>
            <w:fldChar w:fldCharType="begin"/>
          </w:r>
          <w:r>
            <w:rPr>
              <w:b/>
              <w:bCs/>
            </w:rPr>
            <w:instrText xml:space="preserve"> HYPERLINK \l _Toc24700 </w:instrText>
          </w:r>
          <w:r>
            <w:rPr>
              <w:b/>
              <w:bCs/>
            </w:rPr>
            <w:fldChar w:fldCharType="separate"/>
          </w:r>
          <w:r>
            <w:rPr>
              <w:rFonts w:hint="eastAsia" w:ascii="仿宋" w:hAnsi="仿宋" w:eastAsia="仿宋"/>
              <w:b/>
              <w:bCs/>
            </w:rPr>
            <w:t>三、支出决算表</w:t>
          </w:r>
          <w:r>
            <w:rPr>
              <w:b/>
              <w:bCs/>
            </w:rPr>
            <w:tab/>
          </w:r>
          <w:r>
            <w:rPr>
              <w:b/>
              <w:bCs/>
            </w:rPr>
            <w:fldChar w:fldCharType="begin"/>
          </w:r>
          <w:r>
            <w:rPr>
              <w:b/>
              <w:bCs/>
            </w:rPr>
            <w:instrText xml:space="preserve"> PAGEREF _Toc24700 \h </w:instrText>
          </w:r>
          <w:r>
            <w:rPr>
              <w:b/>
              <w:bCs/>
            </w:rPr>
            <w:fldChar w:fldCharType="separate"/>
          </w:r>
          <w:r>
            <w:rPr>
              <w:b/>
              <w:bCs/>
            </w:rPr>
            <w:t>21</w:t>
          </w:r>
          <w:r>
            <w:rPr>
              <w:b/>
              <w:bCs/>
            </w:rPr>
            <w:fldChar w:fldCharType="end"/>
          </w:r>
          <w:r>
            <w:rPr>
              <w:b/>
              <w:bCs/>
            </w:rPr>
            <w:fldChar w:fldCharType="end"/>
          </w:r>
        </w:p>
        <w:p w14:paraId="2A9C8E9F">
          <w:pPr>
            <w:pStyle w:val="36"/>
            <w:tabs>
              <w:tab w:val="right" w:leader="dot" w:pos="8306"/>
            </w:tabs>
            <w:rPr>
              <w:b/>
              <w:bCs/>
            </w:rPr>
          </w:pPr>
          <w:r>
            <w:rPr>
              <w:b/>
              <w:bCs/>
            </w:rPr>
            <w:fldChar w:fldCharType="begin"/>
          </w:r>
          <w:r>
            <w:rPr>
              <w:b/>
              <w:bCs/>
            </w:rPr>
            <w:instrText xml:space="preserve"> HYPERLINK \l _Toc21537 </w:instrText>
          </w:r>
          <w:r>
            <w:rPr>
              <w:b/>
              <w:bCs/>
            </w:rPr>
            <w:fldChar w:fldCharType="separate"/>
          </w:r>
          <w:r>
            <w:rPr>
              <w:rFonts w:hint="eastAsia" w:ascii="仿宋" w:hAnsi="仿宋" w:eastAsia="仿宋"/>
              <w:b/>
              <w:bCs/>
            </w:rPr>
            <w:t>四、财政拨款收入支出决算总表</w:t>
          </w:r>
          <w:r>
            <w:rPr>
              <w:b/>
              <w:bCs/>
            </w:rPr>
            <w:tab/>
          </w:r>
          <w:r>
            <w:rPr>
              <w:b/>
              <w:bCs/>
            </w:rPr>
            <w:fldChar w:fldCharType="begin"/>
          </w:r>
          <w:r>
            <w:rPr>
              <w:b/>
              <w:bCs/>
            </w:rPr>
            <w:instrText xml:space="preserve"> PAGEREF _Toc21537 \h </w:instrText>
          </w:r>
          <w:r>
            <w:rPr>
              <w:b/>
              <w:bCs/>
            </w:rPr>
            <w:fldChar w:fldCharType="separate"/>
          </w:r>
          <w:r>
            <w:rPr>
              <w:b/>
              <w:bCs/>
            </w:rPr>
            <w:t>21</w:t>
          </w:r>
          <w:r>
            <w:rPr>
              <w:b/>
              <w:bCs/>
            </w:rPr>
            <w:fldChar w:fldCharType="end"/>
          </w:r>
          <w:r>
            <w:rPr>
              <w:b/>
              <w:bCs/>
            </w:rPr>
            <w:fldChar w:fldCharType="end"/>
          </w:r>
        </w:p>
        <w:p w14:paraId="29658CB9">
          <w:pPr>
            <w:pStyle w:val="36"/>
            <w:tabs>
              <w:tab w:val="right" w:leader="dot" w:pos="8306"/>
            </w:tabs>
            <w:rPr>
              <w:b/>
              <w:bCs/>
            </w:rPr>
          </w:pPr>
          <w:r>
            <w:rPr>
              <w:b/>
              <w:bCs/>
            </w:rPr>
            <w:fldChar w:fldCharType="begin"/>
          </w:r>
          <w:r>
            <w:rPr>
              <w:b/>
              <w:bCs/>
            </w:rPr>
            <w:instrText xml:space="preserve"> HYPERLINK \l _Toc16520 </w:instrText>
          </w:r>
          <w:r>
            <w:rPr>
              <w:b/>
              <w:bCs/>
            </w:rPr>
            <w:fldChar w:fldCharType="separate"/>
          </w:r>
          <w:r>
            <w:rPr>
              <w:rFonts w:hint="eastAsia" w:ascii="仿宋" w:hAnsi="仿宋" w:eastAsia="仿宋"/>
              <w:b/>
              <w:bCs/>
            </w:rPr>
            <w:t>五、财政拨款支出决算明细表</w:t>
          </w:r>
          <w:r>
            <w:rPr>
              <w:b/>
              <w:bCs/>
            </w:rPr>
            <w:tab/>
          </w:r>
          <w:r>
            <w:rPr>
              <w:b/>
              <w:bCs/>
            </w:rPr>
            <w:fldChar w:fldCharType="begin"/>
          </w:r>
          <w:r>
            <w:rPr>
              <w:b/>
              <w:bCs/>
            </w:rPr>
            <w:instrText xml:space="preserve"> PAGEREF _Toc16520 \h </w:instrText>
          </w:r>
          <w:r>
            <w:rPr>
              <w:b/>
              <w:bCs/>
            </w:rPr>
            <w:fldChar w:fldCharType="separate"/>
          </w:r>
          <w:r>
            <w:rPr>
              <w:b/>
              <w:bCs/>
            </w:rPr>
            <w:t>21</w:t>
          </w:r>
          <w:r>
            <w:rPr>
              <w:b/>
              <w:bCs/>
            </w:rPr>
            <w:fldChar w:fldCharType="end"/>
          </w:r>
          <w:r>
            <w:rPr>
              <w:b/>
              <w:bCs/>
            </w:rPr>
            <w:fldChar w:fldCharType="end"/>
          </w:r>
        </w:p>
        <w:p w14:paraId="46DB3455">
          <w:pPr>
            <w:pStyle w:val="36"/>
            <w:tabs>
              <w:tab w:val="right" w:leader="dot" w:pos="8306"/>
            </w:tabs>
            <w:rPr>
              <w:b/>
              <w:bCs/>
            </w:rPr>
          </w:pPr>
          <w:r>
            <w:rPr>
              <w:b/>
              <w:bCs/>
            </w:rPr>
            <w:fldChar w:fldCharType="begin"/>
          </w:r>
          <w:r>
            <w:rPr>
              <w:b/>
              <w:bCs/>
            </w:rPr>
            <w:instrText xml:space="preserve"> HYPERLINK \l _Toc5371 </w:instrText>
          </w:r>
          <w:r>
            <w:rPr>
              <w:b/>
              <w:bCs/>
            </w:rPr>
            <w:fldChar w:fldCharType="separate"/>
          </w:r>
          <w:r>
            <w:rPr>
              <w:rFonts w:hint="eastAsia" w:ascii="仿宋" w:hAnsi="仿宋" w:eastAsia="仿宋"/>
              <w:b/>
              <w:bCs/>
            </w:rPr>
            <w:t>六、一般公共预算财政拨款支出决算表</w:t>
          </w:r>
          <w:r>
            <w:rPr>
              <w:b/>
              <w:bCs/>
            </w:rPr>
            <w:tab/>
          </w:r>
          <w:r>
            <w:rPr>
              <w:b/>
              <w:bCs/>
            </w:rPr>
            <w:fldChar w:fldCharType="begin"/>
          </w:r>
          <w:r>
            <w:rPr>
              <w:b/>
              <w:bCs/>
            </w:rPr>
            <w:instrText xml:space="preserve"> PAGEREF _Toc5371 \h </w:instrText>
          </w:r>
          <w:r>
            <w:rPr>
              <w:b/>
              <w:bCs/>
            </w:rPr>
            <w:fldChar w:fldCharType="separate"/>
          </w:r>
          <w:r>
            <w:rPr>
              <w:b/>
              <w:bCs/>
            </w:rPr>
            <w:t>21</w:t>
          </w:r>
          <w:r>
            <w:rPr>
              <w:b/>
              <w:bCs/>
            </w:rPr>
            <w:fldChar w:fldCharType="end"/>
          </w:r>
          <w:r>
            <w:rPr>
              <w:b/>
              <w:bCs/>
            </w:rPr>
            <w:fldChar w:fldCharType="end"/>
          </w:r>
        </w:p>
        <w:p w14:paraId="2F4C2E5F">
          <w:pPr>
            <w:pStyle w:val="36"/>
            <w:tabs>
              <w:tab w:val="right" w:leader="dot" w:pos="8306"/>
            </w:tabs>
            <w:rPr>
              <w:b/>
              <w:bCs/>
            </w:rPr>
          </w:pPr>
          <w:r>
            <w:rPr>
              <w:b/>
              <w:bCs/>
            </w:rPr>
            <w:fldChar w:fldCharType="begin"/>
          </w:r>
          <w:r>
            <w:rPr>
              <w:b/>
              <w:bCs/>
            </w:rPr>
            <w:instrText xml:space="preserve"> HYPERLINK \l _Toc15260 </w:instrText>
          </w:r>
          <w:r>
            <w:rPr>
              <w:b/>
              <w:bCs/>
            </w:rPr>
            <w:fldChar w:fldCharType="separate"/>
          </w:r>
          <w:r>
            <w:rPr>
              <w:rFonts w:hint="eastAsia" w:ascii="仿宋" w:hAnsi="仿宋" w:eastAsia="仿宋"/>
              <w:b/>
              <w:bCs/>
            </w:rPr>
            <w:t>七、一般公共预算财政拨款支出决算明细表</w:t>
          </w:r>
          <w:r>
            <w:rPr>
              <w:b/>
              <w:bCs/>
            </w:rPr>
            <w:tab/>
          </w:r>
          <w:r>
            <w:rPr>
              <w:b/>
              <w:bCs/>
            </w:rPr>
            <w:fldChar w:fldCharType="begin"/>
          </w:r>
          <w:r>
            <w:rPr>
              <w:b/>
              <w:bCs/>
            </w:rPr>
            <w:instrText xml:space="preserve"> PAGEREF _Toc15260 \h </w:instrText>
          </w:r>
          <w:r>
            <w:rPr>
              <w:b/>
              <w:bCs/>
            </w:rPr>
            <w:fldChar w:fldCharType="separate"/>
          </w:r>
          <w:r>
            <w:rPr>
              <w:b/>
              <w:bCs/>
            </w:rPr>
            <w:t>21</w:t>
          </w:r>
          <w:r>
            <w:rPr>
              <w:b/>
              <w:bCs/>
            </w:rPr>
            <w:fldChar w:fldCharType="end"/>
          </w:r>
          <w:r>
            <w:rPr>
              <w:b/>
              <w:bCs/>
            </w:rPr>
            <w:fldChar w:fldCharType="end"/>
          </w:r>
        </w:p>
        <w:p w14:paraId="29126368">
          <w:pPr>
            <w:pStyle w:val="36"/>
            <w:tabs>
              <w:tab w:val="right" w:leader="dot" w:pos="8306"/>
            </w:tabs>
            <w:rPr>
              <w:b/>
              <w:bCs/>
            </w:rPr>
          </w:pPr>
          <w:r>
            <w:rPr>
              <w:b/>
              <w:bCs/>
            </w:rPr>
            <w:fldChar w:fldCharType="begin"/>
          </w:r>
          <w:r>
            <w:rPr>
              <w:b/>
              <w:bCs/>
            </w:rPr>
            <w:instrText xml:space="preserve"> HYPERLINK \l _Toc18684 </w:instrText>
          </w:r>
          <w:r>
            <w:rPr>
              <w:b/>
              <w:bCs/>
            </w:rPr>
            <w:fldChar w:fldCharType="separate"/>
          </w:r>
          <w:r>
            <w:rPr>
              <w:rFonts w:hint="eastAsia" w:ascii="仿宋" w:hAnsi="仿宋" w:eastAsia="仿宋"/>
              <w:b/>
              <w:bCs/>
            </w:rPr>
            <w:t>八、一般公共预算财政拨款基本支出决算表</w:t>
          </w:r>
          <w:r>
            <w:rPr>
              <w:b/>
              <w:bCs/>
            </w:rPr>
            <w:tab/>
          </w:r>
          <w:r>
            <w:rPr>
              <w:b/>
              <w:bCs/>
            </w:rPr>
            <w:fldChar w:fldCharType="begin"/>
          </w:r>
          <w:r>
            <w:rPr>
              <w:b/>
              <w:bCs/>
            </w:rPr>
            <w:instrText xml:space="preserve"> PAGEREF _Toc18684 \h </w:instrText>
          </w:r>
          <w:r>
            <w:rPr>
              <w:b/>
              <w:bCs/>
            </w:rPr>
            <w:fldChar w:fldCharType="separate"/>
          </w:r>
          <w:r>
            <w:rPr>
              <w:b/>
              <w:bCs/>
            </w:rPr>
            <w:t>21</w:t>
          </w:r>
          <w:r>
            <w:rPr>
              <w:b/>
              <w:bCs/>
            </w:rPr>
            <w:fldChar w:fldCharType="end"/>
          </w:r>
          <w:r>
            <w:rPr>
              <w:b/>
              <w:bCs/>
            </w:rPr>
            <w:fldChar w:fldCharType="end"/>
          </w:r>
        </w:p>
        <w:p w14:paraId="471E8A39">
          <w:pPr>
            <w:pStyle w:val="36"/>
            <w:tabs>
              <w:tab w:val="right" w:leader="dot" w:pos="8306"/>
            </w:tabs>
            <w:rPr>
              <w:b/>
              <w:bCs/>
            </w:rPr>
          </w:pPr>
          <w:r>
            <w:rPr>
              <w:b/>
              <w:bCs/>
            </w:rPr>
            <w:fldChar w:fldCharType="begin"/>
          </w:r>
          <w:r>
            <w:rPr>
              <w:b/>
              <w:bCs/>
            </w:rPr>
            <w:instrText xml:space="preserve"> HYPERLINK \l _Toc5508 </w:instrText>
          </w:r>
          <w:r>
            <w:rPr>
              <w:b/>
              <w:bCs/>
            </w:rPr>
            <w:fldChar w:fldCharType="separate"/>
          </w:r>
          <w:r>
            <w:rPr>
              <w:rFonts w:hint="eastAsia" w:ascii="仿宋" w:hAnsi="仿宋" w:eastAsia="仿宋"/>
              <w:b/>
              <w:bCs/>
            </w:rPr>
            <w:t>九、一般公共预算财政拨款项目支出决算表</w:t>
          </w:r>
          <w:r>
            <w:rPr>
              <w:b/>
              <w:bCs/>
            </w:rPr>
            <w:tab/>
          </w:r>
          <w:r>
            <w:rPr>
              <w:b/>
              <w:bCs/>
            </w:rPr>
            <w:fldChar w:fldCharType="begin"/>
          </w:r>
          <w:r>
            <w:rPr>
              <w:b/>
              <w:bCs/>
            </w:rPr>
            <w:instrText xml:space="preserve"> PAGEREF _Toc5508 \h </w:instrText>
          </w:r>
          <w:r>
            <w:rPr>
              <w:b/>
              <w:bCs/>
            </w:rPr>
            <w:fldChar w:fldCharType="separate"/>
          </w:r>
          <w:r>
            <w:rPr>
              <w:b/>
              <w:bCs/>
            </w:rPr>
            <w:t>21</w:t>
          </w:r>
          <w:r>
            <w:rPr>
              <w:b/>
              <w:bCs/>
            </w:rPr>
            <w:fldChar w:fldCharType="end"/>
          </w:r>
          <w:r>
            <w:rPr>
              <w:b/>
              <w:bCs/>
            </w:rPr>
            <w:fldChar w:fldCharType="end"/>
          </w:r>
        </w:p>
        <w:p w14:paraId="1140410D">
          <w:pPr>
            <w:pStyle w:val="36"/>
            <w:tabs>
              <w:tab w:val="right" w:leader="dot" w:pos="8306"/>
            </w:tabs>
            <w:rPr>
              <w:b/>
              <w:bCs/>
            </w:rPr>
          </w:pPr>
          <w:r>
            <w:rPr>
              <w:b/>
              <w:bCs/>
            </w:rPr>
            <w:fldChar w:fldCharType="begin"/>
          </w:r>
          <w:r>
            <w:rPr>
              <w:b/>
              <w:bCs/>
            </w:rPr>
            <w:instrText xml:space="preserve"> HYPERLINK \l _Toc10409 </w:instrText>
          </w:r>
          <w:r>
            <w:rPr>
              <w:b/>
              <w:bCs/>
            </w:rPr>
            <w:fldChar w:fldCharType="separate"/>
          </w:r>
          <w:r>
            <w:rPr>
              <w:rFonts w:hint="eastAsia" w:ascii="仿宋" w:hAnsi="仿宋" w:eastAsia="仿宋"/>
              <w:b/>
              <w:bCs/>
            </w:rPr>
            <w:t>十、政府性基金预算财政拨款收入支出决算表</w:t>
          </w:r>
          <w:r>
            <w:rPr>
              <w:b/>
              <w:bCs/>
            </w:rPr>
            <w:tab/>
          </w:r>
          <w:r>
            <w:rPr>
              <w:b/>
              <w:bCs/>
            </w:rPr>
            <w:fldChar w:fldCharType="begin"/>
          </w:r>
          <w:r>
            <w:rPr>
              <w:b/>
              <w:bCs/>
            </w:rPr>
            <w:instrText xml:space="preserve"> PAGEREF _Toc10409 \h </w:instrText>
          </w:r>
          <w:r>
            <w:rPr>
              <w:b/>
              <w:bCs/>
            </w:rPr>
            <w:fldChar w:fldCharType="separate"/>
          </w:r>
          <w:r>
            <w:rPr>
              <w:b/>
              <w:bCs/>
            </w:rPr>
            <w:t>21</w:t>
          </w:r>
          <w:r>
            <w:rPr>
              <w:b/>
              <w:bCs/>
            </w:rPr>
            <w:fldChar w:fldCharType="end"/>
          </w:r>
          <w:r>
            <w:rPr>
              <w:b/>
              <w:bCs/>
            </w:rPr>
            <w:fldChar w:fldCharType="end"/>
          </w:r>
        </w:p>
        <w:p w14:paraId="57A6C72C">
          <w:pPr>
            <w:pStyle w:val="36"/>
            <w:tabs>
              <w:tab w:val="right" w:leader="dot" w:pos="8306"/>
            </w:tabs>
            <w:rPr>
              <w:b/>
              <w:bCs/>
            </w:rPr>
          </w:pPr>
          <w:r>
            <w:rPr>
              <w:b/>
              <w:bCs/>
            </w:rPr>
            <w:fldChar w:fldCharType="begin"/>
          </w:r>
          <w:r>
            <w:rPr>
              <w:b/>
              <w:bCs/>
            </w:rPr>
            <w:instrText xml:space="preserve"> HYPERLINK \l _Toc16622 </w:instrText>
          </w:r>
          <w:r>
            <w:rPr>
              <w:b/>
              <w:bCs/>
            </w:rPr>
            <w:fldChar w:fldCharType="separate"/>
          </w:r>
          <w:r>
            <w:rPr>
              <w:rFonts w:hint="eastAsia" w:ascii="仿宋" w:hAnsi="仿宋" w:eastAsia="仿宋"/>
              <w:b/>
              <w:bCs/>
            </w:rPr>
            <w:t>十一、国有资本经营预算财政拨款收入支出决算表</w:t>
          </w:r>
          <w:r>
            <w:rPr>
              <w:b/>
              <w:bCs/>
            </w:rPr>
            <w:tab/>
          </w:r>
          <w:r>
            <w:rPr>
              <w:b/>
              <w:bCs/>
            </w:rPr>
            <w:fldChar w:fldCharType="begin"/>
          </w:r>
          <w:r>
            <w:rPr>
              <w:b/>
              <w:bCs/>
            </w:rPr>
            <w:instrText xml:space="preserve"> PAGEREF _Toc16622 \h </w:instrText>
          </w:r>
          <w:r>
            <w:rPr>
              <w:b/>
              <w:bCs/>
            </w:rPr>
            <w:fldChar w:fldCharType="separate"/>
          </w:r>
          <w:r>
            <w:rPr>
              <w:b/>
              <w:bCs/>
            </w:rPr>
            <w:t>21</w:t>
          </w:r>
          <w:r>
            <w:rPr>
              <w:b/>
              <w:bCs/>
            </w:rPr>
            <w:fldChar w:fldCharType="end"/>
          </w:r>
          <w:r>
            <w:rPr>
              <w:b/>
              <w:bCs/>
            </w:rPr>
            <w:fldChar w:fldCharType="end"/>
          </w:r>
        </w:p>
        <w:p w14:paraId="7E4EE93E">
          <w:pPr>
            <w:pStyle w:val="36"/>
            <w:tabs>
              <w:tab w:val="right" w:leader="dot" w:pos="8306"/>
            </w:tabs>
            <w:rPr>
              <w:b/>
              <w:bCs/>
            </w:rPr>
          </w:pPr>
          <w:r>
            <w:rPr>
              <w:b/>
              <w:bCs/>
            </w:rPr>
            <w:fldChar w:fldCharType="begin"/>
          </w:r>
          <w:r>
            <w:rPr>
              <w:b/>
              <w:bCs/>
            </w:rPr>
            <w:instrText xml:space="preserve"> HYPERLINK \l _Toc3887 </w:instrText>
          </w:r>
          <w:r>
            <w:rPr>
              <w:b/>
              <w:bCs/>
            </w:rPr>
            <w:fldChar w:fldCharType="separate"/>
          </w:r>
          <w:r>
            <w:rPr>
              <w:rFonts w:hint="eastAsia" w:ascii="仿宋" w:hAnsi="仿宋" w:eastAsia="仿宋"/>
              <w:b/>
              <w:bCs/>
            </w:rPr>
            <w:t>十二、国有资本经营预算财政拨款支出决算表</w:t>
          </w:r>
          <w:r>
            <w:rPr>
              <w:b/>
              <w:bCs/>
            </w:rPr>
            <w:tab/>
          </w:r>
          <w:r>
            <w:rPr>
              <w:b/>
              <w:bCs/>
            </w:rPr>
            <w:fldChar w:fldCharType="begin"/>
          </w:r>
          <w:r>
            <w:rPr>
              <w:b/>
              <w:bCs/>
            </w:rPr>
            <w:instrText xml:space="preserve"> PAGEREF _Toc3887 \h </w:instrText>
          </w:r>
          <w:r>
            <w:rPr>
              <w:b/>
              <w:bCs/>
            </w:rPr>
            <w:fldChar w:fldCharType="separate"/>
          </w:r>
          <w:r>
            <w:rPr>
              <w:b/>
              <w:bCs/>
            </w:rPr>
            <w:t>21</w:t>
          </w:r>
          <w:r>
            <w:rPr>
              <w:b/>
              <w:bCs/>
            </w:rPr>
            <w:fldChar w:fldCharType="end"/>
          </w:r>
          <w:r>
            <w:rPr>
              <w:b/>
              <w:bCs/>
            </w:rPr>
            <w:fldChar w:fldCharType="end"/>
          </w:r>
        </w:p>
        <w:p w14:paraId="1D312E05">
          <w:pPr>
            <w:pStyle w:val="36"/>
            <w:tabs>
              <w:tab w:val="right" w:leader="dot" w:pos="8306"/>
            </w:tabs>
            <w:rPr>
              <w:b/>
              <w:bCs/>
            </w:rPr>
          </w:pPr>
          <w:r>
            <w:rPr>
              <w:b/>
              <w:bCs/>
            </w:rPr>
            <w:fldChar w:fldCharType="begin"/>
          </w:r>
          <w:r>
            <w:rPr>
              <w:b/>
              <w:bCs/>
            </w:rPr>
            <w:instrText xml:space="preserve"> HYPERLINK \l _Toc31403 </w:instrText>
          </w:r>
          <w:r>
            <w:rPr>
              <w:b/>
              <w:bCs/>
            </w:rPr>
            <w:fldChar w:fldCharType="separate"/>
          </w:r>
          <w:r>
            <w:rPr>
              <w:rFonts w:hint="eastAsia" w:ascii="仿宋" w:hAnsi="仿宋" w:eastAsia="仿宋"/>
              <w:b/>
              <w:bCs/>
            </w:rPr>
            <w:t>十三、财政拨款“三公”经费支出决算表</w:t>
          </w:r>
          <w:r>
            <w:rPr>
              <w:b/>
              <w:bCs/>
            </w:rPr>
            <w:tab/>
          </w:r>
          <w:r>
            <w:rPr>
              <w:b/>
              <w:bCs/>
            </w:rPr>
            <w:fldChar w:fldCharType="begin"/>
          </w:r>
          <w:r>
            <w:rPr>
              <w:b/>
              <w:bCs/>
            </w:rPr>
            <w:instrText xml:space="preserve"> PAGEREF _Toc31403 \h </w:instrText>
          </w:r>
          <w:r>
            <w:rPr>
              <w:b/>
              <w:bCs/>
            </w:rPr>
            <w:fldChar w:fldCharType="separate"/>
          </w:r>
          <w:r>
            <w:rPr>
              <w:b/>
              <w:bCs/>
            </w:rPr>
            <w:t>21</w:t>
          </w:r>
          <w:r>
            <w:rPr>
              <w:b/>
              <w:bCs/>
            </w:rPr>
            <w:fldChar w:fldCharType="end"/>
          </w:r>
          <w:r>
            <w:rPr>
              <w:b/>
              <w:bCs/>
            </w:rPr>
            <w:fldChar w:fldCharType="end"/>
          </w:r>
        </w:p>
        <w:p w14:paraId="64D3E2F2">
          <w:pPr>
            <w:pStyle w:val="36"/>
            <w:tabs>
              <w:tab w:val="right" w:leader="dot" w:pos="8306"/>
            </w:tabs>
          </w:pPr>
          <w:r>
            <w:rPr>
              <w:b/>
              <w:bCs/>
            </w:rPr>
            <w:fldChar w:fldCharType="begin"/>
          </w:r>
          <w:r>
            <w:rPr>
              <w:b/>
              <w:bCs/>
            </w:rPr>
            <w:instrText xml:space="preserve"> HYPERLINK \l _Toc9001 </w:instrText>
          </w:r>
          <w:r>
            <w:rPr>
              <w:b/>
              <w:bCs/>
            </w:rPr>
            <w:fldChar w:fldCharType="separate"/>
          </w:r>
          <w:r>
            <w:rPr>
              <w:rFonts w:hint="eastAsia" w:ascii="仿宋" w:hAnsi="仿宋" w:eastAsia="仿宋"/>
              <w:b/>
              <w:bCs/>
              <w:highlight w:val="none"/>
              <w:lang w:val="en-US" w:eastAsia="zh-CN" w:bidi="ar-SA"/>
            </w:rPr>
            <w:t>注：以上附表详见《五通桥区综合行政执法局2024年决算公开表》</w:t>
          </w:r>
          <w:r>
            <w:rPr>
              <w:b/>
              <w:bCs/>
            </w:rPr>
            <w:tab/>
          </w:r>
          <w:r>
            <w:rPr>
              <w:b/>
              <w:bCs/>
            </w:rPr>
            <w:fldChar w:fldCharType="begin"/>
          </w:r>
          <w:r>
            <w:rPr>
              <w:b/>
              <w:bCs/>
            </w:rPr>
            <w:instrText xml:space="preserve"> PAGEREF _Toc9001 \h </w:instrText>
          </w:r>
          <w:r>
            <w:rPr>
              <w:b/>
              <w:bCs/>
            </w:rPr>
            <w:fldChar w:fldCharType="separate"/>
          </w:r>
          <w:r>
            <w:rPr>
              <w:b/>
              <w:bCs/>
            </w:rPr>
            <w:t>21</w:t>
          </w:r>
          <w:r>
            <w:rPr>
              <w:b/>
              <w:bCs/>
            </w:rPr>
            <w:fldChar w:fldCharType="end"/>
          </w:r>
          <w:r>
            <w:rPr>
              <w:b/>
              <w:bCs/>
            </w:rPr>
            <w:fldChar w:fldCharType="end"/>
          </w:r>
        </w:p>
        <w:p w14:paraId="7E507570">
          <w:r>
            <w:rPr>
              <w:b/>
            </w:rPr>
            <w:fldChar w:fldCharType="end"/>
          </w:r>
        </w:p>
      </w:sdtContent>
    </w:sdt>
    <w:p w14:paraId="3323C1DA">
      <w:pPr>
        <w:pStyle w:val="5"/>
        <w:jc w:val="center"/>
        <w:rPr>
          <w:rFonts w:ascii="黑体" w:eastAsia="黑体"/>
          <w:sz w:val="32"/>
          <w:szCs w:val="32"/>
        </w:rPr>
      </w:pPr>
      <w:bookmarkStart w:id="16" w:name="_Toc9300"/>
      <w:r>
        <w:rPr>
          <w:rFonts w:hint="eastAsia" w:ascii="黑体" w:hAnsi="黑体" w:eastAsia="黑体"/>
          <w:b w:val="0"/>
        </w:rPr>
        <w:t>第一部分 单位</w:t>
      </w:r>
      <w:r>
        <w:rPr>
          <w:rStyle w:val="29"/>
          <w:rFonts w:hint="eastAsia" w:ascii="黑体" w:hAnsi="黑体" w:eastAsia="黑体"/>
          <w:b w:val="0"/>
          <w:bCs w:val="0"/>
        </w:rPr>
        <w:t>概况</w:t>
      </w:r>
      <w:bookmarkEnd w:id="16"/>
    </w:p>
    <w:p w14:paraId="551137A4">
      <w:pPr>
        <w:pStyle w:val="6"/>
        <w:numPr>
          <w:ilvl w:val="0"/>
          <w:numId w:val="1"/>
        </w:numPr>
        <w:rPr>
          <w:rStyle w:val="30"/>
          <w:rFonts w:ascii="黑体" w:hAnsi="黑体" w:eastAsia="黑体"/>
          <w:b w:val="0"/>
          <w:bCs w:val="0"/>
        </w:rPr>
      </w:pPr>
      <w:bookmarkStart w:id="17" w:name="_Toc11230"/>
      <w:bookmarkStart w:id="18" w:name="_Toc15377197"/>
      <w:bookmarkStart w:id="19" w:name="_Toc15396600"/>
      <w:r>
        <w:rPr>
          <w:rStyle w:val="30"/>
          <w:rFonts w:hint="eastAsia" w:ascii="黑体" w:hAnsi="黑体" w:eastAsia="黑体"/>
          <w:b w:val="0"/>
          <w:bCs w:val="0"/>
        </w:rPr>
        <w:t>主要职责</w:t>
      </w:r>
      <w:bookmarkEnd w:id="17"/>
    </w:p>
    <w:p w14:paraId="771B95A3">
      <w:pPr>
        <w:spacing w:line="360" w:lineRule="auto"/>
        <w:ind w:left="319" w:leftChars="152" w:right="103" w:rightChars="49" w:firstLine="480" w:firstLineChars="150"/>
      </w:pPr>
      <w:bookmarkStart w:id="20" w:name="_Toc9131"/>
      <w:r>
        <w:rPr>
          <w:rFonts w:hint="eastAsia" w:ascii="仿宋_GB2312" w:hAnsi="仿宋_GB2312" w:eastAsia="仿宋_GB2312" w:cs="Times New Roman"/>
          <w:color w:val="auto"/>
          <w:kern w:val="2"/>
          <w:sz w:val="32"/>
          <w:szCs w:val="24"/>
          <w:lang w:val="zh-CN" w:eastAsia="zh-CN" w:bidi="ar-SA"/>
        </w:rPr>
        <w:t xml:space="preserve">五通桥区综合行政执法局负责集中行使除公安、税务、农业农村、应急管理、保密部门和生态环境部分领域以外的本级行政部门的行政处罚权和相应的行政检查权、行政强制权。行使发展和改革、自然资源、经济和信息化、教育管理、民政管理、司法、财政、人力资源和社会保障、住房和城乡建设、城市管理、交通运输、水务、文化体育和旅游、卫生健康、退役军人事务、审计、市场监督管理、统计、医疗保障、商务和经济合作、残疾人权益保护、民族宗教、网信、档案等领域所有的行政处罚权和相应的行政检查权、行政强制权。   </w:t>
      </w:r>
      <w:r>
        <w:rPr>
          <w:rFonts w:hint="eastAsia" w:ascii="仿宋" w:hAnsi="仿宋" w:eastAsia="仿宋" w:cs="Times New Roman"/>
          <w:bCs/>
          <w:sz w:val="32"/>
          <w:szCs w:val="32"/>
        </w:rPr>
        <w:t xml:space="preserve">       </w:t>
      </w:r>
    </w:p>
    <w:p w14:paraId="0EF6A7A8">
      <w:pPr>
        <w:pStyle w:val="6"/>
        <w:rPr>
          <w:rFonts w:ascii="黑体" w:hAnsi="黑体" w:eastAsia="黑体"/>
          <w:b w:val="0"/>
        </w:rPr>
      </w:pPr>
      <w:r>
        <w:rPr>
          <w:rFonts w:hint="eastAsia" w:ascii="黑体" w:hAnsi="黑体" w:eastAsia="黑体"/>
          <w:b w:val="0"/>
        </w:rPr>
        <w:t>二、机构设置</w:t>
      </w:r>
      <w:bookmarkEnd w:id="20"/>
    </w:p>
    <w:bookmarkEnd w:id="18"/>
    <w:bookmarkEnd w:id="19"/>
    <w:p w14:paraId="5A20E016">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zh-CN" w:eastAsia="zh-CN" w:bidi="ar-SA"/>
        </w:rPr>
        <w:t>乐山市五通桥区综合行政执法局</w:t>
      </w:r>
      <w:r>
        <w:rPr>
          <w:rFonts w:hint="eastAsia" w:ascii="仿宋_GB2312" w:hAnsi="仿宋_GB2312" w:eastAsia="仿宋_GB2312" w:cs="Times New Roman"/>
          <w:color w:val="auto"/>
          <w:kern w:val="2"/>
          <w:sz w:val="32"/>
          <w:szCs w:val="24"/>
          <w:lang w:val="en-US" w:eastAsia="zh-CN" w:bidi="ar-SA"/>
        </w:rPr>
        <w:t>属二级预算单位，其中行政单位1个，参照公务员法管理的事业单位0个，其他事业单位0个。</w:t>
      </w:r>
    </w:p>
    <w:p w14:paraId="5100CDAE">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纳入乐山市五通桥区综合行政执法局2024年度部门决算编制范围的二级预算单位包括：乐山市五通桥区综合行政执法局</w:t>
      </w:r>
      <w:r>
        <w:rPr>
          <w:rFonts w:hint="eastAsia" w:ascii="仿宋_GB2312" w:hAnsi="仿宋_GB2312" w:eastAsia="仿宋_GB2312" w:cs="Times New Roman"/>
          <w:color w:val="auto"/>
          <w:kern w:val="2"/>
          <w:sz w:val="32"/>
          <w:szCs w:val="24"/>
          <w:lang w:val="en-US" w:eastAsia="zh-CN" w:bidi="ar-SA"/>
        </w:rPr>
        <w:t>(本级）</w:t>
      </w:r>
      <w:r>
        <w:rPr>
          <w:rFonts w:hint="eastAsia" w:ascii="仿宋_GB2312" w:hAnsi="仿宋_GB2312" w:eastAsia="仿宋_GB2312" w:cs="Times New Roman"/>
          <w:color w:val="auto"/>
          <w:kern w:val="2"/>
          <w:sz w:val="32"/>
          <w:szCs w:val="24"/>
          <w:lang w:val="zh-CN" w:eastAsia="zh-CN" w:bidi="ar-SA"/>
        </w:rPr>
        <w:t>。</w:t>
      </w:r>
    </w:p>
    <w:p w14:paraId="74603A52">
      <w:pPr>
        <w:widowControl/>
        <w:jc w:val="left"/>
        <w:rPr>
          <w:rFonts w:ascii="仿宋" w:hAnsi="仿宋" w:eastAsia="仿宋"/>
          <w:kern w:val="0"/>
          <w:sz w:val="32"/>
          <w:szCs w:val="32"/>
        </w:rPr>
      </w:pPr>
      <w:r>
        <w:rPr>
          <w:rFonts w:ascii="仿宋" w:hAnsi="仿宋" w:eastAsia="仿宋"/>
          <w:sz w:val="32"/>
          <w:szCs w:val="32"/>
        </w:rPr>
        <w:br w:type="page"/>
      </w:r>
    </w:p>
    <w:p w14:paraId="7939CC77">
      <w:pPr>
        <w:pStyle w:val="5"/>
        <w:ind w:right="440"/>
        <w:jc w:val="center"/>
        <w:rPr>
          <w:rStyle w:val="29"/>
          <w:rFonts w:ascii="黑体" w:hAnsi="黑体" w:eastAsia="黑体"/>
          <w:b w:val="0"/>
          <w:bCs/>
        </w:rPr>
      </w:pPr>
      <w:bookmarkStart w:id="21" w:name="_Toc15396602"/>
      <w:bookmarkStart w:id="22" w:name="_Toc28661"/>
      <w:bookmarkStart w:id="23" w:name="_Toc15377204"/>
      <w:r>
        <w:rPr>
          <w:rFonts w:hint="eastAsia" w:ascii="黑体" w:hAnsi="黑体" w:eastAsia="黑体"/>
          <w:b w:val="0"/>
        </w:rPr>
        <w:t xml:space="preserve">第二部分 </w:t>
      </w:r>
      <w:r>
        <w:rPr>
          <w:rFonts w:hint="eastAsia" w:ascii="黑体" w:hAnsi="黑体" w:eastAsia="黑体"/>
          <w:b w:val="0"/>
          <w:lang w:eastAsia="zh-CN"/>
        </w:rPr>
        <w:t>2024</w:t>
      </w:r>
      <w:r>
        <w:rPr>
          <w:rFonts w:hint="eastAsia" w:ascii="黑体" w:hAnsi="黑体" w:eastAsia="黑体"/>
          <w:b w:val="0"/>
        </w:rPr>
        <w:t>年度</w:t>
      </w:r>
      <w:r>
        <w:rPr>
          <w:rStyle w:val="29"/>
          <w:rFonts w:hint="eastAsia" w:ascii="黑体" w:hAnsi="黑体" w:eastAsia="黑体"/>
          <w:b w:val="0"/>
          <w:bCs/>
        </w:rPr>
        <w:t>单位决算情况说明</w:t>
      </w:r>
      <w:bookmarkEnd w:id="21"/>
      <w:bookmarkEnd w:id="22"/>
      <w:bookmarkEnd w:id="23"/>
    </w:p>
    <w:p w14:paraId="505413D9"/>
    <w:p w14:paraId="653FB745">
      <w:pPr>
        <w:pStyle w:val="28"/>
        <w:numPr>
          <w:ilvl w:val="0"/>
          <w:numId w:val="2"/>
        </w:numPr>
        <w:spacing w:line="600" w:lineRule="exact"/>
        <w:ind w:firstLineChars="0"/>
        <w:outlineLvl w:val="1"/>
        <w:rPr>
          <w:rStyle w:val="30"/>
          <w:rFonts w:ascii="黑体" w:hAnsi="黑体" w:eastAsia="黑体"/>
          <w:b w:val="0"/>
        </w:rPr>
      </w:pPr>
      <w:bookmarkStart w:id="24" w:name="_Toc4920"/>
      <w:bookmarkStart w:id="25" w:name="_Toc15377205"/>
      <w:bookmarkStart w:id="26" w:name="_Toc15396603"/>
      <w:r>
        <w:rPr>
          <w:rFonts w:hint="eastAsia" w:ascii="黑体" w:hAnsi="黑体" w:eastAsia="黑体"/>
          <w:sz w:val="32"/>
          <w:szCs w:val="32"/>
        </w:rPr>
        <w:t>收</w:t>
      </w:r>
      <w:r>
        <w:rPr>
          <w:rStyle w:val="30"/>
          <w:rFonts w:hint="eastAsia" w:ascii="黑体" w:hAnsi="黑体" w:eastAsia="黑体"/>
          <w:b w:val="0"/>
        </w:rPr>
        <w:t>入支出决算总体情况说明</w:t>
      </w:r>
      <w:bookmarkEnd w:id="24"/>
      <w:bookmarkEnd w:id="25"/>
      <w:bookmarkEnd w:id="26"/>
    </w:p>
    <w:p w14:paraId="0CCDC224">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2024年度收、支总计均为981.98万元。与2023年度1348.0</w:t>
      </w:r>
      <w:r>
        <w:rPr>
          <w:rFonts w:hint="eastAsia" w:ascii="仿宋_GB2312" w:hAnsi="仿宋_GB2312" w:eastAsia="仿宋_GB2312" w:cs="Times New Roman"/>
          <w:color w:val="auto"/>
          <w:kern w:val="2"/>
          <w:sz w:val="32"/>
          <w:szCs w:val="24"/>
          <w:lang w:val="en-US" w:eastAsia="zh-CN" w:bidi="ar-SA"/>
        </w:rPr>
        <w:t>7万元</w:t>
      </w:r>
      <w:r>
        <w:rPr>
          <w:rFonts w:hint="eastAsia" w:ascii="仿宋_GB2312" w:hAnsi="仿宋_GB2312" w:eastAsia="仿宋_GB2312" w:cs="Times New Roman"/>
          <w:color w:val="auto"/>
          <w:kern w:val="2"/>
          <w:sz w:val="32"/>
          <w:szCs w:val="24"/>
          <w:lang w:val="zh-CN" w:eastAsia="zh-CN" w:bidi="ar-SA"/>
        </w:rPr>
        <w:t>相比，收、支总计各减少</w:t>
      </w:r>
      <w:r>
        <w:rPr>
          <w:rFonts w:hint="eastAsia" w:ascii="仿宋_GB2312" w:hAnsi="仿宋_GB2312" w:eastAsia="仿宋_GB2312" w:cs="Times New Roman"/>
          <w:color w:val="auto"/>
          <w:kern w:val="2"/>
          <w:sz w:val="32"/>
          <w:szCs w:val="24"/>
          <w:lang w:val="en-US" w:eastAsia="zh-CN" w:bidi="ar-SA"/>
        </w:rPr>
        <w:t>366.1</w:t>
      </w:r>
      <w:r>
        <w:rPr>
          <w:rFonts w:hint="eastAsia" w:ascii="仿宋_GB2312" w:hAnsi="仿宋_GB2312" w:eastAsia="仿宋_GB2312" w:cs="Times New Roman"/>
          <w:color w:val="auto"/>
          <w:kern w:val="2"/>
          <w:sz w:val="32"/>
          <w:szCs w:val="24"/>
          <w:lang w:val="zh-CN" w:eastAsia="zh-CN" w:bidi="ar-SA"/>
        </w:rPr>
        <w:t>万元，下降</w:t>
      </w:r>
      <w:r>
        <w:rPr>
          <w:rFonts w:hint="eastAsia" w:ascii="仿宋_GB2312" w:hAnsi="仿宋_GB2312" w:eastAsia="仿宋_GB2312" w:cs="Times New Roman"/>
          <w:color w:val="auto"/>
          <w:kern w:val="2"/>
          <w:sz w:val="32"/>
          <w:szCs w:val="24"/>
          <w:lang w:val="en-US" w:eastAsia="zh-CN" w:bidi="ar-SA"/>
        </w:rPr>
        <w:t>27.2</w:t>
      </w:r>
      <w:r>
        <w:rPr>
          <w:rFonts w:hint="eastAsia" w:ascii="仿宋_GB2312" w:hAnsi="仿宋_GB2312" w:eastAsia="仿宋_GB2312" w:cs="Times New Roman"/>
          <w:color w:val="auto"/>
          <w:kern w:val="2"/>
          <w:sz w:val="32"/>
          <w:szCs w:val="24"/>
          <w:lang w:val="zh-CN" w:eastAsia="zh-CN" w:bidi="ar-SA"/>
        </w:rPr>
        <w:t>%。主要变动原因是：在收入方面，一般公共预算财政拨款收入减少</w:t>
      </w:r>
      <w:r>
        <w:rPr>
          <w:rFonts w:hint="eastAsia" w:ascii="仿宋_GB2312" w:hAnsi="仿宋_GB2312" w:eastAsia="仿宋_GB2312" w:cs="Times New Roman"/>
          <w:color w:val="auto"/>
          <w:kern w:val="2"/>
          <w:sz w:val="32"/>
          <w:szCs w:val="24"/>
          <w:lang w:val="en-US" w:eastAsia="zh-CN" w:bidi="ar-SA"/>
        </w:rPr>
        <w:t>391.41万元、其他收入增加20.78万元、年初结转和结余增加4.53万元；</w:t>
      </w:r>
      <w:r>
        <w:rPr>
          <w:rFonts w:hint="eastAsia" w:ascii="仿宋_GB2312" w:hAnsi="仿宋_GB2312" w:eastAsia="仿宋_GB2312" w:cs="Times New Roman"/>
          <w:color w:val="auto"/>
          <w:kern w:val="2"/>
          <w:sz w:val="32"/>
          <w:szCs w:val="24"/>
          <w:lang w:val="zh-CN" w:eastAsia="zh-CN" w:bidi="ar-SA"/>
        </w:rPr>
        <w:t>在支出方面，文化旅游体育与传媒支出增加</w:t>
      </w:r>
      <w:r>
        <w:rPr>
          <w:rFonts w:hint="eastAsia" w:ascii="仿宋_GB2312" w:hAnsi="仿宋_GB2312" w:eastAsia="仿宋_GB2312" w:cs="Times New Roman"/>
          <w:color w:val="auto"/>
          <w:kern w:val="2"/>
          <w:sz w:val="32"/>
          <w:szCs w:val="24"/>
          <w:lang w:val="en-US" w:eastAsia="zh-CN" w:bidi="ar-SA"/>
        </w:rPr>
        <w:t>1.28</w:t>
      </w:r>
      <w:r>
        <w:rPr>
          <w:rFonts w:hint="eastAsia" w:ascii="仿宋_GB2312" w:hAnsi="仿宋_GB2312" w:eastAsia="仿宋_GB2312" w:cs="Times New Roman"/>
          <w:color w:val="auto"/>
          <w:kern w:val="2"/>
          <w:sz w:val="32"/>
          <w:szCs w:val="24"/>
          <w:lang w:val="zh-CN" w:eastAsia="zh-CN" w:bidi="ar-SA"/>
        </w:rPr>
        <w:t>万元、社会保障和就业支出减少</w:t>
      </w:r>
      <w:r>
        <w:rPr>
          <w:rFonts w:hint="eastAsia" w:ascii="仿宋_GB2312" w:hAnsi="仿宋_GB2312" w:eastAsia="仿宋_GB2312" w:cs="Times New Roman"/>
          <w:color w:val="auto"/>
          <w:kern w:val="2"/>
          <w:sz w:val="32"/>
          <w:szCs w:val="24"/>
          <w:lang w:val="en-US" w:eastAsia="zh-CN" w:bidi="ar-SA"/>
        </w:rPr>
        <w:t>102.09</w:t>
      </w:r>
      <w:r>
        <w:rPr>
          <w:rFonts w:hint="eastAsia" w:ascii="仿宋_GB2312" w:hAnsi="仿宋_GB2312" w:eastAsia="仿宋_GB2312" w:cs="Times New Roman"/>
          <w:color w:val="auto"/>
          <w:kern w:val="2"/>
          <w:sz w:val="32"/>
          <w:szCs w:val="24"/>
          <w:lang w:val="zh-CN" w:eastAsia="zh-CN" w:bidi="ar-SA"/>
        </w:rPr>
        <w:t>万元、卫生健康支出减少</w:t>
      </w:r>
      <w:r>
        <w:rPr>
          <w:rFonts w:hint="eastAsia" w:ascii="仿宋_GB2312" w:hAnsi="仿宋_GB2312" w:eastAsia="仿宋_GB2312" w:cs="Times New Roman"/>
          <w:color w:val="auto"/>
          <w:kern w:val="2"/>
          <w:sz w:val="32"/>
          <w:szCs w:val="24"/>
          <w:lang w:val="en-US" w:eastAsia="zh-CN" w:bidi="ar-SA"/>
        </w:rPr>
        <w:t>4.49</w:t>
      </w:r>
      <w:r>
        <w:rPr>
          <w:rFonts w:hint="eastAsia" w:ascii="仿宋_GB2312" w:hAnsi="仿宋_GB2312" w:eastAsia="仿宋_GB2312" w:cs="Times New Roman"/>
          <w:color w:val="auto"/>
          <w:kern w:val="2"/>
          <w:sz w:val="32"/>
          <w:szCs w:val="24"/>
          <w:lang w:val="zh-CN" w:eastAsia="zh-CN" w:bidi="ar-SA"/>
        </w:rPr>
        <w:t>万元、城乡社区支出减少</w:t>
      </w:r>
      <w:r>
        <w:rPr>
          <w:rFonts w:hint="eastAsia" w:ascii="仿宋_GB2312" w:hAnsi="仿宋_GB2312" w:eastAsia="仿宋_GB2312" w:cs="Times New Roman"/>
          <w:color w:val="auto"/>
          <w:kern w:val="2"/>
          <w:sz w:val="32"/>
          <w:szCs w:val="24"/>
          <w:lang w:val="en-US" w:eastAsia="zh-CN" w:bidi="ar-SA"/>
        </w:rPr>
        <w:t>228.84</w:t>
      </w:r>
      <w:r>
        <w:rPr>
          <w:rFonts w:hint="eastAsia" w:ascii="仿宋_GB2312" w:hAnsi="仿宋_GB2312" w:eastAsia="仿宋_GB2312" w:cs="Times New Roman"/>
          <w:color w:val="auto"/>
          <w:kern w:val="2"/>
          <w:sz w:val="32"/>
          <w:szCs w:val="24"/>
          <w:lang w:val="zh-CN" w:eastAsia="zh-CN" w:bidi="ar-SA"/>
        </w:rPr>
        <w:t>万元、</w:t>
      </w:r>
      <w:r>
        <w:rPr>
          <w:rFonts w:hint="eastAsia" w:ascii="仿宋_GB2312" w:hAnsi="仿宋_GB2312" w:eastAsia="仿宋_GB2312" w:cs="Times New Roman"/>
          <w:color w:val="auto"/>
          <w:kern w:val="2"/>
          <w:sz w:val="32"/>
          <w:szCs w:val="24"/>
          <w:lang w:val="en-US" w:eastAsia="zh-CN" w:bidi="ar-SA"/>
        </w:rPr>
        <w:t>交通运输支出减少17.24万元、</w:t>
      </w:r>
      <w:r>
        <w:rPr>
          <w:rFonts w:hint="eastAsia" w:ascii="仿宋_GB2312" w:hAnsi="仿宋_GB2312" w:eastAsia="仿宋_GB2312" w:cs="Times New Roman"/>
          <w:color w:val="auto"/>
          <w:kern w:val="2"/>
          <w:sz w:val="32"/>
          <w:szCs w:val="24"/>
          <w:lang w:val="zh-CN" w:eastAsia="zh-CN" w:bidi="ar-SA"/>
        </w:rPr>
        <w:t>住房保障支出减少</w:t>
      </w:r>
      <w:r>
        <w:rPr>
          <w:rFonts w:hint="eastAsia" w:ascii="仿宋_GB2312" w:hAnsi="仿宋_GB2312" w:eastAsia="仿宋_GB2312" w:cs="Times New Roman"/>
          <w:color w:val="auto"/>
          <w:kern w:val="2"/>
          <w:sz w:val="32"/>
          <w:szCs w:val="24"/>
          <w:lang w:val="en-US" w:eastAsia="zh-CN" w:bidi="ar-SA"/>
        </w:rPr>
        <w:t>13.73</w:t>
      </w:r>
      <w:r>
        <w:rPr>
          <w:rFonts w:hint="eastAsia" w:ascii="仿宋_GB2312" w:hAnsi="仿宋_GB2312" w:eastAsia="仿宋_GB2312" w:cs="Times New Roman"/>
          <w:color w:val="auto"/>
          <w:kern w:val="2"/>
          <w:sz w:val="32"/>
          <w:szCs w:val="24"/>
          <w:lang w:val="zh-CN" w:eastAsia="zh-CN" w:bidi="ar-SA"/>
        </w:rPr>
        <w:t>万元、年末结转和结余减少</w:t>
      </w:r>
      <w:r>
        <w:rPr>
          <w:rFonts w:hint="eastAsia" w:ascii="仿宋_GB2312" w:hAnsi="仿宋_GB2312" w:eastAsia="仿宋_GB2312" w:cs="Times New Roman"/>
          <w:color w:val="auto"/>
          <w:kern w:val="2"/>
          <w:sz w:val="32"/>
          <w:szCs w:val="24"/>
          <w:lang w:val="en-US" w:eastAsia="zh-CN" w:bidi="ar-SA"/>
        </w:rPr>
        <w:t>0.99万元</w:t>
      </w:r>
      <w:r>
        <w:rPr>
          <w:rFonts w:hint="eastAsia" w:ascii="仿宋_GB2312" w:hAnsi="仿宋_GB2312" w:eastAsia="仿宋_GB2312" w:cs="Times New Roman"/>
          <w:color w:val="auto"/>
          <w:kern w:val="2"/>
          <w:sz w:val="32"/>
          <w:szCs w:val="24"/>
          <w:lang w:val="zh-CN" w:eastAsia="zh-CN" w:bidi="ar-SA"/>
        </w:rPr>
        <w:t>所致。</w:t>
      </w:r>
    </w:p>
    <w:p w14:paraId="6EDBDB39">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14:paraId="4C77518D">
      <w:pPr>
        <w:pStyle w:val="2"/>
        <w:rPr>
          <w:rFonts w:hint="eastAsia" w:eastAsia="仿宋"/>
          <w:lang w:eastAsia="zh-CN"/>
        </w:rPr>
      </w:pPr>
      <w:r>
        <w:rPr>
          <w:rFonts w:hint="eastAsia" w:eastAsia="仿宋"/>
          <w:lang w:eastAsia="zh-CN"/>
        </w:rPr>
        <w:drawing>
          <wp:anchor distT="0" distB="0" distL="114300" distR="114300" simplePos="0" relativeHeight="251659264" behindDoc="0" locked="0" layoutInCell="1" allowOverlap="1">
            <wp:simplePos x="0" y="0"/>
            <wp:positionH relativeFrom="column">
              <wp:posOffset>537845</wp:posOffset>
            </wp:positionH>
            <wp:positionV relativeFrom="paragraph">
              <wp:posOffset>21590</wp:posOffset>
            </wp:positionV>
            <wp:extent cx="4290695" cy="2762250"/>
            <wp:effectExtent l="4445" t="4445" r="10160" b="14605"/>
            <wp:wrapSquare wrapText="bothSides"/>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51866BD1">
      <w:pPr>
        <w:spacing w:line="240" w:lineRule="auto"/>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4584065" cy="2889250"/>
            <wp:effectExtent l="0" t="0" r="6985" b="6350"/>
            <wp:docPr id="10" name="图片 10"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1"/>
                    <pic:cNvPicPr>
                      <a:picLocks noChangeAspect="1"/>
                    </pic:cNvPicPr>
                  </pic:nvPicPr>
                  <pic:blipFill>
                    <a:blip r:embed="rId9"/>
                    <a:stretch>
                      <a:fillRect/>
                    </a:stretch>
                  </pic:blipFill>
                  <pic:spPr>
                    <a:xfrm>
                      <a:off x="0" y="0"/>
                      <a:ext cx="4584065" cy="2889250"/>
                    </a:xfrm>
                    <a:prstGeom prst="rect">
                      <a:avLst/>
                    </a:prstGeom>
                  </pic:spPr>
                </pic:pic>
              </a:graphicData>
            </a:graphic>
          </wp:inline>
        </w:drawing>
      </w:r>
    </w:p>
    <w:p w14:paraId="727FEAD7">
      <w:pPr>
        <w:pStyle w:val="28"/>
        <w:numPr>
          <w:ilvl w:val="0"/>
          <w:numId w:val="2"/>
        </w:numPr>
        <w:spacing w:line="600" w:lineRule="exact"/>
        <w:ind w:firstLineChars="0"/>
        <w:outlineLvl w:val="1"/>
        <w:rPr>
          <w:rStyle w:val="30"/>
          <w:rFonts w:ascii="黑体" w:hAnsi="黑体" w:eastAsia="黑体"/>
          <w:b w:val="0"/>
        </w:rPr>
      </w:pPr>
      <w:bookmarkStart w:id="27" w:name="_Toc15377206"/>
      <w:bookmarkStart w:id="28" w:name="_Toc26486"/>
      <w:bookmarkStart w:id="29" w:name="_Toc15396604"/>
      <w:r>
        <w:rPr>
          <w:rFonts w:hint="eastAsia" w:ascii="黑体" w:hAnsi="黑体" w:eastAsia="黑体"/>
          <w:sz w:val="32"/>
          <w:szCs w:val="32"/>
        </w:rPr>
        <w:t>收</w:t>
      </w:r>
      <w:r>
        <w:rPr>
          <w:rStyle w:val="30"/>
          <w:rFonts w:hint="eastAsia" w:ascii="黑体" w:hAnsi="黑体" w:eastAsia="黑体"/>
          <w:b w:val="0"/>
        </w:rPr>
        <w:t>入决算情况说明</w:t>
      </w:r>
      <w:bookmarkEnd w:id="27"/>
      <w:bookmarkEnd w:id="28"/>
      <w:bookmarkEnd w:id="29"/>
    </w:p>
    <w:p w14:paraId="1276BC71">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en-US" w:eastAsia="zh-CN" w:bidi="ar-SA"/>
        </w:rPr>
      </w:pPr>
      <w:bookmarkStart w:id="30" w:name="_Toc27990"/>
      <w:r>
        <w:rPr>
          <w:rFonts w:hint="eastAsia" w:ascii="仿宋_GB2312" w:hAnsi="仿宋_GB2312" w:eastAsia="仿宋_GB2312" w:cs="Times New Roman"/>
          <w:color w:val="auto"/>
          <w:kern w:val="2"/>
          <w:sz w:val="32"/>
          <w:szCs w:val="24"/>
          <w:lang w:val="zh-CN" w:eastAsia="zh-CN" w:bidi="ar-SA"/>
        </w:rPr>
        <w:t>2024年度本年收入合计</w:t>
      </w:r>
      <w:r>
        <w:rPr>
          <w:rFonts w:hint="eastAsia" w:ascii="仿宋_GB2312" w:hAnsi="仿宋_GB2312" w:eastAsia="仿宋_GB2312" w:cs="Times New Roman"/>
          <w:color w:val="auto"/>
          <w:kern w:val="2"/>
          <w:sz w:val="32"/>
          <w:szCs w:val="24"/>
          <w:lang w:val="en-US" w:eastAsia="zh-CN" w:bidi="ar-SA"/>
        </w:rPr>
        <w:t>973.37</w:t>
      </w:r>
      <w:r>
        <w:rPr>
          <w:rFonts w:hint="eastAsia" w:ascii="仿宋_GB2312" w:hAnsi="仿宋_GB2312" w:eastAsia="仿宋_GB2312" w:cs="Times New Roman"/>
          <w:color w:val="auto"/>
          <w:kern w:val="2"/>
          <w:sz w:val="32"/>
          <w:szCs w:val="24"/>
          <w:lang w:val="zh-CN" w:eastAsia="zh-CN" w:bidi="ar-SA"/>
        </w:rPr>
        <w:t>万元，其中：一般公共预算财政拨款收入932.4万元，占</w:t>
      </w:r>
      <w:r>
        <w:rPr>
          <w:rFonts w:hint="eastAsia" w:ascii="仿宋_GB2312" w:hAnsi="仿宋_GB2312" w:eastAsia="仿宋_GB2312" w:cs="Times New Roman"/>
          <w:color w:val="auto"/>
          <w:kern w:val="2"/>
          <w:sz w:val="32"/>
          <w:szCs w:val="24"/>
          <w:lang w:val="en-US" w:eastAsia="zh-CN" w:bidi="ar-SA"/>
        </w:rPr>
        <w:t>95.8</w:t>
      </w:r>
      <w:r>
        <w:rPr>
          <w:rFonts w:hint="eastAsia" w:ascii="仿宋_GB2312" w:hAnsi="仿宋_GB2312" w:eastAsia="仿宋_GB2312" w:cs="Times New Roman"/>
          <w:color w:val="auto"/>
          <w:kern w:val="2"/>
          <w:sz w:val="32"/>
          <w:szCs w:val="24"/>
          <w:lang w:val="zh-CN" w:eastAsia="zh-CN" w:bidi="ar-SA"/>
        </w:rPr>
        <w:t>%；其他收入40.97万元，占</w:t>
      </w:r>
      <w:r>
        <w:rPr>
          <w:rFonts w:hint="eastAsia" w:ascii="仿宋_GB2312" w:hAnsi="仿宋_GB2312" w:eastAsia="仿宋_GB2312" w:cs="Times New Roman"/>
          <w:color w:val="auto"/>
          <w:kern w:val="2"/>
          <w:sz w:val="32"/>
          <w:szCs w:val="24"/>
          <w:lang w:val="en-US" w:eastAsia="zh-CN" w:bidi="ar-SA"/>
        </w:rPr>
        <w:t>4.2</w:t>
      </w:r>
      <w:r>
        <w:rPr>
          <w:rFonts w:hint="eastAsia" w:ascii="仿宋_GB2312" w:hAnsi="仿宋_GB2312" w:eastAsia="仿宋_GB2312" w:cs="Times New Roman"/>
          <w:color w:val="auto"/>
          <w:kern w:val="2"/>
          <w:sz w:val="32"/>
          <w:szCs w:val="24"/>
          <w:lang w:val="zh-CN" w:eastAsia="zh-CN" w:bidi="ar-SA"/>
        </w:rPr>
        <w:t>%</w:t>
      </w:r>
      <w:bookmarkEnd w:id="30"/>
      <w:r>
        <w:rPr>
          <w:rFonts w:hint="eastAsia" w:ascii="仿宋_GB2312" w:hAnsi="仿宋_GB2312" w:eastAsia="仿宋_GB2312" w:cs="Times New Roman"/>
          <w:color w:val="auto"/>
          <w:kern w:val="2"/>
          <w:sz w:val="32"/>
          <w:szCs w:val="24"/>
          <w:lang w:val="zh-CN" w:eastAsia="zh-CN" w:bidi="ar-SA"/>
        </w:rPr>
        <w:t>。</w:t>
      </w:r>
    </w:p>
    <w:p w14:paraId="3BABBB20">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图2：收入决算结构图</w:t>
      </w:r>
    </w:p>
    <w:p w14:paraId="08F64772">
      <w:pPr>
        <w:pStyle w:val="2"/>
        <w:rPr>
          <w:rFonts w:ascii="仿宋_GB2312" w:eastAsia="仿宋_GB2312"/>
          <w:sz w:val="32"/>
          <w:szCs w:val="32"/>
        </w:rPr>
      </w:pPr>
      <w:r>
        <w:rPr>
          <w:rFonts w:hint="eastAsia" w:eastAsia="仿宋"/>
          <w:lang w:eastAsia="zh-CN"/>
        </w:rPr>
        <w:drawing>
          <wp:inline distT="0" distB="0" distL="114300" distR="114300">
            <wp:extent cx="4481195" cy="2991485"/>
            <wp:effectExtent l="4445" t="4445" r="10160" b="1397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CB67503">
      <w:pPr>
        <w:pStyle w:val="28"/>
        <w:numPr>
          <w:ilvl w:val="0"/>
          <w:numId w:val="2"/>
        </w:numPr>
        <w:spacing w:line="600" w:lineRule="exact"/>
        <w:ind w:firstLineChars="0"/>
        <w:outlineLvl w:val="1"/>
        <w:rPr>
          <w:rStyle w:val="30"/>
          <w:rFonts w:ascii="黑体" w:hAnsi="黑体" w:eastAsia="黑体"/>
          <w:b w:val="0"/>
        </w:rPr>
      </w:pPr>
      <w:bookmarkStart w:id="31" w:name="_Toc15396605"/>
      <w:bookmarkStart w:id="32" w:name="_Toc15377207"/>
      <w:bookmarkStart w:id="33" w:name="_Toc24026"/>
      <w:r>
        <w:rPr>
          <w:rFonts w:hint="eastAsia" w:ascii="黑体" w:hAnsi="黑体" w:eastAsia="黑体"/>
          <w:sz w:val="32"/>
          <w:szCs w:val="32"/>
        </w:rPr>
        <w:t>支</w:t>
      </w:r>
      <w:r>
        <w:rPr>
          <w:rStyle w:val="30"/>
          <w:rFonts w:hint="eastAsia" w:ascii="黑体" w:hAnsi="黑体" w:eastAsia="黑体"/>
          <w:b w:val="0"/>
        </w:rPr>
        <w:t>出决算情况说明</w:t>
      </w:r>
      <w:bookmarkEnd w:id="31"/>
      <w:bookmarkEnd w:id="32"/>
      <w:bookmarkEnd w:id="33"/>
    </w:p>
    <w:p w14:paraId="6282812A">
      <w:pPr>
        <w:spacing w:line="360" w:lineRule="auto"/>
        <w:ind w:left="319" w:leftChars="152" w:right="103" w:rightChars="49" w:firstLine="480" w:firstLineChars="150"/>
        <w:rPr>
          <w:rFonts w:hint="default" w:ascii="仿宋_GB2312" w:hAnsi="仿宋_GB2312" w:eastAsia="仿宋_GB2312" w:cs="Times New Roman"/>
          <w:color w:val="auto"/>
          <w:kern w:val="2"/>
          <w:sz w:val="32"/>
          <w:szCs w:val="24"/>
          <w:lang w:val="en-US" w:eastAsia="zh-CN" w:bidi="ar-SA"/>
        </w:rPr>
      </w:pPr>
      <w:bookmarkStart w:id="34" w:name="_Toc10262"/>
      <w:r>
        <w:rPr>
          <w:rFonts w:hint="eastAsia" w:ascii="仿宋_GB2312" w:hAnsi="仿宋_GB2312" w:eastAsia="仿宋_GB2312" w:cs="Times New Roman"/>
          <w:color w:val="auto"/>
          <w:kern w:val="2"/>
          <w:sz w:val="32"/>
          <w:szCs w:val="24"/>
          <w:lang w:val="zh-CN" w:eastAsia="zh-CN" w:bidi="ar-SA"/>
        </w:rPr>
        <w:t>2024年度本年支出合计</w:t>
      </w:r>
      <w:r>
        <w:rPr>
          <w:rFonts w:hint="eastAsia" w:ascii="仿宋_GB2312" w:hAnsi="仿宋_GB2312" w:eastAsia="仿宋_GB2312" w:cs="Times New Roman"/>
          <w:color w:val="auto"/>
          <w:kern w:val="2"/>
          <w:sz w:val="32"/>
          <w:szCs w:val="24"/>
          <w:lang w:val="en-US" w:eastAsia="zh-CN" w:bidi="ar-SA"/>
        </w:rPr>
        <w:t>974.36</w:t>
      </w:r>
      <w:r>
        <w:rPr>
          <w:rFonts w:hint="eastAsia" w:ascii="仿宋_GB2312" w:hAnsi="仿宋_GB2312" w:eastAsia="仿宋_GB2312" w:cs="Times New Roman"/>
          <w:color w:val="auto"/>
          <w:kern w:val="2"/>
          <w:sz w:val="32"/>
          <w:szCs w:val="24"/>
          <w:lang w:val="zh-CN" w:eastAsia="zh-CN" w:bidi="ar-SA"/>
        </w:rPr>
        <w:t>万元，其中：基本支出859.37万元，占</w:t>
      </w:r>
      <w:r>
        <w:rPr>
          <w:rFonts w:hint="eastAsia" w:ascii="仿宋_GB2312" w:hAnsi="仿宋_GB2312" w:eastAsia="仿宋_GB2312" w:cs="Times New Roman"/>
          <w:color w:val="auto"/>
          <w:kern w:val="2"/>
          <w:sz w:val="32"/>
          <w:szCs w:val="24"/>
          <w:lang w:val="en-US" w:eastAsia="zh-CN" w:bidi="ar-SA"/>
        </w:rPr>
        <w:t>88.2</w:t>
      </w:r>
      <w:r>
        <w:rPr>
          <w:rFonts w:hint="eastAsia" w:ascii="仿宋_GB2312" w:hAnsi="仿宋_GB2312" w:eastAsia="仿宋_GB2312" w:cs="Times New Roman"/>
          <w:color w:val="auto"/>
          <w:kern w:val="2"/>
          <w:sz w:val="32"/>
          <w:szCs w:val="24"/>
          <w:lang w:val="zh-CN" w:eastAsia="zh-CN" w:bidi="ar-SA"/>
        </w:rPr>
        <w:t>%；项目支出114.99万元，占</w:t>
      </w:r>
      <w:r>
        <w:rPr>
          <w:rFonts w:hint="eastAsia" w:ascii="仿宋_GB2312" w:hAnsi="仿宋_GB2312" w:eastAsia="仿宋_GB2312" w:cs="Times New Roman"/>
          <w:color w:val="auto"/>
          <w:kern w:val="2"/>
          <w:sz w:val="32"/>
          <w:szCs w:val="24"/>
          <w:lang w:val="en-US" w:eastAsia="zh-CN" w:bidi="ar-SA"/>
        </w:rPr>
        <w:t>11.8</w:t>
      </w:r>
      <w:r>
        <w:rPr>
          <w:rFonts w:hint="eastAsia" w:ascii="仿宋_GB2312" w:hAnsi="仿宋_GB2312" w:eastAsia="仿宋_GB2312" w:cs="Times New Roman"/>
          <w:color w:val="auto"/>
          <w:kern w:val="2"/>
          <w:sz w:val="32"/>
          <w:szCs w:val="24"/>
          <w:lang w:val="zh-CN" w:eastAsia="zh-CN" w:bidi="ar-SA"/>
        </w:rPr>
        <w:t>%</w:t>
      </w:r>
      <w:r>
        <w:rPr>
          <w:rFonts w:hint="eastAsia" w:ascii="仿宋_GB2312" w:hAnsi="仿宋_GB2312" w:eastAsia="仿宋_GB2312" w:cs="Times New Roman"/>
          <w:color w:val="auto"/>
          <w:kern w:val="2"/>
          <w:sz w:val="32"/>
          <w:szCs w:val="24"/>
          <w:lang w:val="en-US" w:eastAsia="zh-CN" w:bidi="ar-SA"/>
        </w:rPr>
        <w:t>。</w:t>
      </w:r>
      <w:bookmarkEnd w:id="34"/>
    </w:p>
    <w:p w14:paraId="32BC7C92">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图3：支出决算结构图</w:t>
      </w:r>
    </w:p>
    <w:p w14:paraId="49BA3FE2">
      <w:pPr>
        <w:pStyle w:val="2"/>
        <w:rPr>
          <w:rFonts w:hint="eastAsia" w:ascii="仿宋_GB2312" w:eastAsia="仿宋_GB2312"/>
          <w:sz w:val="32"/>
          <w:szCs w:val="32"/>
          <w:lang w:eastAsia="zh-CN"/>
        </w:rPr>
      </w:pPr>
      <w:r>
        <w:rPr>
          <w:rFonts w:hint="eastAsia" w:eastAsia="仿宋"/>
          <w:lang w:eastAsia="zh-CN"/>
        </w:rPr>
        <w:drawing>
          <wp:inline distT="0" distB="0" distL="114300" distR="114300">
            <wp:extent cx="4403090" cy="3314700"/>
            <wp:effectExtent l="4445" t="4445" r="12065" b="1460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1EED598">
      <w:pPr>
        <w:spacing w:line="600" w:lineRule="exact"/>
        <w:ind w:firstLine="640" w:firstLineChars="200"/>
        <w:outlineLvl w:val="1"/>
        <w:rPr>
          <w:rStyle w:val="30"/>
          <w:rFonts w:ascii="黑体" w:hAnsi="黑体" w:eastAsia="黑体"/>
          <w:b w:val="0"/>
        </w:rPr>
      </w:pPr>
      <w:bookmarkStart w:id="35" w:name="_Toc20346"/>
      <w:bookmarkStart w:id="36" w:name="_Toc15396606"/>
      <w:bookmarkStart w:id="37" w:name="_Toc15377208"/>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35"/>
      <w:bookmarkEnd w:id="36"/>
      <w:bookmarkEnd w:id="37"/>
    </w:p>
    <w:p w14:paraId="1C3E6EB9">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2024年度财政拨款收、支总计均为932.4万元。与2023年度1323.81</w:t>
      </w:r>
      <w:r>
        <w:rPr>
          <w:rFonts w:hint="eastAsia" w:ascii="仿宋_GB2312" w:hAnsi="仿宋_GB2312" w:eastAsia="仿宋_GB2312" w:cs="Times New Roman"/>
          <w:color w:val="auto"/>
          <w:kern w:val="2"/>
          <w:sz w:val="32"/>
          <w:szCs w:val="24"/>
          <w:lang w:val="en-US" w:eastAsia="zh-CN" w:bidi="ar-SA"/>
        </w:rPr>
        <w:t>万元</w:t>
      </w:r>
      <w:r>
        <w:rPr>
          <w:rFonts w:hint="eastAsia" w:ascii="仿宋_GB2312" w:hAnsi="仿宋_GB2312" w:eastAsia="仿宋_GB2312" w:cs="Times New Roman"/>
          <w:color w:val="auto"/>
          <w:kern w:val="2"/>
          <w:sz w:val="32"/>
          <w:szCs w:val="24"/>
          <w:lang w:val="zh-CN" w:eastAsia="zh-CN" w:bidi="ar-SA"/>
        </w:rPr>
        <w:t>相比，财政拨款收、支总计各减少</w:t>
      </w:r>
      <w:r>
        <w:rPr>
          <w:rFonts w:hint="eastAsia" w:ascii="仿宋_GB2312" w:hAnsi="仿宋_GB2312" w:eastAsia="仿宋_GB2312" w:cs="Times New Roman"/>
          <w:color w:val="auto"/>
          <w:kern w:val="2"/>
          <w:sz w:val="32"/>
          <w:szCs w:val="24"/>
          <w:lang w:val="en-US" w:eastAsia="zh-CN" w:bidi="ar-SA"/>
        </w:rPr>
        <w:t>391.41</w:t>
      </w:r>
      <w:r>
        <w:rPr>
          <w:rFonts w:hint="eastAsia" w:ascii="仿宋_GB2312" w:hAnsi="仿宋_GB2312" w:eastAsia="仿宋_GB2312" w:cs="Times New Roman"/>
          <w:color w:val="auto"/>
          <w:kern w:val="2"/>
          <w:sz w:val="32"/>
          <w:szCs w:val="24"/>
          <w:lang w:val="zh-CN" w:eastAsia="zh-CN" w:bidi="ar-SA"/>
        </w:rPr>
        <w:t>万元，下降</w:t>
      </w:r>
      <w:r>
        <w:rPr>
          <w:rFonts w:hint="eastAsia" w:ascii="仿宋_GB2312" w:hAnsi="仿宋_GB2312" w:eastAsia="仿宋_GB2312" w:cs="Times New Roman"/>
          <w:color w:val="auto"/>
          <w:kern w:val="2"/>
          <w:sz w:val="32"/>
          <w:szCs w:val="24"/>
          <w:lang w:val="en-US" w:eastAsia="zh-CN" w:bidi="ar-SA"/>
        </w:rPr>
        <w:t>29.6</w:t>
      </w:r>
      <w:r>
        <w:rPr>
          <w:rFonts w:hint="eastAsia" w:ascii="仿宋_GB2312" w:hAnsi="仿宋_GB2312" w:eastAsia="仿宋_GB2312" w:cs="Times New Roman"/>
          <w:color w:val="auto"/>
          <w:kern w:val="2"/>
          <w:sz w:val="32"/>
          <w:szCs w:val="24"/>
          <w:lang w:val="zh-CN" w:eastAsia="zh-CN" w:bidi="ar-SA"/>
        </w:rPr>
        <w:t>%。主要变动原因是：在收入方面，一般公共预算财政拨款收入减少</w:t>
      </w:r>
      <w:r>
        <w:rPr>
          <w:rFonts w:hint="eastAsia" w:ascii="仿宋_GB2312" w:hAnsi="仿宋_GB2312" w:eastAsia="仿宋_GB2312" w:cs="Times New Roman"/>
          <w:color w:val="auto"/>
          <w:kern w:val="2"/>
          <w:sz w:val="32"/>
          <w:szCs w:val="24"/>
          <w:lang w:val="en-US" w:eastAsia="zh-CN" w:bidi="ar-SA"/>
        </w:rPr>
        <w:t>391.41万元；</w:t>
      </w:r>
      <w:r>
        <w:rPr>
          <w:rFonts w:hint="eastAsia" w:ascii="仿宋_GB2312" w:hAnsi="仿宋_GB2312" w:eastAsia="仿宋_GB2312" w:cs="Times New Roman"/>
          <w:color w:val="auto"/>
          <w:kern w:val="2"/>
          <w:sz w:val="32"/>
          <w:szCs w:val="24"/>
          <w:lang w:val="zh-CN" w:eastAsia="zh-CN" w:bidi="ar-SA"/>
        </w:rPr>
        <w:t>在支出方面，文化旅游体育与传媒支出增加</w:t>
      </w:r>
      <w:r>
        <w:rPr>
          <w:rFonts w:hint="eastAsia" w:ascii="仿宋_GB2312" w:hAnsi="仿宋_GB2312" w:eastAsia="仿宋_GB2312" w:cs="Times New Roman"/>
          <w:color w:val="auto"/>
          <w:kern w:val="2"/>
          <w:sz w:val="32"/>
          <w:szCs w:val="24"/>
          <w:lang w:val="en-US" w:eastAsia="zh-CN" w:bidi="ar-SA"/>
        </w:rPr>
        <w:t>1.28</w:t>
      </w:r>
      <w:r>
        <w:rPr>
          <w:rFonts w:hint="eastAsia" w:ascii="仿宋_GB2312" w:hAnsi="仿宋_GB2312" w:eastAsia="仿宋_GB2312" w:cs="Times New Roman"/>
          <w:color w:val="auto"/>
          <w:kern w:val="2"/>
          <w:sz w:val="32"/>
          <w:szCs w:val="24"/>
          <w:lang w:val="zh-CN" w:eastAsia="zh-CN" w:bidi="ar-SA"/>
        </w:rPr>
        <w:t>万元、社会保障和就业支出减少</w:t>
      </w:r>
      <w:r>
        <w:rPr>
          <w:rFonts w:hint="eastAsia" w:ascii="仿宋_GB2312" w:hAnsi="仿宋_GB2312" w:eastAsia="仿宋_GB2312" w:cs="Times New Roman"/>
          <w:color w:val="auto"/>
          <w:kern w:val="2"/>
          <w:sz w:val="32"/>
          <w:szCs w:val="24"/>
          <w:lang w:val="en-US" w:eastAsia="zh-CN" w:bidi="ar-SA"/>
        </w:rPr>
        <w:t>102.09</w:t>
      </w:r>
      <w:r>
        <w:rPr>
          <w:rFonts w:hint="eastAsia" w:ascii="仿宋_GB2312" w:hAnsi="仿宋_GB2312" w:eastAsia="仿宋_GB2312" w:cs="Times New Roman"/>
          <w:color w:val="auto"/>
          <w:kern w:val="2"/>
          <w:sz w:val="32"/>
          <w:szCs w:val="24"/>
          <w:lang w:val="zh-CN" w:eastAsia="zh-CN" w:bidi="ar-SA"/>
        </w:rPr>
        <w:t>万元、卫生健康支出减少</w:t>
      </w:r>
      <w:r>
        <w:rPr>
          <w:rFonts w:hint="eastAsia" w:ascii="仿宋_GB2312" w:hAnsi="仿宋_GB2312" w:eastAsia="仿宋_GB2312" w:cs="Times New Roman"/>
          <w:color w:val="auto"/>
          <w:kern w:val="2"/>
          <w:sz w:val="32"/>
          <w:szCs w:val="24"/>
          <w:lang w:val="en-US" w:eastAsia="zh-CN" w:bidi="ar-SA"/>
        </w:rPr>
        <w:t>4.49</w:t>
      </w:r>
      <w:r>
        <w:rPr>
          <w:rFonts w:hint="eastAsia" w:ascii="仿宋_GB2312" w:hAnsi="仿宋_GB2312" w:eastAsia="仿宋_GB2312" w:cs="Times New Roman"/>
          <w:color w:val="auto"/>
          <w:kern w:val="2"/>
          <w:sz w:val="32"/>
          <w:szCs w:val="24"/>
          <w:lang w:val="zh-CN" w:eastAsia="zh-CN" w:bidi="ar-SA"/>
        </w:rPr>
        <w:t>万元、城乡社区支出减少</w:t>
      </w:r>
      <w:r>
        <w:rPr>
          <w:rFonts w:hint="eastAsia" w:ascii="仿宋_GB2312" w:hAnsi="仿宋_GB2312" w:eastAsia="仿宋_GB2312" w:cs="Times New Roman"/>
          <w:color w:val="auto"/>
          <w:kern w:val="2"/>
          <w:sz w:val="32"/>
          <w:szCs w:val="24"/>
          <w:lang w:val="en-US" w:eastAsia="zh-CN" w:bidi="ar-SA"/>
        </w:rPr>
        <w:t>255.14</w:t>
      </w:r>
      <w:r>
        <w:rPr>
          <w:rFonts w:hint="eastAsia" w:ascii="仿宋_GB2312" w:hAnsi="仿宋_GB2312" w:eastAsia="仿宋_GB2312" w:cs="Times New Roman"/>
          <w:color w:val="auto"/>
          <w:kern w:val="2"/>
          <w:sz w:val="32"/>
          <w:szCs w:val="24"/>
          <w:lang w:val="zh-CN" w:eastAsia="zh-CN" w:bidi="ar-SA"/>
        </w:rPr>
        <w:t>万元、</w:t>
      </w:r>
      <w:r>
        <w:rPr>
          <w:rFonts w:hint="eastAsia" w:ascii="仿宋_GB2312" w:hAnsi="仿宋_GB2312" w:eastAsia="仿宋_GB2312" w:cs="Times New Roman"/>
          <w:color w:val="auto"/>
          <w:kern w:val="2"/>
          <w:sz w:val="32"/>
          <w:szCs w:val="24"/>
          <w:lang w:val="en-US" w:eastAsia="zh-CN" w:bidi="ar-SA"/>
        </w:rPr>
        <w:t>交通运输支出减少17.24万元、</w:t>
      </w:r>
      <w:r>
        <w:rPr>
          <w:rFonts w:hint="eastAsia" w:ascii="仿宋_GB2312" w:hAnsi="仿宋_GB2312" w:eastAsia="仿宋_GB2312" w:cs="Times New Roman"/>
          <w:color w:val="auto"/>
          <w:kern w:val="2"/>
          <w:sz w:val="32"/>
          <w:szCs w:val="24"/>
          <w:lang w:val="zh-CN" w:eastAsia="zh-CN" w:bidi="ar-SA"/>
        </w:rPr>
        <w:t>住房保障支出减少</w:t>
      </w:r>
      <w:r>
        <w:rPr>
          <w:rFonts w:hint="eastAsia" w:ascii="仿宋_GB2312" w:hAnsi="仿宋_GB2312" w:eastAsia="仿宋_GB2312" w:cs="Times New Roman"/>
          <w:color w:val="auto"/>
          <w:kern w:val="2"/>
          <w:sz w:val="32"/>
          <w:szCs w:val="24"/>
          <w:lang w:val="en-US" w:eastAsia="zh-CN" w:bidi="ar-SA"/>
        </w:rPr>
        <w:t>13.73</w:t>
      </w:r>
      <w:r>
        <w:rPr>
          <w:rFonts w:hint="eastAsia" w:ascii="仿宋_GB2312" w:hAnsi="仿宋_GB2312" w:eastAsia="仿宋_GB2312" w:cs="Times New Roman"/>
          <w:color w:val="auto"/>
          <w:kern w:val="2"/>
          <w:sz w:val="32"/>
          <w:szCs w:val="24"/>
          <w:lang w:val="zh-CN" w:eastAsia="zh-CN" w:bidi="ar-SA"/>
        </w:rPr>
        <w:t>万元所致。</w:t>
      </w:r>
    </w:p>
    <w:p w14:paraId="1FF7383E">
      <w:pPr>
        <w:pStyle w:val="2"/>
      </w:pPr>
    </w:p>
    <w:p w14:paraId="314D4657">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图4：财政拨款收、支决算总计变动情况</w:t>
      </w:r>
    </w:p>
    <w:p w14:paraId="1DC6B0C0">
      <w:pPr>
        <w:pStyle w:val="2"/>
      </w:pPr>
    </w:p>
    <w:p w14:paraId="671EED15">
      <w:pPr>
        <w:spacing w:line="240" w:lineRule="auto"/>
        <w:ind w:firstLine="640"/>
        <w:rPr>
          <w:rFonts w:hint="eastAsia" w:ascii="仿宋" w:hAnsi="仿宋" w:eastAsia="仿宋"/>
          <w:b/>
          <w:sz w:val="32"/>
          <w:szCs w:val="32"/>
          <w:lang w:eastAsia="zh-CN"/>
        </w:rPr>
      </w:pPr>
      <w:r>
        <w:rPr>
          <w:rFonts w:hint="eastAsia" w:ascii="仿宋" w:hAnsi="仿宋" w:eastAsia="仿宋"/>
          <w:b/>
          <w:sz w:val="32"/>
          <w:szCs w:val="32"/>
          <w:lang w:eastAsia="zh-CN"/>
        </w:rPr>
        <w:drawing>
          <wp:inline distT="0" distB="0" distL="114300" distR="114300">
            <wp:extent cx="4584065" cy="2755265"/>
            <wp:effectExtent l="0" t="0" r="6985" b="6985"/>
            <wp:docPr id="15" name="图片 15"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图片4"/>
                    <pic:cNvPicPr>
                      <a:picLocks noChangeAspect="1"/>
                    </pic:cNvPicPr>
                  </pic:nvPicPr>
                  <pic:blipFill>
                    <a:blip r:embed="rId12"/>
                    <a:stretch>
                      <a:fillRect/>
                    </a:stretch>
                  </pic:blipFill>
                  <pic:spPr>
                    <a:xfrm>
                      <a:off x="0" y="0"/>
                      <a:ext cx="4584065" cy="2755265"/>
                    </a:xfrm>
                    <a:prstGeom prst="rect">
                      <a:avLst/>
                    </a:prstGeom>
                  </pic:spPr>
                </pic:pic>
              </a:graphicData>
            </a:graphic>
          </wp:inline>
        </w:drawing>
      </w:r>
    </w:p>
    <w:p w14:paraId="507E828E">
      <w:pPr>
        <w:spacing w:line="600" w:lineRule="exact"/>
        <w:ind w:firstLine="640" w:firstLineChars="200"/>
        <w:outlineLvl w:val="1"/>
        <w:rPr>
          <w:rStyle w:val="30"/>
          <w:rFonts w:ascii="黑体" w:hAnsi="黑体" w:eastAsia="黑体"/>
          <w:b w:val="0"/>
        </w:rPr>
      </w:pPr>
      <w:bookmarkStart w:id="38" w:name="_Toc15377209"/>
      <w:bookmarkStart w:id="39" w:name="_Toc31411"/>
      <w:bookmarkStart w:id="40" w:name="_Toc15396607"/>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38"/>
      <w:bookmarkEnd w:id="39"/>
      <w:bookmarkEnd w:id="40"/>
    </w:p>
    <w:p w14:paraId="2CA9B29B">
      <w:pPr>
        <w:spacing w:line="600" w:lineRule="exact"/>
        <w:ind w:firstLine="643" w:firstLineChars="200"/>
        <w:outlineLvl w:val="2"/>
        <w:rPr>
          <w:rFonts w:hint="eastAsia" w:ascii="仿宋" w:hAnsi="仿宋" w:eastAsia="仿宋"/>
          <w:b/>
          <w:sz w:val="32"/>
          <w:szCs w:val="32"/>
        </w:rPr>
      </w:pPr>
      <w:bookmarkStart w:id="41" w:name="_Toc15377210"/>
      <w:r>
        <w:rPr>
          <w:rFonts w:hint="eastAsia" w:ascii="仿宋" w:hAnsi="仿宋" w:eastAsia="仿宋"/>
          <w:b/>
          <w:sz w:val="32"/>
          <w:szCs w:val="32"/>
        </w:rPr>
        <w:t>（一）一般公共预算财政拨款支出决算总体情况</w:t>
      </w:r>
      <w:bookmarkEnd w:id="41"/>
    </w:p>
    <w:p w14:paraId="44B898A6">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2024年度一般公共预算财政拨款支出932.4万元，占本年支出合计的</w:t>
      </w:r>
      <w:r>
        <w:rPr>
          <w:rFonts w:hint="eastAsia" w:ascii="仿宋_GB2312" w:hAnsi="仿宋_GB2312" w:eastAsia="仿宋_GB2312" w:cs="Times New Roman"/>
          <w:color w:val="auto"/>
          <w:kern w:val="2"/>
          <w:sz w:val="32"/>
          <w:szCs w:val="24"/>
          <w:lang w:val="en-US" w:eastAsia="zh-CN" w:bidi="ar-SA"/>
        </w:rPr>
        <w:t>95.69%</w:t>
      </w:r>
      <w:r>
        <w:rPr>
          <w:rFonts w:hint="eastAsia" w:ascii="仿宋_GB2312" w:hAnsi="仿宋_GB2312" w:eastAsia="仿宋_GB2312" w:cs="Times New Roman"/>
          <w:color w:val="auto"/>
          <w:kern w:val="2"/>
          <w:sz w:val="32"/>
          <w:szCs w:val="24"/>
          <w:lang w:val="zh-CN" w:eastAsia="zh-CN" w:bidi="ar-SA"/>
        </w:rPr>
        <w:t>。与2023年度</w:t>
      </w:r>
      <w:r>
        <w:rPr>
          <w:rFonts w:hint="eastAsia" w:ascii="仿宋_GB2312" w:hAnsi="仿宋_GB2312" w:eastAsia="仿宋_GB2312" w:cs="Times New Roman"/>
          <w:color w:val="auto"/>
          <w:kern w:val="2"/>
          <w:sz w:val="32"/>
          <w:szCs w:val="24"/>
          <w:lang w:val="en-US" w:eastAsia="zh-CN" w:bidi="ar-SA"/>
        </w:rPr>
        <w:t>1323.81万元</w:t>
      </w:r>
      <w:r>
        <w:rPr>
          <w:rFonts w:hint="eastAsia" w:ascii="仿宋_GB2312" w:hAnsi="仿宋_GB2312" w:eastAsia="仿宋_GB2312" w:cs="Times New Roman"/>
          <w:color w:val="auto"/>
          <w:kern w:val="2"/>
          <w:sz w:val="32"/>
          <w:szCs w:val="24"/>
          <w:lang w:val="zh-CN" w:eastAsia="zh-CN" w:bidi="ar-SA"/>
        </w:rPr>
        <w:t>相比，一般公共预算财政拨款支出减少</w:t>
      </w:r>
      <w:r>
        <w:rPr>
          <w:rFonts w:hint="eastAsia" w:ascii="仿宋_GB2312" w:hAnsi="仿宋_GB2312" w:eastAsia="仿宋_GB2312" w:cs="Times New Roman"/>
          <w:color w:val="auto"/>
          <w:kern w:val="2"/>
          <w:sz w:val="32"/>
          <w:szCs w:val="24"/>
          <w:lang w:val="en-US" w:eastAsia="zh-CN" w:bidi="ar-SA"/>
        </w:rPr>
        <w:t>391.41</w:t>
      </w:r>
      <w:r>
        <w:rPr>
          <w:rFonts w:hint="eastAsia" w:ascii="仿宋_GB2312" w:hAnsi="仿宋_GB2312" w:eastAsia="仿宋_GB2312" w:cs="Times New Roman"/>
          <w:color w:val="auto"/>
          <w:kern w:val="2"/>
          <w:sz w:val="32"/>
          <w:szCs w:val="24"/>
          <w:lang w:val="zh-CN" w:eastAsia="zh-CN" w:bidi="ar-SA"/>
        </w:rPr>
        <w:t>万元，下降</w:t>
      </w:r>
      <w:r>
        <w:rPr>
          <w:rFonts w:hint="eastAsia" w:ascii="仿宋_GB2312" w:hAnsi="仿宋_GB2312" w:eastAsia="仿宋_GB2312" w:cs="Times New Roman"/>
          <w:color w:val="auto"/>
          <w:kern w:val="2"/>
          <w:sz w:val="32"/>
          <w:szCs w:val="24"/>
          <w:lang w:val="en-US" w:eastAsia="zh-CN" w:bidi="ar-SA"/>
        </w:rPr>
        <w:t>41.8</w:t>
      </w:r>
      <w:r>
        <w:rPr>
          <w:rFonts w:hint="eastAsia" w:ascii="仿宋_GB2312" w:hAnsi="仿宋_GB2312" w:eastAsia="仿宋_GB2312" w:cs="Times New Roman"/>
          <w:color w:val="auto"/>
          <w:kern w:val="2"/>
          <w:sz w:val="32"/>
          <w:szCs w:val="24"/>
          <w:lang w:val="zh-CN" w:eastAsia="zh-CN" w:bidi="ar-SA"/>
        </w:rPr>
        <w:t>%。主要变动原因是文化旅游体育与传媒支出增加</w:t>
      </w:r>
      <w:r>
        <w:rPr>
          <w:rFonts w:hint="eastAsia" w:ascii="仿宋_GB2312" w:hAnsi="仿宋_GB2312" w:eastAsia="仿宋_GB2312" w:cs="Times New Roman"/>
          <w:color w:val="auto"/>
          <w:kern w:val="2"/>
          <w:sz w:val="32"/>
          <w:szCs w:val="24"/>
          <w:lang w:val="en-US" w:eastAsia="zh-CN" w:bidi="ar-SA"/>
        </w:rPr>
        <w:t>1.28</w:t>
      </w:r>
      <w:r>
        <w:rPr>
          <w:rFonts w:hint="eastAsia" w:ascii="仿宋_GB2312" w:hAnsi="仿宋_GB2312" w:eastAsia="仿宋_GB2312" w:cs="Times New Roman"/>
          <w:color w:val="auto"/>
          <w:kern w:val="2"/>
          <w:sz w:val="32"/>
          <w:szCs w:val="24"/>
          <w:lang w:val="zh-CN" w:eastAsia="zh-CN" w:bidi="ar-SA"/>
        </w:rPr>
        <w:t>万元、社会保障和就业支出减少</w:t>
      </w:r>
      <w:r>
        <w:rPr>
          <w:rFonts w:hint="eastAsia" w:ascii="仿宋_GB2312" w:hAnsi="仿宋_GB2312" w:eastAsia="仿宋_GB2312" w:cs="Times New Roman"/>
          <w:color w:val="auto"/>
          <w:kern w:val="2"/>
          <w:sz w:val="32"/>
          <w:szCs w:val="24"/>
          <w:lang w:val="en-US" w:eastAsia="zh-CN" w:bidi="ar-SA"/>
        </w:rPr>
        <w:t>102.09</w:t>
      </w:r>
      <w:r>
        <w:rPr>
          <w:rFonts w:hint="eastAsia" w:ascii="仿宋_GB2312" w:hAnsi="仿宋_GB2312" w:eastAsia="仿宋_GB2312" w:cs="Times New Roman"/>
          <w:color w:val="auto"/>
          <w:kern w:val="2"/>
          <w:sz w:val="32"/>
          <w:szCs w:val="24"/>
          <w:lang w:val="zh-CN" w:eastAsia="zh-CN" w:bidi="ar-SA"/>
        </w:rPr>
        <w:t>万元、卫生健康支出减少</w:t>
      </w:r>
      <w:r>
        <w:rPr>
          <w:rFonts w:hint="eastAsia" w:ascii="仿宋_GB2312" w:hAnsi="仿宋_GB2312" w:eastAsia="仿宋_GB2312" w:cs="Times New Roman"/>
          <w:color w:val="auto"/>
          <w:kern w:val="2"/>
          <w:sz w:val="32"/>
          <w:szCs w:val="24"/>
          <w:lang w:val="en-US" w:eastAsia="zh-CN" w:bidi="ar-SA"/>
        </w:rPr>
        <w:t>4.49</w:t>
      </w:r>
      <w:r>
        <w:rPr>
          <w:rFonts w:hint="eastAsia" w:ascii="仿宋_GB2312" w:hAnsi="仿宋_GB2312" w:eastAsia="仿宋_GB2312" w:cs="Times New Roman"/>
          <w:color w:val="auto"/>
          <w:kern w:val="2"/>
          <w:sz w:val="32"/>
          <w:szCs w:val="24"/>
          <w:lang w:val="zh-CN" w:eastAsia="zh-CN" w:bidi="ar-SA"/>
        </w:rPr>
        <w:t>万元、城乡社区支出减少</w:t>
      </w:r>
      <w:r>
        <w:rPr>
          <w:rFonts w:hint="eastAsia" w:ascii="仿宋_GB2312" w:hAnsi="仿宋_GB2312" w:eastAsia="仿宋_GB2312" w:cs="Times New Roman"/>
          <w:color w:val="auto"/>
          <w:kern w:val="2"/>
          <w:sz w:val="32"/>
          <w:szCs w:val="24"/>
          <w:lang w:val="en-US" w:eastAsia="zh-CN" w:bidi="ar-SA"/>
        </w:rPr>
        <w:t>255.14</w:t>
      </w:r>
      <w:r>
        <w:rPr>
          <w:rFonts w:hint="eastAsia" w:ascii="仿宋_GB2312" w:hAnsi="仿宋_GB2312" w:eastAsia="仿宋_GB2312" w:cs="Times New Roman"/>
          <w:color w:val="auto"/>
          <w:kern w:val="2"/>
          <w:sz w:val="32"/>
          <w:szCs w:val="24"/>
          <w:lang w:val="zh-CN" w:eastAsia="zh-CN" w:bidi="ar-SA"/>
        </w:rPr>
        <w:t>万元、</w:t>
      </w:r>
      <w:r>
        <w:rPr>
          <w:rFonts w:hint="eastAsia" w:ascii="仿宋_GB2312" w:hAnsi="仿宋_GB2312" w:eastAsia="仿宋_GB2312" w:cs="Times New Roman"/>
          <w:color w:val="auto"/>
          <w:kern w:val="2"/>
          <w:sz w:val="32"/>
          <w:szCs w:val="24"/>
          <w:lang w:val="en-US" w:eastAsia="zh-CN" w:bidi="ar-SA"/>
        </w:rPr>
        <w:t>交通运输支出减少17.24万元、</w:t>
      </w:r>
      <w:r>
        <w:rPr>
          <w:rFonts w:hint="eastAsia" w:ascii="仿宋_GB2312" w:hAnsi="仿宋_GB2312" w:eastAsia="仿宋_GB2312" w:cs="Times New Roman"/>
          <w:color w:val="auto"/>
          <w:kern w:val="2"/>
          <w:sz w:val="32"/>
          <w:szCs w:val="24"/>
          <w:lang w:val="zh-CN" w:eastAsia="zh-CN" w:bidi="ar-SA"/>
        </w:rPr>
        <w:t>住房保障支出减少</w:t>
      </w:r>
      <w:r>
        <w:rPr>
          <w:rFonts w:hint="eastAsia" w:ascii="仿宋_GB2312" w:hAnsi="仿宋_GB2312" w:eastAsia="仿宋_GB2312" w:cs="Times New Roman"/>
          <w:color w:val="auto"/>
          <w:kern w:val="2"/>
          <w:sz w:val="32"/>
          <w:szCs w:val="24"/>
          <w:lang w:val="en-US" w:eastAsia="zh-CN" w:bidi="ar-SA"/>
        </w:rPr>
        <w:t>13.73</w:t>
      </w:r>
      <w:r>
        <w:rPr>
          <w:rFonts w:hint="eastAsia" w:ascii="仿宋_GB2312" w:hAnsi="仿宋_GB2312" w:eastAsia="仿宋_GB2312" w:cs="Times New Roman"/>
          <w:color w:val="auto"/>
          <w:kern w:val="2"/>
          <w:sz w:val="32"/>
          <w:szCs w:val="24"/>
          <w:lang w:val="zh-CN" w:eastAsia="zh-CN" w:bidi="ar-SA"/>
        </w:rPr>
        <w:t>万元所致。</w:t>
      </w:r>
    </w:p>
    <w:p w14:paraId="5CD26974">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图5：一般公共预算财政拨款支出决算变动情况</w:t>
      </w:r>
    </w:p>
    <w:p w14:paraId="642D8D05">
      <w:pPr>
        <w:pStyle w:val="2"/>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651375" cy="3486785"/>
            <wp:effectExtent l="0" t="0" r="15875" b="18415"/>
            <wp:docPr id="16" name="图片 16"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片5"/>
                    <pic:cNvPicPr>
                      <a:picLocks noChangeAspect="1"/>
                    </pic:cNvPicPr>
                  </pic:nvPicPr>
                  <pic:blipFill>
                    <a:blip r:embed="rId13"/>
                    <a:stretch>
                      <a:fillRect/>
                    </a:stretch>
                  </pic:blipFill>
                  <pic:spPr>
                    <a:xfrm>
                      <a:off x="0" y="0"/>
                      <a:ext cx="4651375" cy="3486785"/>
                    </a:xfrm>
                    <a:prstGeom prst="rect">
                      <a:avLst/>
                    </a:prstGeom>
                  </pic:spPr>
                </pic:pic>
              </a:graphicData>
            </a:graphic>
          </wp:inline>
        </w:drawing>
      </w:r>
    </w:p>
    <w:p w14:paraId="4EBE2476">
      <w:pPr>
        <w:spacing w:line="600" w:lineRule="exact"/>
        <w:ind w:firstLine="643" w:firstLineChars="200"/>
        <w:outlineLvl w:val="2"/>
        <w:rPr>
          <w:rFonts w:ascii="仿宋" w:hAnsi="仿宋" w:eastAsia="仿宋"/>
          <w:b/>
          <w:sz w:val="32"/>
          <w:szCs w:val="32"/>
        </w:rPr>
      </w:pPr>
      <w:bookmarkStart w:id="42" w:name="_Toc15377211"/>
      <w:r>
        <w:rPr>
          <w:rFonts w:hint="eastAsia" w:ascii="仿宋" w:hAnsi="仿宋" w:eastAsia="仿宋"/>
          <w:b/>
          <w:sz w:val="32"/>
          <w:szCs w:val="32"/>
        </w:rPr>
        <w:t>（二）一般公共预算财政拨款支出决算结构情况</w:t>
      </w:r>
      <w:bookmarkEnd w:id="42"/>
    </w:p>
    <w:p w14:paraId="4B36244D">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2024年度一般公共预算财政拨款支出932.4万元，主要用于以下方面:文化旅游体育与传媒支出</w:t>
      </w:r>
      <w:r>
        <w:rPr>
          <w:rFonts w:hint="eastAsia" w:ascii="仿宋_GB2312" w:hAnsi="仿宋_GB2312" w:eastAsia="仿宋_GB2312" w:cs="Times New Roman"/>
          <w:color w:val="auto"/>
          <w:kern w:val="2"/>
          <w:sz w:val="32"/>
          <w:szCs w:val="24"/>
          <w:lang w:val="en-US" w:eastAsia="zh-CN" w:bidi="ar-SA"/>
        </w:rPr>
        <w:t>1.28万元，占0.1%，</w:t>
      </w:r>
      <w:r>
        <w:rPr>
          <w:rFonts w:hint="eastAsia" w:ascii="仿宋_GB2312" w:hAnsi="仿宋_GB2312" w:eastAsia="仿宋_GB2312" w:cs="Times New Roman"/>
          <w:color w:val="auto"/>
          <w:kern w:val="2"/>
          <w:sz w:val="32"/>
          <w:szCs w:val="24"/>
          <w:lang w:val="zh-CN" w:eastAsia="zh-CN" w:bidi="ar-SA"/>
        </w:rPr>
        <w:t>社会保障和就业支出</w:t>
      </w:r>
      <w:r>
        <w:rPr>
          <w:rFonts w:hint="eastAsia" w:ascii="仿宋_GB2312" w:hAnsi="仿宋_GB2312" w:eastAsia="仿宋_GB2312" w:cs="Times New Roman"/>
          <w:color w:val="auto"/>
          <w:kern w:val="2"/>
          <w:sz w:val="32"/>
          <w:szCs w:val="24"/>
          <w:lang w:val="en-US" w:eastAsia="zh-CN" w:bidi="ar-SA"/>
        </w:rPr>
        <w:t>145.85</w:t>
      </w:r>
      <w:r>
        <w:rPr>
          <w:rFonts w:hint="eastAsia" w:ascii="仿宋_GB2312" w:hAnsi="仿宋_GB2312" w:eastAsia="仿宋_GB2312" w:cs="Times New Roman"/>
          <w:color w:val="auto"/>
          <w:kern w:val="2"/>
          <w:sz w:val="32"/>
          <w:szCs w:val="24"/>
          <w:lang w:val="zh-CN" w:eastAsia="zh-CN" w:bidi="ar-SA"/>
        </w:rPr>
        <w:t>万元，占</w:t>
      </w:r>
      <w:r>
        <w:rPr>
          <w:rFonts w:hint="eastAsia" w:ascii="仿宋_GB2312" w:hAnsi="仿宋_GB2312" w:eastAsia="仿宋_GB2312" w:cs="Times New Roman"/>
          <w:color w:val="auto"/>
          <w:kern w:val="2"/>
          <w:sz w:val="32"/>
          <w:szCs w:val="24"/>
          <w:lang w:val="en-US" w:eastAsia="zh-CN" w:bidi="ar-SA"/>
        </w:rPr>
        <w:t>15.6</w:t>
      </w:r>
      <w:r>
        <w:rPr>
          <w:rFonts w:hint="eastAsia" w:ascii="仿宋_GB2312" w:hAnsi="仿宋_GB2312" w:eastAsia="仿宋_GB2312" w:cs="Times New Roman"/>
          <w:color w:val="auto"/>
          <w:kern w:val="2"/>
          <w:sz w:val="32"/>
          <w:szCs w:val="24"/>
          <w:lang w:val="zh-CN" w:eastAsia="zh-CN" w:bidi="ar-SA"/>
        </w:rPr>
        <w:t>%；卫生健康支出</w:t>
      </w:r>
      <w:r>
        <w:rPr>
          <w:rFonts w:hint="eastAsia" w:ascii="仿宋_GB2312" w:hAnsi="仿宋_GB2312" w:eastAsia="仿宋_GB2312" w:cs="Times New Roman"/>
          <w:color w:val="auto"/>
          <w:kern w:val="2"/>
          <w:sz w:val="32"/>
          <w:szCs w:val="24"/>
          <w:lang w:val="en-US" w:eastAsia="zh-CN" w:bidi="ar-SA"/>
        </w:rPr>
        <w:t>25.05</w:t>
      </w:r>
      <w:r>
        <w:rPr>
          <w:rFonts w:hint="eastAsia" w:ascii="仿宋_GB2312" w:hAnsi="仿宋_GB2312" w:eastAsia="仿宋_GB2312" w:cs="Times New Roman"/>
          <w:color w:val="auto"/>
          <w:kern w:val="2"/>
          <w:sz w:val="32"/>
          <w:szCs w:val="24"/>
          <w:lang w:val="zh-CN" w:eastAsia="zh-CN" w:bidi="ar-SA"/>
        </w:rPr>
        <w:t>万元，占</w:t>
      </w:r>
      <w:r>
        <w:rPr>
          <w:rFonts w:hint="eastAsia" w:ascii="仿宋_GB2312" w:hAnsi="仿宋_GB2312" w:eastAsia="仿宋_GB2312" w:cs="Times New Roman"/>
          <w:color w:val="auto"/>
          <w:kern w:val="2"/>
          <w:sz w:val="32"/>
          <w:szCs w:val="24"/>
          <w:lang w:val="en-US" w:eastAsia="zh-CN" w:bidi="ar-SA"/>
        </w:rPr>
        <w:t>2.7</w:t>
      </w:r>
      <w:r>
        <w:rPr>
          <w:rFonts w:hint="eastAsia" w:ascii="仿宋_GB2312" w:hAnsi="仿宋_GB2312" w:eastAsia="仿宋_GB2312" w:cs="Times New Roman"/>
          <w:color w:val="auto"/>
          <w:kern w:val="2"/>
          <w:sz w:val="32"/>
          <w:szCs w:val="24"/>
          <w:lang w:val="zh-CN" w:eastAsia="zh-CN" w:bidi="ar-SA"/>
        </w:rPr>
        <w:t>%；城乡社区支出</w:t>
      </w:r>
      <w:r>
        <w:rPr>
          <w:rFonts w:hint="eastAsia" w:ascii="仿宋_GB2312" w:hAnsi="仿宋_GB2312" w:eastAsia="仿宋_GB2312" w:cs="Times New Roman"/>
          <w:color w:val="auto"/>
          <w:kern w:val="2"/>
          <w:sz w:val="32"/>
          <w:szCs w:val="24"/>
          <w:lang w:val="en-US" w:eastAsia="zh-CN" w:bidi="ar-SA"/>
        </w:rPr>
        <w:t>701.55</w:t>
      </w:r>
      <w:r>
        <w:rPr>
          <w:rFonts w:hint="eastAsia" w:ascii="仿宋_GB2312" w:hAnsi="仿宋_GB2312" w:eastAsia="仿宋_GB2312" w:cs="Times New Roman"/>
          <w:color w:val="auto"/>
          <w:kern w:val="2"/>
          <w:sz w:val="32"/>
          <w:szCs w:val="24"/>
          <w:lang w:val="zh-CN" w:eastAsia="zh-CN" w:bidi="ar-SA"/>
        </w:rPr>
        <w:t>万元，占</w:t>
      </w:r>
      <w:r>
        <w:rPr>
          <w:rFonts w:hint="eastAsia" w:ascii="仿宋_GB2312" w:hAnsi="仿宋_GB2312" w:eastAsia="仿宋_GB2312" w:cs="Times New Roman"/>
          <w:color w:val="auto"/>
          <w:kern w:val="2"/>
          <w:sz w:val="32"/>
          <w:szCs w:val="24"/>
          <w:lang w:val="en-US" w:eastAsia="zh-CN" w:bidi="ar-SA"/>
        </w:rPr>
        <w:t>75.2</w:t>
      </w:r>
      <w:r>
        <w:rPr>
          <w:rFonts w:hint="eastAsia" w:ascii="仿宋_GB2312" w:hAnsi="仿宋_GB2312" w:eastAsia="仿宋_GB2312" w:cs="Times New Roman"/>
          <w:color w:val="auto"/>
          <w:kern w:val="2"/>
          <w:sz w:val="32"/>
          <w:szCs w:val="24"/>
          <w:lang w:val="zh-CN" w:eastAsia="zh-CN" w:bidi="ar-SA"/>
        </w:rPr>
        <w:t>%；交通运输支出</w:t>
      </w:r>
      <w:r>
        <w:rPr>
          <w:rFonts w:hint="eastAsia" w:ascii="仿宋_GB2312" w:hAnsi="仿宋_GB2312" w:eastAsia="仿宋_GB2312" w:cs="Times New Roman"/>
          <w:color w:val="auto"/>
          <w:kern w:val="2"/>
          <w:sz w:val="32"/>
          <w:szCs w:val="24"/>
          <w:lang w:val="en-US" w:eastAsia="zh-CN" w:bidi="ar-SA"/>
        </w:rPr>
        <w:t>1.36</w:t>
      </w:r>
      <w:r>
        <w:rPr>
          <w:rFonts w:hint="eastAsia" w:ascii="仿宋_GB2312" w:hAnsi="仿宋_GB2312" w:eastAsia="仿宋_GB2312" w:cs="Times New Roman"/>
          <w:color w:val="auto"/>
          <w:kern w:val="2"/>
          <w:sz w:val="32"/>
          <w:szCs w:val="24"/>
          <w:lang w:val="zh-CN" w:eastAsia="zh-CN" w:bidi="ar-SA"/>
        </w:rPr>
        <w:t>万元，占</w:t>
      </w:r>
      <w:r>
        <w:rPr>
          <w:rFonts w:hint="eastAsia" w:ascii="仿宋_GB2312" w:hAnsi="仿宋_GB2312" w:eastAsia="仿宋_GB2312" w:cs="Times New Roman"/>
          <w:color w:val="auto"/>
          <w:kern w:val="2"/>
          <w:sz w:val="32"/>
          <w:szCs w:val="24"/>
          <w:lang w:val="en-US" w:eastAsia="zh-CN" w:bidi="ar-SA"/>
        </w:rPr>
        <w:t>0.2</w:t>
      </w:r>
      <w:r>
        <w:rPr>
          <w:rFonts w:hint="eastAsia" w:ascii="仿宋_GB2312" w:hAnsi="仿宋_GB2312" w:eastAsia="仿宋_GB2312" w:cs="Times New Roman"/>
          <w:color w:val="auto"/>
          <w:kern w:val="2"/>
          <w:sz w:val="32"/>
          <w:szCs w:val="24"/>
          <w:lang w:val="zh-CN" w:eastAsia="zh-CN" w:bidi="ar-SA"/>
        </w:rPr>
        <w:t>%；住房保障支出</w:t>
      </w:r>
      <w:r>
        <w:rPr>
          <w:rFonts w:hint="eastAsia" w:ascii="仿宋_GB2312" w:hAnsi="仿宋_GB2312" w:eastAsia="仿宋_GB2312" w:cs="Times New Roman"/>
          <w:color w:val="auto"/>
          <w:kern w:val="2"/>
          <w:sz w:val="32"/>
          <w:szCs w:val="24"/>
          <w:lang w:val="en-US" w:eastAsia="zh-CN" w:bidi="ar-SA"/>
        </w:rPr>
        <w:t>57.31</w:t>
      </w:r>
      <w:r>
        <w:rPr>
          <w:rFonts w:hint="eastAsia" w:ascii="仿宋_GB2312" w:hAnsi="仿宋_GB2312" w:eastAsia="仿宋_GB2312" w:cs="Times New Roman"/>
          <w:color w:val="auto"/>
          <w:kern w:val="2"/>
          <w:sz w:val="32"/>
          <w:szCs w:val="24"/>
          <w:lang w:val="zh-CN" w:eastAsia="zh-CN" w:bidi="ar-SA"/>
        </w:rPr>
        <w:t>万元，占</w:t>
      </w:r>
      <w:r>
        <w:rPr>
          <w:rFonts w:hint="eastAsia" w:ascii="仿宋_GB2312" w:hAnsi="仿宋_GB2312" w:eastAsia="仿宋_GB2312" w:cs="Times New Roman"/>
          <w:color w:val="auto"/>
          <w:kern w:val="2"/>
          <w:sz w:val="32"/>
          <w:szCs w:val="24"/>
          <w:lang w:val="en-US" w:eastAsia="zh-CN" w:bidi="ar-SA"/>
        </w:rPr>
        <w:t>6.2</w:t>
      </w:r>
      <w:r>
        <w:rPr>
          <w:rFonts w:hint="eastAsia" w:ascii="仿宋_GB2312" w:hAnsi="仿宋_GB2312" w:eastAsia="仿宋_GB2312" w:cs="Times New Roman"/>
          <w:color w:val="auto"/>
          <w:kern w:val="2"/>
          <w:sz w:val="32"/>
          <w:szCs w:val="24"/>
          <w:lang w:val="zh-CN" w:eastAsia="zh-CN" w:bidi="ar-SA"/>
        </w:rPr>
        <w:t>%。</w:t>
      </w:r>
    </w:p>
    <w:p w14:paraId="63A97C19">
      <w:pPr>
        <w:spacing w:line="600" w:lineRule="exact"/>
        <w:ind w:firstLine="640" w:firstLineChars="200"/>
        <w:rPr>
          <w:rFonts w:hint="eastAsia" w:ascii="仿宋" w:hAnsi="仿宋" w:eastAsia="仿宋"/>
          <w:sz w:val="32"/>
          <w:szCs w:val="32"/>
        </w:rPr>
      </w:pPr>
    </w:p>
    <w:p w14:paraId="7902629E">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w:t>
      </w:r>
    </w:p>
    <w:p w14:paraId="3407404C">
      <w:pPr>
        <w:spacing w:line="24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358640" cy="3413760"/>
            <wp:effectExtent l="0" t="0" r="3810" b="15240"/>
            <wp:docPr id="18" name="图片 18"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片6"/>
                    <pic:cNvPicPr>
                      <a:picLocks noChangeAspect="1"/>
                    </pic:cNvPicPr>
                  </pic:nvPicPr>
                  <pic:blipFill>
                    <a:blip r:embed="rId14"/>
                    <a:stretch>
                      <a:fillRect/>
                    </a:stretch>
                  </pic:blipFill>
                  <pic:spPr>
                    <a:xfrm>
                      <a:off x="0" y="0"/>
                      <a:ext cx="4358640" cy="3413760"/>
                    </a:xfrm>
                    <a:prstGeom prst="rect">
                      <a:avLst/>
                    </a:prstGeom>
                  </pic:spPr>
                </pic:pic>
              </a:graphicData>
            </a:graphic>
          </wp:inline>
        </w:drawing>
      </w:r>
    </w:p>
    <w:p w14:paraId="3EC0907B">
      <w:pPr>
        <w:spacing w:line="600" w:lineRule="exact"/>
        <w:ind w:firstLine="643" w:firstLineChars="200"/>
        <w:outlineLvl w:val="2"/>
        <w:rPr>
          <w:rFonts w:ascii="仿宋" w:hAnsi="仿宋" w:eastAsia="仿宋"/>
          <w:b/>
          <w:sz w:val="32"/>
          <w:szCs w:val="32"/>
        </w:rPr>
      </w:pPr>
      <w:bookmarkStart w:id="43" w:name="_Toc15377212"/>
      <w:r>
        <w:rPr>
          <w:rFonts w:hint="eastAsia" w:ascii="仿宋" w:hAnsi="仿宋" w:eastAsia="仿宋"/>
          <w:b/>
          <w:sz w:val="32"/>
          <w:szCs w:val="32"/>
        </w:rPr>
        <w:t>（三）一般公共预算财政拨款支出决算具体情况</w:t>
      </w:r>
      <w:bookmarkEnd w:id="43"/>
    </w:p>
    <w:p w14:paraId="7303F530">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bookmarkStart w:id="44" w:name="_Toc14794"/>
      <w:bookmarkStart w:id="45" w:name="_Toc15378460"/>
      <w:bookmarkStart w:id="46" w:name="_Toc15377213"/>
      <w:bookmarkStart w:id="47" w:name="_Toc15377444"/>
      <w:r>
        <w:rPr>
          <w:rFonts w:hint="eastAsia" w:ascii="仿宋_GB2312" w:hAnsi="仿宋_GB2312" w:eastAsia="仿宋_GB2312" w:cs="Times New Roman"/>
          <w:color w:val="auto"/>
          <w:kern w:val="2"/>
          <w:sz w:val="32"/>
          <w:szCs w:val="24"/>
          <w:lang w:val="zh-CN" w:eastAsia="zh-CN" w:bidi="ar-SA"/>
        </w:rPr>
        <w:t>2024年度一般公共预算支出决算数为932.4万元，完成预算</w:t>
      </w:r>
      <w:r>
        <w:rPr>
          <w:rFonts w:hint="eastAsia" w:ascii="仿宋_GB2312" w:hAnsi="仿宋_GB2312" w:eastAsia="仿宋_GB2312" w:cs="Times New Roman"/>
          <w:color w:val="auto"/>
          <w:kern w:val="2"/>
          <w:sz w:val="32"/>
          <w:szCs w:val="24"/>
          <w:lang w:val="en-US" w:eastAsia="zh-CN" w:bidi="ar-SA"/>
        </w:rPr>
        <w:t>97.1</w:t>
      </w:r>
      <w:r>
        <w:rPr>
          <w:rFonts w:hint="eastAsia" w:ascii="仿宋_GB2312" w:hAnsi="仿宋_GB2312" w:eastAsia="仿宋_GB2312" w:cs="Times New Roman"/>
          <w:color w:val="auto"/>
          <w:kern w:val="2"/>
          <w:sz w:val="32"/>
          <w:szCs w:val="24"/>
          <w:lang w:val="zh-CN" w:eastAsia="zh-CN" w:bidi="ar-SA"/>
        </w:rPr>
        <w:t>%。其中：</w:t>
      </w:r>
      <w:bookmarkEnd w:id="44"/>
      <w:bookmarkEnd w:id="45"/>
      <w:bookmarkEnd w:id="46"/>
      <w:bookmarkEnd w:id="47"/>
    </w:p>
    <w:p w14:paraId="4B19E5EB">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1、文化旅游体育与传媒支出</w:t>
      </w:r>
      <w:r>
        <w:rPr>
          <w:rFonts w:hint="eastAsia" w:ascii="仿宋_GB2312" w:hAnsi="仿宋_GB2312" w:eastAsia="仿宋_GB2312" w:cs="Times New Roman"/>
          <w:color w:val="auto"/>
          <w:kern w:val="2"/>
          <w:sz w:val="32"/>
          <w:szCs w:val="24"/>
          <w:lang w:val="zh-CN" w:eastAsia="zh-CN" w:bidi="ar-SA"/>
        </w:rPr>
        <w:t>（类）</w:t>
      </w:r>
      <w:r>
        <w:rPr>
          <w:rFonts w:hint="eastAsia" w:ascii="仿宋_GB2312" w:hAnsi="仿宋_GB2312" w:eastAsia="仿宋_GB2312" w:cs="Times New Roman"/>
          <w:color w:val="auto"/>
          <w:kern w:val="2"/>
          <w:sz w:val="32"/>
          <w:szCs w:val="24"/>
          <w:lang w:val="en-US" w:eastAsia="zh-CN" w:bidi="ar-SA"/>
        </w:rPr>
        <w:t>文化和旅游</w:t>
      </w:r>
      <w:r>
        <w:rPr>
          <w:rFonts w:hint="eastAsia" w:ascii="仿宋_GB2312" w:hAnsi="仿宋_GB2312" w:eastAsia="仿宋_GB2312" w:cs="Times New Roman"/>
          <w:color w:val="auto"/>
          <w:kern w:val="2"/>
          <w:sz w:val="32"/>
          <w:szCs w:val="24"/>
          <w:lang w:val="zh-CN" w:eastAsia="zh-CN" w:bidi="ar-SA"/>
        </w:rPr>
        <w:t>（款）</w:t>
      </w:r>
      <w:r>
        <w:rPr>
          <w:rFonts w:hint="eastAsia" w:ascii="仿宋_GB2312" w:hAnsi="仿宋_GB2312" w:eastAsia="仿宋_GB2312" w:cs="Times New Roman"/>
          <w:color w:val="auto"/>
          <w:kern w:val="2"/>
          <w:sz w:val="32"/>
          <w:szCs w:val="24"/>
          <w:lang w:val="en-US" w:eastAsia="zh-CN" w:bidi="ar-SA"/>
        </w:rPr>
        <w:t>群众文化</w:t>
      </w:r>
      <w:r>
        <w:rPr>
          <w:rFonts w:hint="eastAsia" w:ascii="仿宋_GB2312" w:hAnsi="仿宋_GB2312" w:eastAsia="仿宋_GB2312" w:cs="Times New Roman"/>
          <w:color w:val="auto"/>
          <w:kern w:val="2"/>
          <w:sz w:val="32"/>
          <w:szCs w:val="24"/>
          <w:lang w:val="zh-CN" w:eastAsia="zh-CN" w:bidi="ar-SA"/>
        </w:rPr>
        <w:t>（项）：支出决算为</w:t>
      </w:r>
      <w:r>
        <w:rPr>
          <w:rFonts w:hint="eastAsia" w:ascii="仿宋_GB2312" w:hAnsi="仿宋_GB2312" w:eastAsia="仿宋_GB2312" w:cs="Times New Roman"/>
          <w:color w:val="auto"/>
          <w:kern w:val="2"/>
          <w:sz w:val="32"/>
          <w:szCs w:val="24"/>
          <w:lang w:val="en-US" w:eastAsia="zh-CN" w:bidi="ar-SA"/>
        </w:rPr>
        <w:t>1.28</w:t>
      </w:r>
      <w:r>
        <w:rPr>
          <w:rFonts w:hint="eastAsia" w:ascii="仿宋_GB2312" w:hAnsi="仿宋_GB2312" w:eastAsia="仿宋_GB2312" w:cs="Times New Roman"/>
          <w:color w:val="auto"/>
          <w:kern w:val="2"/>
          <w:sz w:val="32"/>
          <w:szCs w:val="24"/>
          <w:lang w:val="zh-CN" w:eastAsia="zh-CN" w:bidi="ar-SA"/>
        </w:rPr>
        <w:t>万元，完成预算</w:t>
      </w:r>
      <w:r>
        <w:rPr>
          <w:rFonts w:hint="eastAsia" w:ascii="仿宋_GB2312" w:hAnsi="仿宋_GB2312" w:eastAsia="仿宋_GB2312" w:cs="Times New Roman"/>
          <w:color w:val="auto"/>
          <w:kern w:val="2"/>
          <w:sz w:val="32"/>
          <w:szCs w:val="24"/>
          <w:lang w:val="en-US" w:eastAsia="zh-CN" w:bidi="ar-SA"/>
        </w:rPr>
        <w:t>100</w:t>
      </w:r>
      <w:r>
        <w:rPr>
          <w:rFonts w:hint="eastAsia" w:ascii="仿宋_GB2312" w:hAnsi="仿宋_GB2312" w:eastAsia="仿宋_GB2312" w:cs="Times New Roman"/>
          <w:color w:val="auto"/>
          <w:kern w:val="2"/>
          <w:sz w:val="32"/>
          <w:szCs w:val="24"/>
          <w:lang w:val="zh-CN" w:eastAsia="zh-CN" w:bidi="ar-SA"/>
        </w:rPr>
        <w:t>%。</w:t>
      </w:r>
      <w:r>
        <w:rPr>
          <w:rFonts w:hint="eastAsia" w:ascii="仿宋_GB2312" w:hAnsi="仿宋_GB2312" w:eastAsia="仿宋_GB2312" w:cs="Times New Roman"/>
          <w:color w:val="auto"/>
          <w:kern w:val="2"/>
          <w:sz w:val="32"/>
          <w:szCs w:val="24"/>
          <w:lang w:val="en-US" w:eastAsia="zh-CN" w:bidi="ar-SA"/>
        </w:rPr>
        <w:t>决算数等于预算数。</w:t>
      </w:r>
    </w:p>
    <w:p w14:paraId="2D2CF625">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en-US" w:eastAsia="zh-CN" w:bidi="ar-SA"/>
        </w:rPr>
        <w:t>2.</w:t>
      </w:r>
      <w:r>
        <w:rPr>
          <w:rFonts w:hint="eastAsia" w:ascii="仿宋_GB2312" w:hAnsi="仿宋_GB2312" w:eastAsia="仿宋_GB2312" w:cs="Times New Roman"/>
          <w:color w:val="auto"/>
          <w:kern w:val="2"/>
          <w:sz w:val="32"/>
          <w:szCs w:val="24"/>
          <w:lang w:val="zh-CN" w:eastAsia="zh-CN" w:bidi="ar-SA"/>
        </w:rPr>
        <w:t>社会保障和就业（类）行政事业单位养老支出（款）机关事业单位基本养老保险缴费支出（项）: 支出决算为</w:t>
      </w:r>
      <w:r>
        <w:rPr>
          <w:rFonts w:hint="eastAsia" w:ascii="仿宋_GB2312" w:hAnsi="仿宋_GB2312" w:eastAsia="仿宋_GB2312" w:cs="Times New Roman"/>
          <w:color w:val="auto"/>
          <w:kern w:val="2"/>
          <w:sz w:val="32"/>
          <w:szCs w:val="24"/>
          <w:lang w:val="en-US" w:eastAsia="zh-CN" w:bidi="ar-SA"/>
        </w:rPr>
        <w:t>67.89</w:t>
      </w:r>
      <w:r>
        <w:rPr>
          <w:rFonts w:hint="eastAsia" w:ascii="仿宋_GB2312" w:hAnsi="仿宋_GB2312" w:eastAsia="仿宋_GB2312" w:cs="Times New Roman"/>
          <w:color w:val="auto"/>
          <w:kern w:val="2"/>
          <w:sz w:val="32"/>
          <w:szCs w:val="24"/>
          <w:lang w:val="zh-CN" w:eastAsia="zh-CN" w:bidi="ar-SA"/>
        </w:rPr>
        <w:t>万元，完成预算</w:t>
      </w:r>
      <w:r>
        <w:rPr>
          <w:rFonts w:hint="eastAsia" w:ascii="仿宋_GB2312" w:hAnsi="仿宋_GB2312" w:eastAsia="仿宋_GB2312" w:cs="Times New Roman"/>
          <w:color w:val="auto"/>
          <w:kern w:val="2"/>
          <w:sz w:val="32"/>
          <w:szCs w:val="24"/>
          <w:lang w:val="en-US" w:eastAsia="zh-CN" w:bidi="ar-SA"/>
        </w:rPr>
        <w:t>100</w:t>
      </w:r>
      <w:r>
        <w:rPr>
          <w:rFonts w:hint="eastAsia" w:ascii="仿宋_GB2312" w:hAnsi="仿宋_GB2312" w:eastAsia="仿宋_GB2312" w:cs="Times New Roman"/>
          <w:color w:val="auto"/>
          <w:kern w:val="2"/>
          <w:sz w:val="32"/>
          <w:szCs w:val="24"/>
          <w:lang w:val="zh-CN" w:eastAsia="zh-CN" w:bidi="ar-SA"/>
        </w:rPr>
        <w:t>%。</w:t>
      </w:r>
      <w:r>
        <w:rPr>
          <w:rFonts w:hint="eastAsia" w:ascii="仿宋_GB2312" w:hAnsi="仿宋_GB2312" w:eastAsia="仿宋_GB2312" w:cs="Times New Roman"/>
          <w:color w:val="auto"/>
          <w:kern w:val="2"/>
          <w:sz w:val="32"/>
          <w:szCs w:val="24"/>
          <w:lang w:val="en-US" w:eastAsia="zh-CN" w:bidi="ar-SA"/>
        </w:rPr>
        <w:t>决算数等于预算数。</w:t>
      </w:r>
    </w:p>
    <w:p w14:paraId="7C071FBB">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en-US" w:eastAsia="zh-CN" w:bidi="ar-SA"/>
        </w:rPr>
        <w:t>3、</w:t>
      </w:r>
      <w:r>
        <w:rPr>
          <w:rFonts w:hint="eastAsia" w:ascii="仿宋_GB2312" w:hAnsi="仿宋_GB2312" w:eastAsia="仿宋_GB2312" w:cs="Times New Roman"/>
          <w:color w:val="auto"/>
          <w:kern w:val="2"/>
          <w:sz w:val="32"/>
          <w:szCs w:val="24"/>
          <w:lang w:val="zh-CN" w:eastAsia="zh-CN" w:bidi="ar-SA"/>
        </w:rPr>
        <w:t>社会保障和就业（类）行政事业单位养老支出（款）机关事业单位职业年金缴费支出（项）: 支出决算为</w:t>
      </w:r>
      <w:r>
        <w:rPr>
          <w:rFonts w:hint="eastAsia" w:ascii="仿宋_GB2312" w:hAnsi="仿宋_GB2312" w:eastAsia="仿宋_GB2312" w:cs="Times New Roman"/>
          <w:color w:val="auto"/>
          <w:kern w:val="2"/>
          <w:sz w:val="32"/>
          <w:szCs w:val="24"/>
          <w:lang w:val="en-US" w:eastAsia="zh-CN" w:bidi="ar-SA"/>
        </w:rPr>
        <w:t>38.39</w:t>
      </w:r>
      <w:r>
        <w:rPr>
          <w:rFonts w:hint="eastAsia" w:ascii="仿宋_GB2312" w:hAnsi="仿宋_GB2312" w:eastAsia="仿宋_GB2312" w:cs="Times New Roman"/>
          <w:color w:val="auto"/>
          <w:kern w:val="2"/>
          <w:sz w:val="32"/>
          <w:szCs w:val="24"/>
          <w:lang w:val="zh-CN" w:eastAsia="zh-CN" w:bidi="ar-SA"/>
        </w:rPr>
        <w:t>万元，完成预算</w:t>
      </w:r>
      <w:r>
        <w:rPr>
          <w:rFonts w:hint="eastAsia" w:ascii="仿宋_GB2312" w:hAnsi="仿宋_GB2312" w:eastAsia="仿宋_GB2312" w:cs="Times New Roman"/>
          <w:color w:val="auto"/>
          <w:kern w:val="2"/>
          <w:sz w:val="32"/>
          <w:szCs w:val="24"/>
          <w:lang w:val="en-US" w:eastAsia="zh-CN" w:bidi="ar-SA"/>
        </w:rPr>
        <w:t>100</w:t>
      </w:r>
      <w:r>
        <w:rPr>
          <w:rFonts w:hint="eastAsia" w:ascii="仿宋_GB2312" w:hAnsi="仿宋_GB2312" w:eastAsia="仿宋_GB2312" w:cs="Times New Roman"/>
          <w:color w:val="auto"/>
          <w:kern w:val="2"/>
          <w:sz w:val="32"/>
          <w:szCs w:val="24"/>
          <w:lang w:val="zh-CN" w:eastAsia="zh-CN" w:bidi="ar-SA"/>
        </w:rPr>
        <w:t>%。</w:t>
      </w:r>
      <w:r>
        <w:rPr>
          <w:rFonts w:hint="eastAsia" w:ascii="仿宋_GB2312" w:hAnsi="仿宋_GB2312" w:eastAsia="仿宋_GB2312" w:cs="Times New Roman"/>
          <w:color w:val="auto"/>
          <w:kern w:val="2"/>
          <w:sz w:val="32"/>
          <w:szCs w:val="24"/>
          <w:lang w:val="en-US" w:eastAsia="zh-CN" w:bidi="ar-SA"/>
        </w:rPr>
        <w:t>决算数等于预算数。</w:t>
      </w:r>
    </w:p>
    <w:p w14:paraId="4816AD0A">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en-US" w:eastAsia="zh-CN" w:bidi="ar-SA"/>
        </w:rPr>
        <w:t>4.、</w:t>
      </w:r>
      <w:r>
        <w:rPr>
          <w:rFonts w:hint="eastAsia" w:ascii="仿宋_GB2312" w:hAnsi="仿宋_GB2312" w:eastAsia="仿宋_GB2312" w:cs="Times New Roman"/>
          <w:color w:val="auto"/>
          <w:kern w:val="2"/>
          <w:sz w:val="32"/>
          <w:szCs w:val="24"/>
          <w:lang w:val="zh-CN" w:eastAsia="zh-CN" w:bidi="ar-SA"/>
        </w:rPr>
        <w:t>社会保障和就业（类）行政事业单位养老支出（款）其他行政事业单位养老支出（项）: 支出决算为</w:t>
      </w:r>
      <w:r>
        <w:rPr>
          <w:rFonts w:hint="eastAsia" w:ascii="仿宋_GB2312" w:hAnsi="仿宋_GB2312" w:eastAsia="仿宋_GB2312" w:cs="Times New Roman"/>
          <w:color w:val="auto"/>
          <w:kern w:val="2"/>
          <w:sz w:val="32"/>
          <w:szCs w:val="24"/>
          <w:lang w:val="en-US" w:eastAsia="zh-CN" w:bidi="ar-SA"/>
        </w:rPr>
        <w:t>9.73</w:t>
      </w:r>
      <w:r>
        <w:rPr>
          <w:rFonts w:hint="eastAsia" w:ascii="仿宋_GB2312" w:hAnsi="仿宋_GB2312" w:eastAsia="仿宋_GB2312" w:cs="Times New Roman"/>
          <w:color w:val="auto"/>
          <w:kern w:val="2"/>
          <w:sz w:val="32"/>
          <w:szCs w:val="24"/>
          <w:lang w:val="zh-CN" w:eastAsia="zh-CN" w:bidi="ar-SA"/>
        </w:rPr>
        <w:t>万元，完成预算</w:t>
      </w:r>
      <w:r>
        <w:rPr>
          <w:rFonts w:hint="eastAsia" w:ascii="仿宋_GB2312" w:hAnsi="仿宋_GB2312" w:eastAsia="仿宋_GB2312" w:cs="Times New Roman"/>
          <w:color w:val="auto"/>
          <w:kern w:val="2"/>
          <w:sz w:val="32"/>
          <w:szCs w:val="24"/>
          <w:lang w:val="en-US" w:eastAsia="zh-CN" w:bidi="ar-SA"/>
        </w:rPr>
        <w:t>100</w:t>
      </w:r>
      <w:r>
        <w:rPr>
          <w:rFonts w:hint="eastAsia" w:ascii="仿宋_GB2312" w:hAnsi="仿宋_GB2312" w:eastAsia="仿宋_GB2312" w:cs="Times New Roman"/>
          <w:color w:val="auto"/>
          <w:kern w:val="2"/>
          <w:sz w:val="32"/>
          <w:szCs w:val="24"/>
          <w:lang w:val="zh-CN" w:eastAsia="zh-CN" w:bidi="ar-SA"/>
        </w:rPr>
        <w:t>%。</w:t>
      </w:r>
      <w:r>
        <w:rPr>
          <w:rFonts w:hint="eastAsia" w:ascii="仿宋_GB2312" w:hAnsi="仿宋_GB2312" w:eastAsia="仿宋_GB2312" w:cs="Times New Roman"/>
          <w:color w:val="auto"/>
          <w:kern w:val="2"/>
          <w:sz w:val="32"/>
          <w:szCs w:val="24"/>
          <w:lang w:val="en-US" w:eastAsia="zh-CN" w:bidi="ar-SA"/>
        </w:rPr>
        <w:t>决算数等于预算数。</w:t>
      </w:r>
    </w:p>
    <w:p w14:paraId="0049A2F2">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en-US" w:eastAsia="zh-CN" w:bidi="ar-SA"/>
        </w:rPr>
        <w:t>5、</w:t>
      </w:r>
      <w:r>
        <w:rPr>
          <w:rFonts w:hint="eastAsia" w:ascii="仿宋_GB2312" w:hAnsi="仿宋_GB2312" w:eastAsia="仿宋_GB2312" w:cs="Times New Roman"/>
          <w:color w:val="auto"/>
          <w:kern w:val="2"/>
          <w:sz w:val="32"/>
          <w:szCs w:val="24"/>
          <w:lang w:val="zh-CN" w:eastAsia="zh-CN" w:bidi="ar-SA"/>
        </w:rPr>
        <w:t>社会保障和就业（类）就业补助（款） 公益性岗位补贴（项）: 支出决算为</w:t>
      </w:r>
      <w:r>
        <w:rPr>
          <w:rFonts w:hint="eastAsia" w:ascii="仿宋_GB2312" w:hAnsi="仿宋_GB2312" w:eastAsia="仿宋_GB2312" w:cs="Times New Roman"/>
          <w:color w:val="auto"/>
          <w:kern w:val="2"/>
          <w:sz w:val="32"/>
          <w:szCs w:val="24"/>
          <w:lang w:val="en-US" w:eastAsia="zh-CN" w:bidi="ar-SA"/>
        </w:rPr>
        <w:t>24.40</w:t>
      </w:r>
      <w:r>
        <w:rPr>
          <w:rFonts w:hint="eastAsia" w:ascii="仿宋_GB2312" w:hAnsi="仿宋_GB2312" w:eastAsia="仿宋_GB2312" w:cs="Times New Roman"/>
          <w:color w:val="auto"/>
          <w:kern w:val="2"/>
          <w:sz w:val="32"/>
          <w:szCs w:val="24"/>
          <w:lang w:val="zh-CN" w:eastAsia="zh-CN" w:bidi="ar-SA"/>
        </w:rPr>
        <w:t>万元，完成预算</w:t>
      </w:r>
      <w:r>
        <w:rPr>
          <w:rFonts w:hint="eastAsia" w:ascii="仿宋_GB2312" w:hAnsi="仿宋_GB2312" w:eastAsia="仿宋_GB2312" w:cs="Times New Roman"/>
          <w:color w:val="auto"/>
          <w:kern w:val="2"/>
          <w:sz w:val="32"/>
          <w:szCs w:val="24"/>
          <w:lang w:val="en-US" w:eastAsia="zh-CN" w:bidi="ar-SA"/>
        </w:rPr>
        <w:t>100</w:t>
      </w:r>
      <w:r>
        <w:rPr>
          <w:rFonts w:hint="eastAsia" w:ascii="仿宋_GB2312" w:hAnsi="仿宋_GB2312" w:eastAsia="仿宋_GB2312" w:cs="Times New Roman"/>
          <w:color w:val="auto"/>
          <w:kern w:val="2"/>
          <w:sz w:val="32"/>
          <w:szCs w:val="24"/>
          <w:lang w:val="zh-CN" w:eastAsia="zh-CN" w:bidi="ar-SA"/>
        </w:rPr>
        <w:t>%。</w:t>
      </w:r>
      <w:r>
        <w:rPr>
          <w:rFonts w:hint="eastAsia" w:ascii="仿宋_GB2312" w:hAnsi="仿宋_GB2312" w:eastAsia="仿宋_GB2312" w:cs="Times New Roman"/>
          <w:color w:val="auto"/>
          <w:kern w:val="2"/>
          <w:sz w:val="32"/>
          <w:szCs w:val="24"/>
          <w:lang w:val="en-US" w:eastAsia="zh-CN" w:bidi="ar-SA"/>
        </w:rPr>
        <w:t>决算数等于预算数。</w:t>
      </w:r>
    </w:p>
    <w:p w14:paraId="23EE1CB3">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6.</w:t>
      </w:r>
      <w:r>
        <w:rPr>
          <w:rFonts w:hint="eastAsia" w:ascii="仿宋_GB2312" w:hAnsi="仿宋_GB2312" w:eastAsia="仿宋_GB2312" w:cs="Times New Roman"/>
          <w:color w:val="auto"/>
          <w:kern w:val="2"/>
          <w:sz w:val="32"/>
          <w:szCs w:val="24"/>
          <w:lang w:val="zh-CN" w:eastAsia="zh-CN" w:bidi="ar-SA"/>
        </w:rPr>
        <w:t>社会保障和就业（类）其他社会保障和就业支出（款） 其他社会保障和就业支出（项）: 支出决算为</w:t>
      </w:r>
      <w:r>
        <w:rPr>
          <w:rFonts w:hint="eastAsia" w:ascii="仿宋_GB2312" w:hAnsi="仿宋_GB2312" w:eastAsia="仿宋_GB2312" w:cs="Times New Roman"/>
          <w:color w:val="auto"/>
          <w:kern w:val="2"/>
          <w:sz w:val="32"/>
          <w:szCs w:val="24"/>
          <w:lang w:val="en-US" w:eastAsia="zh-CN" w:bidi="ar-SA"/>
        </w:rPr>
        <w:t>5.44</w:t>
      </w:r>
      <w:r>
        <w:rPr>
          <w:rFonts w:hint="eastAsia" w:ascii="仿宋_GB2312" w:hAnsi="仿宋_GB2312" w:eastAsia="仿宋_GB2312" w:cs="Times New Roman"/>
          <w:color w:val="auto"/>
          <w:kern w:val="2"/>
          <w:sz w:val="32"/>
          <w:szCs w:val="24"/>
          <w:lang w:val="zh-CN" w:eastAsia="zh-CN" w:bidi="ar-SA"/>
        </w:rPr>
        <w:t>万元，完成预算</w:t>
      </w:r>
      <w:r>
        <w:rPr>
          <w:rFonts w:hint="eastAsia" w:ascii="仿宋_GB2312" w:hAnsi="仿宋_GB2312" w:eastAsia="仿宋_GB2312" w:cs="Times New Roman"/>
          <w:color w:val="auto"/>
          <w:kern w:val="2"/>
          <w:sz w:val="32"/>
          <w:szCs w:val="24"/>
          <w:lang w:val="en-US" w:eastAsia="zh-CN" w:bidi="ar-SA"/>
        </w:rPr>
        <w:t>100</w:t>
      </w:r>
      <w:r>
        <w:rPr>
          <w:rFonts w:hint="eastAsia" w:ascii="仿宋_GB2312" w:hAnsi="仿宋_GB2312" w:eastAsia="仿宋_GB2312" w:cs="Times New Roman"/>
          <w:color w:val="auto"/>
          <w:kern w:val="2"/>
          <w:sz w:val="32"/>
          <w:szCs w:val="24"/>
          <w:lang w:val="zh-CN" w:eastAsia="zh-CN" w:bidi="ar-SA"/>
        </w:rPr>
        <w:t>%。</w:t>
      </w:r>
      <w:r>
        <w:rPr>
          <w:rFonts w:hint="eastAsia" w:ascii="仿宋_GB2312" w:hAnsi="仿宋_GB2312" w:eastAsia="仿宋_GB2312" w:cs="Times New Roman"/>
          <w:color w:val="auto"/>
          <w:kern w:val="2"/>
          <w:sz w:val="32"/>
          <w:szCs w:val="24"/>
          <w:lang w:val="en-US" w:eastAsia="zh-CN" w:bidi="ar-SA"/>
        </w:rPr>
        <w:t>决算数等于预算数。</w:t>
      </w:r>
    </w:p>
    <w:p w14:paraId="02F785A8">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7.</w:t>
      </w:r>
      <w:r>
        <w:rPr>
          <w:rFonts w:hint="eastAsia" w:ascii="仿宋_GB2312" w:hAnsi="仿宋_GB2312" w:eastAsia="仿宋_GB2312" w:cs="Times New Roman"/>
          <w:color w:val="auto"/>
          <w:kern w:val="2"/>
          <w:sz w:val="32"/>
          <w:szCs w:val="24"/>
          <w:lang w:val="zh-CN" w:eastAsia="zh-CN" w:bidi="ar-SA"/>
        </w:rPr>
        <w:t>卫生健康（类）行政事业单位医疗（款）行政单位医疗（项）:支出决算为</w:t>
      </w:r>
      <w:r>
        <w:rPr>
          <w:rFonts w:hint="eastAsia" w:ascii="仿宋_GB2312" w:hAnsi="仿宋_GB2312" w:eastAsia="仿宋_GB2312" w:cs="Times New Roman"/>
          <w:color w:val="auto"/>
          <w:kern w:val="2"/>
          <w:sz w:val="32"/>
          <w:szCs w:val="24"/>
          <w:lang w:val="en-US" w:eastAsia="zh-CN" w:bidi="ar-SA"/>
        </w:rPr>
        <w:t>19.35</w:t>
      </w:r>
      <w:r>
        <w:rPr>
          <w:rFonts w:hint="eastAsia" w:ascii="仿宋_GB2312" w:hAnsi="仿宋_GB2312" w:eastAsia="仿宋_GB2312" w:cs="Times New Roman"/>
          <w:color w:val="auto"/>
          <w:kern w:val="2"/>
          <w:sz w:val="32"/>
          <w:szCs w:val="24"/>
          <w:lang w:val="zh-CN" w:eastAsia="zh-CN" w:bidi="ar-SA"/>
        </w:rPr>
        <w:t>万元，完成预算</w:t>
      </w:r>
      <w:r>
        <w:rPr>
          <w:rFonts w:hint="eastAsia" w:ascii="仿宋_GB2312" w:hAnsi="仿宋_GB2312" w:eastAsia="仿宋_GB2312" w:cs="Times New Roman"/>
          <w:color w:val="auto"/>
          <w:kern w:val="2"/>
          <w:sz w:val="32"/>
          <w:szCs w:val="24"/>
          <w:lang w:val="en-US" w:eastAsia="zh-CN" w:bidi="ar-SA"/>
        </w:rPr>
        <w:t>100</w:t>
      </w:r>
      <w:r>
        <w:rPr>
          <w:rFonts w:hint="eastAsia" w:ascii="仿宋_GB2312" w:hAnsi="仿宋_GB2312" w:eastAsia="仿宋_GB2312" w:cs="Times New Roman"/>
          <w:color w:val="auto"/>
          <w:kern w:val="2"/>
          <w:sz w:val="32"/>
          <w:szCs w:val="24"/>
          <w:lang w:val="zh-CN" w:eastAsia="zh-CN" w:bidi="ar-SA"/>
        </w:rPr>
        <w:t>%。</w:t>
      </w:r>
      <w:r>
        <w:rPr>
          <w:rFonts w:hint="eastAsia" w:ascii="仿宋_GB2312" w:hAnsi="仿宋_GB2312" w:eastAsia="仿宋_GB2312" w:cs="Times New Roman"/>
          <w:color w:val="auto"/>
          <w:kern w:val="2"/>
          <w:sz w:val="32"/>
          <w:szCs w:val="24"/>
          <w:lang w:val="en-US" w:eastAsia="zh-CN" w:bidi="ar-SA"/>
        </w:rPr>
        <w:t>决算数等于预算数。</w:t>
      </w:r>
    </w:p>
    <w:p w14:paraId="2EBED16D">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en-US" w:eastAsia="zh-CN" w:bidi="ar-SA"/>
        </w:rPr>
        <w:t>8.</w:t>
      </w:r>
      <w:r>
        <w:rPr>
          <w:rFonts w:hint="eastAsia" w:ascii="仿宋_GB2312" w:hAnsi="仿宋_GB2312" w:eastAsia="仿宋_GB2312" w:cs="Times New Roman"/>
          <w:color w:val="auto"/>
          <w:kern w:val="2"/>
          <w:sz w:val="32"/>
          <w:szCs w:val="24"/>
          <w:lang w:val="zh-CN" w:eastAsia="zh-CN" w:bidi="ar-SA"/>
        </w:rPr>
        <w:t>卫生健康（类）行政事业单位医疗（款）公务员医疗补助（项）:支出决算为</w:t>
      </w:r>
      <w:r>
        <w:rPr>
          <w:rFonts w:hint="eastAsia" w:ascii="仿宋_GB2312" w:hAnsi="仿宋_GB2312" w:eastAsia="仿宋_GB2312" w:cs="Times New Roman"/>
          <w:color w:val="auto"/>
          <w:kern w:val="2"/>
          <w:sz w:val="32"/>
          <w:szCs w:val="24"/>
          <w:lang w:val="en-US" w:eastAsia="zh-CN" w:bidi="ar-SA"/>
        </w:rPr>
        <w:t>5.70</w:t>
      </w:r>
      <w:r>
        <w:rPr>
          <w:rFonts w:hint="eastAsia" w:ascii="仿宋_GB2312" w:hAnsi="仿宋_GB2312" w:eastAsia="仿宋_GB2312" w:cs="Times New Roman"/>
          <w:color w:val="auto"/>
          <w:kern w:val="2"/>
          <w:sz w:val="32"/>
          <w:szCs w:val="24"/>
          <w:lang w:val="zh-CN" w:eastAsia="zh-CN" w:bidi="ar-SA"/>
        </w:rPr>
        <w:t>万元，完成预算</w:t>
      </w:r>
      <w:r>
        <w:rPr>
          <w:rFonts w:hint="eastAsia" w:ascii="仿宋_GB2312" w:hAnsi="仿宋_GB2312" w:eastAsia="仿宋_GB2312" w:cs="Times New Roman"/>
          <w:color w:val="auto"/>
          <w:kern w:val="2"/>
          <w:sz w:val="32"/>
          <w:szCs w:val="24"/>
          <w:lang w:val="en-US" w:eastAsia="zh-CN" w:bidi="ar-SA"/>
        </w:rPr>
        <w:t>100</w:t>
      </w:r>
      <w:r>
        <w:rPr>
          <w:rFonts w:hint="eastAsia" w:ascii="仿宋_GB2312" w:hAnsi="仿宋_GB2312" w:eastAsia="仿宋_GB2312" w:cs="Times New Roman"/>
          <w:color w:val="auto"/>
          <w:kern w:val="2"/>
          <w:sz w:val="32"/>
          <w:szCs w:val="24"/>
          <w:lang w:val="zh-CN" w:eastAsia="zh-CN" w:bidi="ar-SA"/>
        </w:rPr>
        <w:t>%。</w:t>
      </w:r>
      <w:r>
        <w:rPr>
          <w:rFonts w:hint="eastAsia" w:ascii="仿宋_GB2312" w:hAnsi="仿宋_GB2312" w:eastAsia="仿宋_GB2312" w:cs="Times New Roman"/>
          <w:color w:val="auto"/>
          <w:kern w:val="2"/>
          <w:sz w:val="32"/>
          <w:szCs w:val="24"/>
          <w:lang w:val="en-US" w:eastAsia="zh-CN" w:bidi="ar-SA"/>
        </w:rPr>
        <w:t>决算数等于预算数。</w:t>
      </w:r>
    </w:p>
    <w:p w14:paraId="3F451928">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en-US" w:eastAsia="zh-CN" w:bidi="ar-SA"/>
        </w:rPr>
        <w:t>9.</w:t>
      </w:r>
      <w:r>
        <w:rPr>
          <w:rFonts w:hint="eastAsia" w:ascii="仿宋_GB2312" w:hAnsi="仿宋_GB2312" w:eastAsia="仿宋_GB2312" w:cs="Times New Roman"/>
          <w:color w:val="auto"/>
          <w:kern w:val="2"/>
          <w:sz w:val="32"/>
          <w:szCs w:val="24"/>
          <w:lang w:val="zh-CN" w:eastAsia="zh-CN" w:bidi="ar-SA"/>
        </w:rPr>
        <w:t>城乡社区支出（类）城乡社区管理事务（款）行政运行（项）:支出决算为</w:t>
      </w:r>
      <w:r>
        <w:rPr>
          <w:rFonts w:hint="eastAsia" w:ascii="仿宋_GB2312" w:hAnsi="仿宋_GB2312" w:eastAsia="仿宋_GB2312" w:cs="Times New Roman"/>
          <w:color w:val="auto"/>
          <w:kern w:val="2"/>
          <w:sz w:val="32"/>
          <w:szCs w:val="24"/>
          <w:lang w:val="en-US" w:eastAsia="zh-CN" w:bidi="ar-SA"/>
        </w:rPr>
        <w:t>655.56</w:t>
      </w:r>
      <w:r>
        <w:rPr>
          <w:rFonts w:hint="eastAsia" w:ascii="仿宋_GB2312" w:hAnsi="仿宋_GB2312" w:eastAsia="仿宋_GB2312" w:cs="Times New Roman"/>
          <w:color w:val="auto"/>
          <w:kern w:val="2"/>
          <w:sz w:val="32"/>
          <w:szCs w:val="24"/>
          <w:lang w:val="zh-CN" w:eastAsia="zh-CN" w:bidi="ar-SA"/>
        </w:rPr>
        <w:t>万元，完成预算</w:t>
      </w:r>
      <w:r>
        <w:rPr>
          <w:rFonts w:hint="eastAsia" w:ascii="仿宋_GB2312" w:hAnsi="仿宋_GB2312" w:eastAsia="仿宋_GB2312" w:cs="Times New Roman"/>
          <w:color w:val="auto"/>
          <w:kern w:val="2"/>
          <w:sz w:val="32"/>
          <w:szCs w:val="24"/>
          <w:lang w:val="en-US" w:eastAsia="zh-CN" w:bidi="ar-SA"/>
        </w:rPr>
        <w:t>100</w:t>
      </w:r>
      <w:r>
        <w:rPr>
          <w:rFonts w:hint="eastAsia" w:ascii="仿宋_GB2312" w:hAnsi="仿宋_GB2312" w:eastAsia="仿宋_GB2312" w:cs="Times New Roman"/>
          <w:color w:val="auto"/>
          <w:kern w:val="2"/>
          <w:sz w:val="32"/>
          <w:szCs w:val="24"/>
          <w:lang w:val="zh-CN" w:eastAsia="zh-CN" w:bidi="ar-SA"/>
        </w:rPr>
        <w:t>%。</w:t>
      </w:r>
      <w:r>
        <w:rPr>
          <w:rFonts w:hint="eastAsia" w:ascii="仿宋_GB2312" w:hAnsi="仿宋_GB2312" w:eastAsia="仿宋_GB2312" w:cs="Times New Roman"/>
          <w:color w:val="auto"/>
          <w:kern w:val="2"/>
          <w:sz w:val="32"/>
          <w:szCs w:val="24"/>
          <w:lang w:val="en-US" w:eastAsia="zh-CN" w:bidi="ar-SA"/>
        </w:rPr>
        <w:t>决算数等于预算数。</w:t>
      </w:r>
    </w:p>
    <w:p w14:paraId="448204FC">
      <w:pPr>
        <w:spacing w:line="360" w:lineRule="auto"/>
        <w:ind w:left="319" w:leftChars="152" w:right="103" w:rightChars="49" w:firstLine="480" w:firstLineChars="150"/>
        <w:rPr>
          <w:rFonts w:hint="default"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10.城乡社区支出（类）城乡社区管理事务（款）城管执法（项）:支出决算为45.99万元，预算数为73.82万元，决算数小于预算数27.83万元，完成预算62.3%。决算数小于预算数的原因是“</w:t>
      </w:r>
      <w:r>
        <w:rPr>
          <w:rFonts w:hint="default" w:ascii="仿宋_GB2312" w:hAnsi="仿宋_GB2312" w:eastAsia="仿宋_GB2312" w:cs="Times New Roman"/>
          <w:color w:val="auto"/>
          <w:kern w:val="2"/>
          <w:sz w:val="32"/>
          <w:szCs w:val="24"/>
          <w:lang w:val="en-US" w:eastAsia="zh-CN" w:bidi="ar-SA"/>
        </w:rPr>
        <w:t>补助执法人员误餐、加班、差旅经费</w:t>
      </w:r>
      <w:r>
        <w:rPr>
          <w:rFonts w:hint="eastAsia" w:ascii="仿宋_GB2312" w:hAnsi="仿宋_GB2312" w:eastAsia="仿宋_GB2312" w:cs="Times New Roman"/>
          <w:color w:val="auto"/>
          <w:kern w:val="2"/>
          <w:sz w:val="32"/>
          <w:szCs w:val="24"/>
          <w:lang w:val="en-US" w:eastAsia="zh-CN" w:bidi="ar-SA"/>
        </w:rPr>
        <w:t>”项目未到位资金22.83万元、</w:t>
      </w:r>
      <w:r>
        <w:rPr>
          <w:rFonts w:hint="default" w:ascii="仿宋_GB2312" w:hAnsi="仿宋_GB2312" w:eastAsia="仿宋_GB2312" w:cs="Times New Roman"/>
          <w:color w:val="auto"/>
          <w:kern w:val="2"/>
          <w:sz w:val="32"/>
          <w:szCs w:val="24"/>
          <w:lang w:val="en-US" w:eastAsia="zh-CN" w:bidi="ar-SA"/>
        </w:rPr>
        <w:t>购置制式服装项目</w:t>
      </w:r>
      <w:r>
        <w:rPr>
          <w:rFonts w:hint="eastAsia" w:ascii="仿宋_GB2312" w:hAnsi="仿宋_GB2312" w:eastAsia="仿宋_GB2312" w:cs="Times New Roman"/>
          <w:color w:val="auto"/>
          <w:kern w:val="2"/>
          <w:sz w:val="32"/>
          <w:szCs w:val="24"/>
          <w:lang w:val="en-US" w:eastAsia="zh-CN" w:bidi="ar-SA"/>
        </w:rPr>
        <w:t>未到位资金5万元所致。</w:t>
      </w:r>
    </w:p>
    <w:p w14:paraId="2DF55A7A">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en-US" w:eastAsia="zh-CN" w:bidi="ar-SA"/>
        </w:rPr>
        <w:t>11.</w:t>
      </w:r>
      <w:r>
        <w:rPr>
          <w:rFonts w:hint="eastAsia" w:ascii="仿宋_GB2312" w:hAnsi="仿宋_GB2312" w:eastAsia="仿宋_GB2312" w:cs="Times New Roman"/>
          <w:color w:val="auto"/>
          <w:kern w:val="2"/>
          <w:sz w:val="32"/>
          <w:szCs w:val="24"/>
          <w:lang w:val="zh-CN" w:eastAsia="zh-CN" w:bidi="ar-SA"/>
        </w:rPr>
        <w:t>交通运输支出（类）公路水路运输（款） 公路运输管理（项）:支出决算为</w:t>
      </w:r>
      <w:r>
        <w:rPr>
          <w:rFonts w:hint="eastAsia" w:ascii="仿宋_GB2312" w:hAnsi="仿宋_GB2312" w:eastAsia="仿宋_GB2312" w:cs="Times New Roman"/>
          <w:color w:val="auto"/>
          <w:kern w:val="2"/>
          <w:sz w:val="32"/>
          <w:szCs w:val="24"/>
          <w:lang w:val="en-US" w:eastAsia="zh-CN" w:bidi="ar-SA"/>
        </w:rPr>
        <w:t>1.36</w:t>
      </w:r>
      <w:r>
        <w:rPr>
          <w:rFonts w:hint="eastAsia" w:ascii="仿宋_GB2312" w:hAnsi="仿宋_GB2312" w:eastAsia="仿宋_GB2312" w:cs="Times New Roman"/>
          <w:color w:val="auto"/>
          <w:kern w:val="2"/>
          <w:sz w:val="32"/>
          <w:szCs w:val="24"/>
          <w:lang w:val="zh-CN" w:eastAsia="zh-CN" w:bidi="ar-SA"/>
        </w:rPr>
        <w:t>万元，完成预算</w:t>
      </w:r>
      <w:r>
        <w:rPr>
          <w:rFonts w:hint="eastAsia" w:ascii="仿宋_GB2312" w:hAnsi="仿宋_GB2312" w:eastAsia="仿宋_GB2312" w:cs="Times New Roman"/>
          <w:color w:val="auto"/>
          <w:kern w:val="2"/>
          <w:sz w:val="32"/>
          <w:szCs w:val="24"/>
          <w:lang w:val="en-US" w:eastAsia="zh-CN" w:bidi="ar-SA"/>
        </w:rPr>
        <w:t>100</w:t>
      </w:r>
      <w:r>
        <w:rPr>
          <w:rFonts w:hint="eastAsia" w:ascii="仿宋_GB2312" w:hAnsi="仿宋_GB2312" w:eastAsia="仿宋_GB2312" w:cs="Times New Roman"/>
          <w:color w:val="auto"/>
          <w:kern w:val="2"/>
          <w:sz w:val="32"/>
          <w:szCs w:val="24"/>
          <w:lang w:val="zh-CN" w:eastAsia="zh-CN" w:bidi="ar-SA"/>
        </w:rPr>
        <w:t>%。</w:t>
      </w:r>
      <w:r>
        <w:rPr>
          <w:rFonts w:hint="eastAsia" w:ascii="仿宋_GB2312" w:hAnsi="仿宋_GB2312" w:eastAsia="仿宋_GB2312" w:cs="Times New Roman"/>
          <w:color w:val="auto"/>
          <w:kern w:val="2"/>
          <w:sz w:val="32"/>
          <w:szCs w:val="24"/>
          <w:lang w:val="en-US" w:eastAsia="zh-CN" w:bidi="ar-SA"/>
        </w:rPr>
        <w:t>决算数等于预算数。</w:t>
      </w:r>
    </w:p>
    <w:p w14:paraId="6B6CC142">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en-US" w:eastAsia="zh-CN" w:bidi="ar-SA"/>
        </w:rPr>
        <w:t>12.</w:t>
      </w:r>
      <w:r>
        <w:rPr>
          <w:rFonts w:hint="eastAsia" w:ascii="仿宋_GB2312" w:hAnsi="仿宋_GB2312" w:eastAsia="仿宋_GB2312" w:cs="Times New Roman"/>
          <w:color w:val="auto"/>
          <w:kern w:val="2"/>
          <w:sz w:val="32"/>
          <w:szCs w:val="24"/>
          <w:lang w:val="zh-CN" w:eastAsia="zh-CN" w:bidi="ar-SA"/>
        </w:rPr>
        <w:t>住房保障支出（类）住房改革支出（款） 住房公积金（项）:支出决算为</w:t>
      </w:r>
      <w:r>
        <w:rPr>
          <w:rFonts w:hint="eastAsia" w:ascii="仿宋_GB2312" w:hAnsi="仿宋_GB2312" w:eastAsia="仿宋_GB2312" w:cs="Times New Roman"/>
          <w:color w:val="auto"/>
          <w:kern w:val="2"/>
          <w:sz w:val="32"/>
          <w:szCs w:val="24"/>
          <w:lang w:val="en-US" w:eastAsia="zh-CN" w:bidi="ar-SA"/>
        </w:rPr>
        <w:t>57.31</w:t>
      </w:r>
      <w:r>
        <w:rPr>
          <w:rFonts w:hint="eastAsia" w:ascii="仿宋_GB2312" w:hAnsi="仿宋_GB2312" w:eastAsia="仿宋_GB2312" w:cs="Times New Roman"/>
          <w:color w:val="auto"/>
          <w:kern w:val="2"/>
          <w:sz w:val="32"/>
          <w:szCs w:val="24"/>
          <w:lang w:val="zh-CN" w:eastAsia="zh-CN" w:bidi="ar-SA"/>
        </w:rPr>
        <w:t>万元，完成预算</w:t>
      </w:r>
      <w:r>
        <w:rPr>
          <w:rFonts w:hint="eastAsia" w:ascii="仿宋_GB2312" w:hAnsi="仿宋_GB2312" w:eastAsia="仿宋_GB2312" w:cs="Times New Roman"/>
          <w:color w:val="auto"/>
          <w:kern w:val="2"/>
          <w:sz w:val="32"/>
          <w:szCs w:val="24"/>
          <w:lang w:val="en-US" w:eastAsia="zh-CN" w:bidi="ar-SA"/>
        </w:rPr>
        <w:t>100</w:t>
      </w:r>
      <w:r>
        <w:rPr>
          <w:rFonts w:hint="eastAsia" w:ascii="仿宋_GB2312" w:hAnsi="仿宋_GB2312" w:eastAsia="仿宋_GB2312" w:cs="Times New Roman"/>
          <w:color w:val="auto"/>
          <w:kern w:val="2"/>
          <w:sz w:val="32"/>
          <w:szCs w:val="24"/>
          <w:lang w:val="zh-CN" w:eastAsia="zh-CN" w:bidi="ar-SA"/>
        </w:rPr>
        <w:t>%。</w:t>
      </w:r>
      <w:r>
        <w:rPr>
          <w:rFonts w:hint="eastAsia" w:ascii="仿宋_GB2312" w:hAnsi="仿宋_GB2312" w:eastAsia="仿宋_GB2312" w:cs="Times New Roman"/>
          <w:color w:val="auto"/>
          <w:kern w:val="2"/>
          <w:sz w:val="32"/>
          <w:szCs w:val="24"/>
          <w:lang w:val="en-US" w:eastAsia="zh-CN" w:bidi="ar-SA"/>
        </w:rPr>
        <w:t>决算数等于预算数。</w:t>
      </w:r>
    </w:p>
    <w:p w14:paraId="0131AF1C">
      <w:pPr>
        <w:tabs>
          <w:tab w:val="right" w:pos="8306"/>
        </w:tabs>
        <w:spacing w:line="600" w:lineRule="exact"/>
        <w:ind w:firstLine="640"/>
        <w:outlineLvl w:val="1"/>
        <w:rPr>
          <w:rStyle w:val="30"/>
        </w:rPr>
      </w:pPr>
      <w:bookmarkStart w:id="48" w:name="_Toc15396608"/>
      <w:bookmarkStart w:id="49" w:name="_Toc2927"/>
      <w:bookmarkStart w:id="50"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48"/>
      <w:bookmarkEnd w:id="49"/>
      <w:bookmarkEnd w:id="50"/>
      <w:r>
        <w:rPr>
          <w:rStyle w:val="30"/>
          <w:rFonts w:ascii="黑体" w:hAnsi="黑体" w:eastAsia="黑体"/>
          <w:b w:val="0"/>
        </w:rPr>
        <w:tab/>
      </w:r>
    </w:p>
    <w:p w14:paraId="381A9852">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2024年度一般公共预算财政拨款基本支出859.37万元，其中：</w:t>
      </w:r>
    </w:p>
    <w:p w14:paraId="7CA05314">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人员经费737.79万元，主要包括：基本工资、津贴补贴、奖金、伙食补助费、机关事业单位基本养老保险缴费、职业年金缴费、医疗费补助、住房公积金、其他社会保障缴费、其他工资福利支出、其他对个人和家庭的补助支出等。</w:t>
      </w:r>
      <w:r>
        <w:rPr>
          <w:rFonts w:hint="eastAsia" w:ascii="仿宋_GB2312" w:hAnsi="仿宋_GB2312" w:eastAsia="仿宋_GB2312" w:cs="Times New Roman"/>
          <w:color w:val="auto"/>
          <w:kern w:val="2"/>
          <w:sz w:val="32"/>
          <w:szCs w:val="24"/>
          <w:lang w:val="zh-CN" w:eastAsia="zh-CN" w:bidi="ar-SA"/>
        </w:rPr>
        <w:br w:type="textWrapping"/>
      </w:r>
      <w:r>
        <w:rPr>
          <w:rFonts w:hint="eastAsia" w:ascii="仿宋_GB2312" w:hAnsi="仿宋_GB2312" w:eastAsia="仿宋_GB2312" w:cs="Times New Roman"/>
          <w:color w:val="auto"/>
          <w:kern w:val="2"/>
          <w:sz w:val="32"/>
          <w:szCs w:val="24"/>
          <w:lang w:val="zh-CN" w:eastAsia="zh-CN" w:bidi="ar-SA"/>
        </w:rPr>
        <w:t>　　公用经费121.58万元，主要包括：办公费、印刷费、咨询费、水费、电费、邮电费、差旅费、维修（护）费、租赁费、公务接待费、劳务费、委托业务费、工会经费、福利费、公务用车运行维护费、其他交通费、其他商品和服务支出等。</w:t>
      </w:r>
    </w:p>
    <w:p w14:paraId="1E997BB9">
      <w:pPr>
        <w:spacing w:line="600" w:lineRule="exact"/>
        <w:ind w:firstLine="640"/>
        <w:outlineLvl w:val="1"/>
        <w:rPr>
          <w:rStyle w:val="30"/>
          <w:rFonts w:ascii="黑体" w:hAnsi="黑体" w:eastAsia="黑体"/>
          <w:b w:val="0"/>
        </w:rPr>
      </w:pPr>
      <w:bookmarkStart w:id="51" w:name="_Toc15377215"/>
      <w:bookmarkStart w:id="52" w:name="_Toc13879"/>
      <w:bookmarkStart w:id="53" w:name="_Toc15396609"/>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51"/>
      <w:bookmarkEnd w:id="52"/>
      <w:bookmarkEnd w:id="53"/>
    </w:p>
    <w:p w14:paraId="1065E32C">
      <w:pPr>
        <w:spacing w:line="600" w:lineRule="exact"/>
        <w:ind w:firstLine="640"/>
        <w:outlineLvl w:val="2"/>
        <w:rPr>
          <w:rFonts w:ascii="仿宋" w:hAnsi="仿宋" w:eastAsia="仿宋"/>
          <w:b/>
          <w:sz w:val="32"/>
          <w:szCs w:val="32"/>
        </w:rPr>
      </w:pPr>
      <w:bookmarkStart w:id="54" w:name="_Toc15377216"/>
      <w:r>
        <w:rPr>
          <w:rFonts w:hint="eastAsia" w:ascii="仿宋" w:hAnsi="仿宋" w:eastAsia="仿宋"/>
          <w:b/>
          <w:sz w:val="32"/>
          <w:szCs w:val="32"/>
        </w:rPr>
        <w:t>（一）“三公”经费财政拨款支出决算总体情况说明</w:t>
      </w:r>
      <w:bookmarkEnd w:id="54"/>
    </w:p>
    <w:p w14:paraId="735805A9">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2024年度“三公”经费财政拨款支出决算为10.09万元，完成预算100%，较上年度</w:t>
      </w:r>
      <w:r>
        <w:rPr>
          <w:rFonts w:hint="eastAsia" w:ascii="仿宋_GB2312" w:hAnsi="仿宋_GB2312" w:eastAsia="仿宋_GB2312" w:cs="Times New Roman"/>
          <w:color w:val="auto"/>
          <w:kern w:val="2"/>
          <w:sz w:val="32"/>
          <w:szCs w:val="24"/>
          <w:lang w:val="en-US" w:eastAsia="zh-CN" w:bidi="ar-SA"/>
        </w:rPr>
        <w:t>10.27</w:t>
      </w:r>
      <w:r>
        <w:rPr>
          <w:rFonts w:hint="eastAsia" w:ascii="仿宋_GB2312" w:hAnsi="仿宋_GB2312" w:eastAsia="仿宋_GB2312" w:cs="Times New Roman"/>
          <w:color w:val="auto"/>
          <w:kern w:val="2"/>
          <w:sz w:val="32"/>
          <w:szCs w:val="24"/>
          <w:lang w:val="zh-CN" w:eastAsia="zh-CN" w:bidi="ar-SA"/>
        </w:rPr>
        <w:t>万元减少</w:t>
      </w:r>
      <w:r>
        <w:rPr>
          <w:rFonts w:hint="eastAsia" w:ascii="仿宋_GB2312" w:hAnsi="仿宋_GB2312" w:eastAsia="仿宋_GB2312" w:cs="Times New Roman"/>
          <w:color w:val="auto"/>
          <w:kern w:val="2"/>
          <w:sz w:val="32"/>
          <w:szCs w:val="24"/>
          <w:lang w:val="en-US" w:eastAsia="zh-CN" w:bidi="ar-SA"/>
        </w:rPr>
        <w:t>0.18</w:t>
      </w:r>
      <w:r>
        <w:rPr>
          <w:rFonts w:hint="eastAsia" w:ascii="仿宋_GB2312" w:hAnsi="仿宋_GB2312" w:eastAsia="仿宋_GB2312" w:cs="Times New Roman"/>
          <w:color w:val="auto"/>
          <w:kern w:val="2"/>
          <w:sz w:val="32"/>
          <w:szCs w:val="24"/>
          <w:lang w:val="zh-CN" w:eastAsia="zh-CN" w:bidi="ar-SA"/>
        </w:rPr>
        <w:t>万元，下降</w:t>
      </w:r>
      <w:r>
        <w:rPr>
          <w:rFonts w:hint="eastAsia" w:ascii="仿宋_GB2312" w:hAnsi="仿宋_GB2312" w:eastAsia="仿宋_GB2312" w:cs="Times New Roman"/>
          <w:color w:val="auto"/>
          <w:kern w:val="2"/>
          <w:sz w:val="32"/>
          <w:szCs w:val="24"/>
          <w:lang w:val="en-US" w:eastAsia="zh-CN" w:bidi="ar-SA"/>
        </w:rPr>
        <w:t>1.8</w:t>
      </w:r>
      <w:r>
        <w:rPr>
          <w:rFonts w:hint="eastAsia" w:ascii="仿宋_GB2312" w:hAnsi="仿宋_GB2312" w:eastAsia="仿宋_GB2312" w:cs="Times New Roman"/>
          <w:color w:val="auto"/>
          <w:kern w:val="2"/>
          <w:sz w:val="32"/>
          <w:szCs w:val="24"/>
          <w:lang w:val="zh-CN" w:eastAsia="zh-CN" w:bidi="ar-SA"/>
        </w:rPr>
        <w:t>%。决算数与预算数持平。</w:t>
      </w:r>
    </w:p>
    <w:p w14:paraId="6891CE59">
      <w:pPr>
        <w:spacing w:line="600" w:lineRule="exact"/>
        <w:ind w:firstLine="640"/>
        <w:outlineLvl w:val="2"/>
        <w:rPr>
          <w:rFonts w:ascii="仿宋" w:hAnsi="仿宋" w:eastAsia="仿宋"/>
          <w:b/>
          <w:sz w:val="32"/>
          <w:szCs w:val="32"/>
        </w:rPr>
      </w:pPr>
      <w:bookmarkStart w:id="55" w:name="_Toc15377217"/>
      <w:r>
        <w:rPr>
          <w:rFonts w:hint="eastAsia" w:ascii="仿宋" w:hAnsi="仿宋" w:eastAsia="仿宋"/>
          <w:b/>
          <w:sz w:val="32"/>
          <w:szCs w:val="32"/>
        </w:rPr>
        <w:t>（二）“三公”经费财政拨款支出决算具体情况说明</w:t>
      </w:r>
      <w:bookmarkEnd w:id="55"/>
    </w:p>
    <w:p w14:paraId="79CA6B18">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2024年度“三公”经费财政拨款支出决算中，因公出国（境）费支出决算0万元，占0%；公务用车购置及运行维护费支出决算9.9</w:t>
      </w:r>
      <w:r>
        <w:rPr>
          <w:rFonts w:hint="eastAsia" w:ascii="仿宋_GB2312" w:hAnsi="仿宋_GB2312" w:eastAsia="仿宋_GB2312" w:cs="Times New Roman"/>
          <w:color w:val="auto"/>
          <w:kern w:val="2"/>
          <w:sz w:val="32"/>
          <w:szCs w:val="24"/>
          <w:lang w:val="en-US" w:eastAsia="zh-CN" w:bidi="ar-SA"/>
        </w:rPr>
        <w:t>4</w:t>
      </w:r>
      <w:r>
        <w:rPr>
          <w:rFonts w:hint="eastAsia" w:ascii="仿宋_GB2312" w:hAnsi="仿宋_GB2312" w:eastAsia="仿宋_GB2312" w:cs="Times New Roman"/>
          <w:color w:val="auto"/>
          <w:kern w:val="2"/>
          <w:sz w:val="32"/>
          <w:szCs w:val="24"/>
          <w:lang w:val="zh-CN" w:eastAsia="zh-CN" w:bidi="ar-SA"/>
        </w:rPr>
        <w:t>万元，占9</w:t>
      </w:r>
      <w:r>
        <w:rPr>
          <w:rFonts w:hint="eastAsia" w:ascii="仿宋_GB2312" w:hAnsi="仿宋_GB2312" w:eastAsia="仿宋_GB2312" w:cs="Times New Roman"/>
          <w:color w:val="auto"/>
          <w:kern w:val="2"/>
          <w:sz w:val="32"/>
          <w:szCs w:val="24"/>
          <w:lang w:val="en-US" w:eastAsia="zh-CN" w:bidi="ar-SA"/>
        </w:rPr>
        <w:t>8.5</w:t>
      </w:r>
      <w:r>
        <w:rPr>
          <w:rFonts w:hint="eastAsia" w:ascii="仿宋_GB2312" w:hAnsi="仿宋_GB2312" w:eastAsia="仿宋_GB2312" w:cs="Times New Roman"/>
          <w:color w:val="auto"/>
          <w:kern w:val="2"/>
          <w:sz w:val="32"/>
          <w:szCs w:val="24"/>
          <w:lang w:val="zh-CN" w:eastAsia="zh-CN" w:bidi="ar-SA"/>
        </w:rPr>
        <w:t>%；公务接待费支出决算0.</w:t>
      </w:r>
      <w:r>
        <w:rPr>
          <w:rFonts w:hint="eastAsia" w:ascii="仿宋_GB2312" w:hAnsi="仿宋_GB2312" w:eastAsia="仿宋_GB2312" w:cs="Times New Roman"/>
          <w:color w:val="auto"/>
          <w:kern w:val="2"/>
          <w:sz w:val="32"/>
          <w:szCs w:val="24"/>
          <w:lang w:val="en-US" w:eastAsia="zh-CN" w:bidi="ar-SA"/>
        </w:rPr>
        <w:t>15</w:t>
      </w:r>
      <w:r>
        <w:rPr>
          <w:rFonts w:hint="eastAsia" w:ascii="仿宋_GB2312" w:hAnsi="仿宋_GB2312" w:eastAsia="仿宋_GB2312" w:cs="Times New Roman"/>
          <w:color w:val="auto"/>
          <w:kern w:val="2"/>
          <w:sz w:val="32"/>
          <w:szCs w:val="24"/>
          <w:lang w:val="zh-CN" w:eastAsia="zh-CN" w:bidi="ar-SA"/>
        </w:rPr>
        <w:t>万元，占</w:t>
      </w:r>
      <w:r>
        <w:rPr>
          <w:rFonts w:hint="eastAsia" w:ascii="仿宋_GB2312" w:hAnsi="仿宋_GB2312" w:eastAsia="仿宋_GB2312" w:cs="Times New Roman"/>
          <w:color w:val="auto"/>
          <w:kern w:val="2"/>
          <w:sz w:val="32"/>
          <w:szCs w:val="24"/>
          <w:lang w:val="en-US" w:eastAsia="zh-CN" w:bidi="ar-SA"/>
        </w:rPr>
        <w:t>1.5</w:t>
      </w:r>
      <w:r>
        <w:rPr>
          <w:rFonts w:hint="eastAsia" w:ascii="仿宋_GB2312" w:hAnsi="仿宋_GB2312" w:eastAsia="仿宋_GB2312" w:cs="Times New Roman"/>
          <w:color w:val="auto"/>
          <w:kern w:val="2"/>
          <w:sz w:val="32"/>
          <w:szCs w:val="24"/>
          <w:lang w:val="zh-CN" w:eastAsia="zh-CN" w:bidi="ar-SA"/>
        </w:rPr>
        <w:t>%。具体情况如下：</w:t>
      </w:r>
    </w:p>
    <w:p w14:paraId="400815D7">
      <w:pPr>
        <w:spacing w:line="600" w:lineRule="exact"/>
        <w:ind w:firstLine="640"/>
        <w:rPr>
          <w:rFonts w:hint="eastAsia" w:ascii="仿宋" w:hAnsi="仿宋" w:eastAsia="仿宋"/>
          <w:sz w:val="32"/>
          <w:szCs w:val="32"/>
        </w:rPr>
      </w:pPr>
      <w:r>
        <w:rPr>
          <w:rFonts w:hint="eastAsia" w:ascii="仿宋" w:hAnsi="仿宋" w:eastAsia="仿宋"/>
          <w:sz w:val="32"/>
          <w:szCs w:val="32"/>
        </w:rPr>
        <w:t>图7：“三公”经费财政拨款支出结构</w:t>
      </w:r>
    </w:p>
    <w:p w14:paraId="64B35F8F">
      <w:pPr>
        <w:pStyle w:val="2"/>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578350" cy="3176270"/>
            <wp:effectExtent l="0" t="0" r="12700" b="5080"/>
            <wp:docPr id="19" name="图片 19"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图片7"/>
                    <pic:cNvPicPr>
                      <a:picLocks noChangeAspect="1"/>
                    </pic:cNvPicPr>
                  </pic:nvPicPr>
                  <pic:blipFill>
                    <a:blip r:embed="rId15"/>
                    <a:stretch>
                      <a:fillRect/>
                    </a:stretch>
                  </pic:blipFill>
                  <pic:spPr>
                    <a:xfrm>
                      <a:off x="0" y="0"/>
                      <a:ext cx="4578350" cy="3176270"/>
                    </a:xfrm>
                    <a:prstGeom prst="rect">
                      <a:avLst/>
                    </a:prstGeom>
                  </pic:spPr>
                </pic:pic>
              </a:graphicData>
            </a:graphic>
          </wp:inline>
        </w:drawing>
      </w:r>
    </w:p>
    <w:p w14:paraId="6F301458">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bookmarkStart w:id="56" w:name="_Toc15396610"/>
      <w:bookmarkStart w:id="57" w:name="_Toc15377218"/>
      <w:r>
        <w:rPr>
          <w:rFonts w:hint="eastAsia" w:ascii="仿宋_GB2312" w:hAnsi="仿宋_GB2312" w:eastAsia="仿宋_GB2312" w:cs="Times New Roman"/>
          <w:color w:val="auto"/>
          <w:kern w:val="2"/>
          <w:sz w:val="32"/>
          <w:szCs w:val="24"/>
          <w:lang w:val="zh-CN" w:eastAsia="zh-CN" w:bidi="ar-SA"/>
        </w:rPr>
        <w:t>1.因公出国（境）经费支出0万元，完成预算0%。全年安排因公出国（境）团组0次，出国（境）0人。因公出国（境）支出决算与2023年持平。</w:t>
      </w:r>
    </w:p>
    <w:p w14:paraId="07FCD694">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2.公务用车购置及运行维护费支出9.9</w:t>
      </w:r>
      <w:r>
        <w:rPr>
          <w:rFonts w:hint="eastAsia" w:ascii="仿宋_GB2312" w:hAnsi="仿宋_GB2312" w:eastAsia="仿宋_GB2312" w:cs="Times New Roman"/>
          <w:color w:val="auto"/>
          <w:kern w:val="2"/>
          <w:sz w:val="32"/>
          <w:szCs w:val="24"/>
          <w:lang w:val="en-US" w:eastAsia="zh-CN" w:bidi="ar-SA"/>
        </w:rPr>
        <w:t>4</w:t>
      </w:r>
      <w:r>
        <w:rPr>
          <w:rFonts w:hint="eastAsia" w:ascii="仿宋_GB2312" w:hAnsi="仿宋_GB2312" w:eastAsia="仿宋_GB2312" w:cs="Times New Roman"/>
          <w:color w:val="auto"/>
          <w:kern w:val="2"/>
          <w:sz w:val="32"/>
          <w:szCs w:val="24"/>
          <w:lang w:val="zh-CN" w:eastAsia="zh-CN" w:bidi="ar-SA"/>
        </w:rPr>
        <w:t>万元,完成预算100%。公务用车购置及运行维护费支出决算比2023年度</w:t>
      </w:r>
      <w:r>
        <w:rPr>
          <w:rFonts w:hint="eastAsia" w:ascii="仿宋_GB2312" w:hAnsi="仿宋_GB2312" w:eastAsia="仿宋_GB2312" w:cs="Times New Roman"/>
          <w:color w:val="auto"/>
          <w:kern w:val="2"/>
          <w:sz w:val="32"/>
          <w:szCs w:val="24"/>
          <w:lang w:val="en-US" w:eastAsia="zh-CN" w:bidi="ar-SA"/>
        </w:rPr>
        <w:t>9.97</w:t>
      </w:r>
      <w:r>
        <w:rPr>
          <w:rFonts w:hint="eastAsia" w:ascii="仿宋_GB2312" w:hAnsi="仿宋_GB2312" w:eastAsia="仿宋_GB2312" w:cs="Times New Roman"/>
          <w:color w:val="auto"/>
          <w:kern w:val="2"/>
          <w:sz w:val="32"/>
          <w:szCs w:val="24"/>
          <w:lang w:val="zh-CN" w:eastAsia="zh-CN" w:bidi="ar-SA"/>
        </w:rPr>
        <w:t>万元减少</w:t>
      </w:r>
      <w:r>
        <w:rPr>
          <w:rFonts w:hint="eastAsia" w:ascii="仿宋_GB2312" w:hAnsi="仿宋_GB2312" w:eastAsia="仿宋_GB2312" w:cs="Times New Roman"/>
          <w:color w:val="auto"/>
          <w:kern w:val="2"/>
          <w:sz w:val="32"/>
          <w:szCs w:val="24"/>
          <w:lang w:val="en-US" w:eastAsia="zh-CN" w:bidi="ar-SA"/>
        </w:rPr>
        <w:t>0.03</w:t>
      </w:r>
      <w:r>
        <w:rPr>
          <w:rFonts w:hint="eastAsia" w:ascii="仿宋_GB2312" w:hAnsi="仿宋_GB2312" w:eastAsia="仿宋_GB2312" w:cs="Times New Roman"/>
          <w:color w:val="auto"/>
          <w:kern w:val="2"/>
          <w:sz w:val="32"/>
          <w:szCs w:val="24"/>
          <w:lang w:val="zh-CN" w:eastAsia="zh-CN" w:bidi="ar-SA"/>
        </w:rPr>
        <w:t>万元，下降</w:t>
      </w:r>
      <w:r>
        <w:rPr>
          <w:rFonts w:hint="eastAsia" w:ascii="仿宋_GB2312" w:hAnsi="仿宋_GB2312" w:eastAsia="仿宋_GB2312" w:cs="Times New Roman"/>
          <w:color w:val="auto"/>
          <w:kern w:val="2"/>
          <w:sz w:val="32"/>
          <w:szCs w:val="24"/>
          <w:lang w:val="en-US" w:eastAsia="zh-CN" w:bidi="ar-SA"/>
        </w:rPr>
        <w:t>0.3</w:t>
      </w:r>
      <w:r>
        <w:rPr>
          <w:rFonts w:hint="eastAsia" w:ascii="仿宋_GB2312" w:hAnsi="仿宋_GB2312" w:eastAsia="仿宋_GB2312" w:cs="Times New Roman"/>
          <w:color w:val="auto"/>
          <w:kern w:val="2"/>
          <w:sz w:val="32"/>
          <w:szCs w:val="24"/>
          <w:lang w:val="zh-CN" w:eastAsia="zh-CN" w:bidi="ar-SA"/>
        </w:rPr>
        <w:t>%。主要原因是增加了执法电瓶车的使用，减少了燃油费支出，相应减少了公务用车运行维护费支出。</w:t>
      </w:r>
    </w:p>
    <w:p w14:paraId="0B04B168">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其中：公务用车购置支出0万元。全年按规定更新购置公务用车</w:t>
      </w:r>
      <w:r>
        <w:rPr>
          <w:rFonts w:hint="eastAsia" w:ascii="仿宋_GB2312" w:hAnsi="仿宋_GB2312" w:eastAsia="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辆，其中：轿车</w:t>
      </w:r>
      <w:r>
        <w:rPr>
          <w:rFonts w:hint="eastAsia" w:ascii="仿宋_GB2312" w:hAnsi="仿宋_GB2312" w:eastAsia="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辆、金额</w:t>
      </w:r>
      <w:r>
        <w:rPr>
          <w:rFonts w:hint="eastAsia" w:ascii="仿宋_GB2312" w:hAnsi="仿宋_GB2312" w:eastAsia="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万元，越野车</w:t>
      </w:r>
      <w:r>
        <w:rPr>
          <w:rFonts w:hint="eastAsia" w:ascii="仿宋_GB2312" w:hAnsi="仿宋_GB2312" w:eastAsia="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辆、金额</w:t>
      </w:r>
      <w:r>
        <w:rPr>
          <w:rFonts w:hint="eastAsia" w:ascii="仿宋_GB2312" w:hAnsi="仿宋_GB2312" w:eastAsia="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万元，载客汽车</w:t>
      </w:r>
      <w:r>
        <w:rPr>
          <w:rFonts w:hint="eastAsia" w:ascii="仿宋_GB2312" w:hAnsi="仿宋_GB2312" w:eastAsia="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辆、金额</w:t>
      </w:r>
      <w:r>
        <w:rPr>
          <w:rFonts w:hint="eastAsia" w:ascii="仿宋_GB2312" w:hAnsi="仿宋_GB2312" w:eastAsia="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万元，主要用于：无。截至2024年12月31日，单位共有公务用车</w:t>
      </w:r>
      <w:r>
        <w:rPr>
          <w:rFonts w:hint="eastAsia" w:ascii="仿宋_GB2312" w:hAnsi="仿宋_GB2312" w:eastAsia="仿宋_GB2312" w:cs="Times New Roman"/>
          <w:color w:val="auto"/>
          <w:kern w:val="2"/>
          <w:sz w:val="32"/>
          <w:szCs w:val="24"/>
          <w:lang w:val="en-US" w:eastAsia="zh-CN" w:bidi="ar-SA"/>
        </w:rPr>
        <w:t>20</w:t>
      </w:r>
      <w:r>
        <w:rPr>
          <w:rFonts w:hint="eastAsia" w:ascii="仿宋_GB2312" w:hAnsi="仿宋_GB2312" w:eastAsia="仿宋_GB2312" w:cs="Times New Roman"/>
          <w:color w:val="auto"/>
          <w:kern w:val="2"/>
          <w:sz w:val="32"/>
          <w:szCs w:val="24"/>
          <w:lang w:val="zh-CN" w:eastAsia="zh-CN" w:bidi="ar-SA"/>
        </w:rPr>
        <w:t>辆，其中：轿车</w:t>
      </w:r>
      <w:r>
        <w:rPr>
          <w:rFonts w:hint="eastAsia" w:ascii="仿宋_GB2312" w:hAnsi="仿宋_GB2312" w:eastAsia="仿宋_GB2312" w:cs="Times New Roman"/>
          <w:color w:val="auto"/>
          <w:kern w:val="2"/>
          <w:sz w:val="32"/>
          <w:szCs w:val="24"/>
          <w:lang w:val="en-US" w:eastAsia="zh-CN" w:bidi="ar-SA"/>
        </w:rPr>
        <w:t>20</w:t>
      </w:r>
      <w:r>
        <w:rPr>
          <w:rFonts w:hint="eastAsia" w:ascii="仿宋_GB2312" w:hAnsi="仿宋_GB2312" w:eastAsia="仿宋_GB2312" w:cs="Times New Roman"/>
          <w:color w:val="auto"/>
          <w:kern w:val="2"/>
          <w:sz w:val="32"/>
          <w:szCs w:val="24"/>
          <w:lang w:val="zh-CN" w:eastAsia="zh-CN" w:bidi="ar-SA"/>
        </w:rPr>
        <w:t>辆、越野车</w:t>
      </w:r>
      <w:r>
        <w:rPr>
          <w:rFonts w:hint="eastAsia" w:ascii="仿宋_GB2312" w:hAnsi="仿宋_GB2312" w:eastAsia="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辆、载客汽车</w:t>
      </w:r>
      <w:r>
        <w:rPr>
          <w:rFonts w:hint="eastAsia" w:ascii="仿宋_GB2312" w:hAnsi="仿宋_GB2312" w:eastAsia="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辆。</w:t>
      </w:r>
    </w:p>
    <w:p w14:paraId="3A338E4C">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公务用车运行维护费支出9.9</w:t>
      </w:r>
      <w:r>
        <w:rPr>
          <w:rFonts w:hint="eastAsia" w:ascii="仿宋_GB2312" w:hAnsi="仿宋_GB2312" w:eastAsia="仿宋_GB2312" w:cs="Times New Roman"/>
          <w:color w:val="auto"/>
          <w:kern w:val="2"/>
          <w:sz w:val="32"/>
          <w:szCs w:val="24"/>
          <w:lang w:val="en-US" w:eastAsia="zh-CN" w:bidi="ar-SA"/>
        </w:rPr>
        <w:t>4</w:t>
      </w:r>
      <w:r>
        <w:rPr>
          <w:rFonts w:hint="eastAsia" w:ascii="仿宋_GB2312" w:hAnsi="仿宋_GB2312" w:eastAsia="仿宋_GB2312" w:cs="Times New Roman"/>
          <w:color w:val="auto"/>
          <w:kern w:val="2"/>
          <w:sz w:val="32"/>
          <w:szCs w:val="24"/>
          <w:lang w:val="zh-CN" w:eastAsia="zh-CN" w:bidi="ar-SA"/>
        </w:rPr>
        <w:t>万元。主要用于卫生监督、城乡社区执法管理、水利执法监督、公路运输管理等</w:t>
      </w:r>
      <w:r>
        <w:rPr>
          <w:rFonts w:hint="eastAsia" w:ascii="仿宋_GB2312" w:hAnsi="仿宋_GB2312" w:eastAsia="仿宋_GB2312" w:cs="Times New Roman"/>
          <w:color w:val="auto"/>
          <w:kern w:val="2"/>
          <w:sz w:val="32"/>
          <w:szCs w:val="24"/>
          <w:lang w:val="en-US" w:eastAsia="zh-CN" w:bidi="ar-SA"/>
        </w:rPr>
        <w:t>工作</w:t>
      </w:r>
      <w:r>
        <w:rPr>
          <w:rFonts w:hint="eastAsia" w:ascii="仿宋_GB2312" w:hAnsi="仿宋_GB2312" w:eastAsia="仿宋_GB2312" w:cs="Times New Roman"/>
          <w:color w:val="auto"/>
          <w:kern w:val="2"/>
          <w:sz w:val="32"/>
          <w:szCs w:val="24"/>
          <w:lang w:val="zh-CN" w:eastAsia="zh-CN" w:bidi="ar-SA"/>
        </w:rPr>
        <w:t>所需的公务用车燃料费、维修费、过路过桥费、保险费等支出。</w:t>
      </w:r>
    </w:p>
    <w:p w14:paraId="1F5DA690">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3.公务接待费支出</w:t>
      </w:r>
      <w:r>
        <w:rPr>
          <w:rFonts w:hint="eastAsia" w:ascii="仿宋_GB2312" w:hAnsi="仿宋_GB2312" w:eastAsia="仿宋_GB2312" w:cs="Times New Roman"/>
          <w:color w:val="auto"/>
          <w:kern w:val="2"/>
          <w:sz w:val="32"/>
          <w:szCs w:val="24"/>
          <w:lang w:val="en-US" w:eastAsia="zh-CN" w:bidi="ar-SA"/>
        </w:rPr>
        <w:t>0.15</w:t>
      </w:r>
      <w:r>
        <w:rPr>
          <w:rFonts w:hint="eastAsia" w:ascii="仿宋_GB2312" w:hAnsi="仿宋_GB2312" w:eastAsia="仿宋_GB2312" w:cs="Times New Roman"/>
          <w:color w:val="auto"/>
          <w:kern w:val="2"/>
          <w:sz w:val="32"/>
          <w:szCs w:val="24"/>
          <w:lang w:val="zh-CN" w:eastAsia="zh-CN" w:bidi="ar-SA"/>
        </w:rPr>
        <w:t>万元，完成预算100%。公务接待费支出决算比2023年度0.</w:t>
      </w:r>
      <w:r>
        <w:rPr>
          <w:rFonts w:hint="eastAsia" w:ascii="仿宋_GB2312" w:hAnsi="仿宋_GB2312" w:eastAsia="仿宋_GB2312" w:cs="Times New Roman"/>
          <w:color w:val="auto"/>
          <w:kern w:val="2"/>
          <w:sz w:val="32"/>
          <w:szCs w:val="24"/>
          <w:lang w:val="en-US" w:eastAsia="zh-CN" w:bidi="ar-SA"/>
        </w:rPr>
        <w:t>3</w:t>
      </w:r>
      <w:r>
        <w:rPr>
          <w:rFonts w:hint="eastAsia" w:ascii="仿宋_GB2312" w:hAnsi="仿宋_GB2312" w:eastAsia="仿宋_GB2312" w:cs="Times New Roman"/>
          <w:color w:val="auto"/>
          <w:kern w:val="2"/>
          <w:sz w:val="32"/>
          <w:szCs w:val="24"/>
          <w:lang w:val="zh-CN" w:eastAsia="zh-CN" w:bidi="ar-SA"/>
        </w:rPr>
        <w:t>万元减少</w:t>
      </w:r>
      <w:r>
        <w:rPr>
          <w:rFonts w:hint="eastAsia" w:ascii="仿宋_GB2312" w:hAnsi="仿宋_GB2312" w:eastAsia="仿宋_GB2312" w:cs="Times New Roman"/>
          <w:color w:val="auto"/>
          <w:kern w:val="2"/>
          <w:sz w:val="32"/>
          <w:szCs w:val="24"/>
          <w:lang w:val="en-US" w:eastAsia="zh-CN" w:bidi="ar-SA"/>
        </w:rPr>
        <w:t>0.15</w:t>
      </w:r>
      <w:r>
        <w:rPr>
          <w:rFonts w:hint="eastAsia" w:ascii="仿宋_GB2312" w:hAnsi="仿宋_GB2312" w:eastAsia="仿宋_GB2312" w:cs="Times New Roman"/>
          <w:color w:val="auto"/>
          <w:kern w:val="2"/>
          <w:sz w:val="32"/>
          <w:szCs w:val="24"/>
          <w:lang w:val="zh-CN" w:eastAsia="zh-CN" w:bidi="ar-SA"/>
        </w:rPr>
        <w:t>万元，下降</w:t>
      </w:r>
      <w:r>
        <w:rPr>
          <w:rFonts w:hint="eastAsia" w:ascii="仿宋_GB2312" w:hAnsi="仿宋_GB2312" w:eastAsia="仿宋_GB2312" w:cs="Times New Roman"/>
          <w:color w:val="auto"/>
          <w:kern w:val="2"/>
          <w:sz w:val="32"/>
          <w:szCs w:val="24"/>
          <w:lang w:val="en-US" w:eastAsia="zh-CN" w:bidi="ar-SA"/>
        </w:rPr>
        <w:t>50</w:t>
      </w:r>
      <w:r>
        <w:rPr>
          <w:rFonts w:hint="eastAsia" w:ascii="仿宋_GB2312" w:hAnsi="仿宋_GB2312" w:eastAsia="仿宋_GB2312" w:cs="Times New Roman"/>
          <w:color w:val="auto"/>
          <w:kern w:val="2"/>
          <w:sz w:val="32"/>
          <w:szCs w:val="24"/>
          <w:lang w:val="zh-CN" w:eastAsia="zh-CN" w:bidi="ar-SA"/>
        </w:rPr>
        <w:t>%。主要原因是主要原因是因业务工作需要减少了接待事项，相应减少了公务接待费用支出。其中：</w:t>
      </w:r>
    </w:p>
    <w:p w14:paraId="03FBB90E">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国内公务接待支出0.</w:t>
      </w:r>
      <w:r>
        <w:rPr>
          <w:rFonts w:hint="eastAsia" w:ascii="仿宋_GB2312" w:hAnsi="仿宋_GB2312" w:eastAsia="仿宋_GB2312" w:cs="Times New Roman"/>
          <w:color w:val="auto"/>
          <w:kern w:val="2"/>
          <w:sz w:val="32"/>
          <w:szCs w:val="24"/>
          <w:lang w:val="en-US" w:eastAsia="zh-CN" w:bidi="ar-SA"/>
        </w:rPr>
        <w:t>15</w:t>
      </w:r>
      <w:r>
        <w:rPr>
          <w:rFonts w:hint="eastAsia" w:ascii="仿宋_GB2312" w:hAnsi="仿宋_GB2312" w:eastAsia="仿宋_GB2312" w:cs="Times New Roman"/>
          <w:color w:val="auto"/>
          <w:kern w:val="2"/>
          <w:sz w:val="32"/>
          <w:szCs w:val="24"/>
          <w:lang w:val="zh-CN" w:eastAsia="zh-CN" w:bidi="ar-SA"/>
        </w:rPr>
        <w:t>万元，主要用于</w:t>
      </w:r>
      <w:r>
        <w:rPr>
          <w:rFonts w:hint="eastAsia" w:ascii="仿宋_GB2312" w:hAnsi="仿宋_GB2312" w:eastAsia="仿宋_GB2312" w:cs="Times New Roman"/>
          <w:color w:val="auto"/>
          <w:kern w:val="2"/>
          <w:sz w:val="32"/>
          <w:szCs w:val="24"/>
          <w:lang w:val="en-US" w:eastAsia="zh-CN" w:bidi="ar-SA"/>
        </w:rPr>
        <w:t>执行公务、开展业务活动开支的用餐费</w:t>
      </w:r>
      <w:r>
        <w:rPr>
          <w:rFonts w:hint="eastAsia" w:ascii="仿宋_GB2312" w:hAnsi="仿宋_GB2312" w:eastAsia="仿宋_GB2312" w:cs="Times New Roman"/>
          <w:color w:val="auto"/>
          <w:kern w:val="2"/>
          <w:sz w:val="32"/>
          <w:szCs w:val="24"/>
          <w:lang w:val="zh-CN" w:eastAsia="zh-CN" w:bidi="ar-SA"/>
        </w:rPr>
        <w:t>。国内公务接待</w:t>
      </w:r>
      <w:r>
        <w:rPr>
          <w:rFonts w:hint="eastAsia" w:ascii="仿宋_GB2312" w:hAnsi="仿宋_GB2312" w:eastAsia="仿宋_GB2312" w:cs="Times New Roman"/>
          <w:color w:val="auto"/>
          <w:kern w:val="2"/>
          <w:sz w:val="32"/>
          <w:szCs w:val="24"/>
          <w:lang w:val="en-US" w:eastAsia="zh-CN" w:bidi="ar-SA"/>
        </w:rPr>
        <w:t>1</w:t>
      </w:r>
      <w:r>
        <w:rPr>
          <w:rFonts w:hint="eastAsia" w:ascii="仿宋_GB2312" w:hAnsi="仿宋_GB2312" w:eastAsia="仿宋_GB2312" w:cs="Times New Roman"/>
          <w:color w:val="auto"/>
          <w:kern w:val="2"/>
          <w:sz w:val="32"/>
          <w:szCs w:val="24"/>
          <w:lang w:val="zh-CN" w:eastAsia="zh-CN" w:bidi="ar-SA"/>
        </w:rPr>
        <w:t>批次，</w:t>
      </w:r>
      <w:r>
        <w:rPr>
          <w:rFonts w:hint="eastAsia" w:ascii="仿宋_GB2312" w:hAnsi="仿宋_GB2312" w:eastAsia="仿宋_GB2312" w:cs="Times New Roman"/>
          <w:color w:val="auto"/>
          <w:kern w:val="2"/>
          <w:sz w:val="32"/>
          <w:szCs w:val="24"/>
          <w:lang w:val="en-US" w:eastAsia="zh-CN" w:bidi="ar-SA"/>
        </w:rPr>
        <w:t>18</w:t>
      </w:r>
      <w:r>
        <w:rPr>
          <w:rFonts w:hint="eastAsia" w:ascii="仿宋_GB2312" w:hAnsi="仿宋_GB2312" w:eastAsia="仿宋_GB2312" w:cs="Times New Roman"/>
          <w:color w:val="auto"/>
          <w:kern w:val="2"/>
          <w:sz w:val="32"/>
          <w:szCs w:val="24"/>
          <w:lang w:val="zh-CN" w:eastAsia="zh-CN" w:bidi="ar-SA"/>
        </w:rPr>
        <w:t>人次（不包括陪同人员），共计支出</w:t>
      </w:r>
      <w:r>
        <w:rPr>
          <w:rFonts w:hint="eastAsia" w:ascii="仿宋_GB2312" w:hAnsi="仿宋_GB2312" w:eastAsia="仿宋_GB2312" w:cs="Times New Roman"/>
          <w:color w:val="auto"/>
          <w:kern w:val="2"/>
          <w:sz w:val="32"/>
          <w:szCs w:val="24"/>
          <w:lang w:val="en-US" w:eastAsia="zh-CN" w:bidi="ar-SA"/>
        </w:rPr>
        <w:t>0.15</w:t>
      </w:r>
      <w:r>
        <w:rPr>
          <w:rFonts w:hint="eastAsia" w:ascii="仿宋_GB2312" w:hAnsi="仿宋_GB2312" w:eastAsia="仿宋_GB2312" w:cs="Times New Roman"/>
          <w:color w:val="auto"/>
          <w:kern w:val="2"/>
          <w:sz w:val="32"/>
          <w:szCs w:val="24"/>
          <w:lang w:val="zh-CN" w:eastAsia="zh-CN" w:bidi="ar-SA"/>
        </w:rPr>
        <w:t>万元，具体内容包括：在行政运行经费支出</w:t>
      </w:r>
      <w:r>
        <w:rPr>
          <w:rFonts w:hint="eastAsia" w:ascii="仿宋_GB2312" w:hAnsi="仿宋_GB2312" w:eastAsia="仿宋_GB2312" w:cs="Times New Roman"/>
          <w:color w:val="auto"/>
          <w:kern w:val="2"/>
          <w:sz w:val="32"/>
          <w:szCs w:val="24"/>
          <w:lang w:val="en-US" w:eastAsia="zh-CN" w:bidi="ar-SA"/>
        </w:rPr>
        <w:t>0.15万元。</w:t>
      </w:r>
    </w:p>
    <w:p w14:paraId="45477FD2">
      <w:pPr>
        <w:spacing w:line="360" w:lineRule="auto"/>
        <w:ind w:left="319" w:leftChars="152" w:right="103" w:rightChars="49" w:firstLine="480" w:firstLineChars="15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外事接待支出0万元，主要用于接待：无。外事接待</w:t>
      </w:r>
      <w:r>
        <w:rPr>
          <w:rFonts w:hint="eastAsia" w:ascii="仿宋_GB2312" w:hAnsi="仿宋_GB2312" w:eastAsia="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批次，</w:t>
      </w:r>
      <w:r>
        <w:rPr>
          <w:rFonts w:hint="eastAsia" w:ascii="仿宋_GB2312" w:hAnsi="仿宋_GB2312" w:eastAsia="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人次（不包括陪同人员），共计支出</w:t>
      </w:r>
      <w:r>
        <w:rPr>
          <w:rFonts w:hint="eastAsia" w:ascii="仿宋_GB2312" w:hAnsi="仿宋_GB2312" w:eastAsia="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万元。</w:t>
      </w:r>
    </w:p>
    <w:p w14:paraId="63983876">
      <w:pPr>
        <w:spacing w:line="600" w:lineRule="exact"/>
        <w:ind w:firstLine="640"/>
        <w:outlineLvl w:val="1"/>
        <w:rPr>
          <w:rStyle w:val="30"/>
          <w:rFonts w:ascii="黑体" w:hAnsi="黑体" w:eastAsia="黑体"/>
        </w:rPr>
      </w:pPr>
      <w:bookmarkStart w:id="58" w:name="_Toc12649"/>
      <w:r>
        <w:rPr>
          <w:rFonts w:hint="eastAsia" w:ascii="黑体" w:eastAsia="黑体"/>
          <w:sz w:val="32"/>
          <w:szCs w:val="32"/>
        </w:rPr>
        <w:t>八、</w:t>
      </w:r>
      <w:r>
        <w:rPr>
          <w:rStyle w:val="30"/>
          <w:rFonts w:hint="eastAsia" w:ascii="黑体" w:hAnsi="黑体" w:eastAsia="黑体"/>
          <w:b w:val="0"/>
        </w:rPr>
        <w:t>政府性基金预算支出决算情况说明</w:t>
      </w:r>
      <w:bookmarkEnd w:id="56"/>
      <w:bookmarkEnd w:id="57"/>
      <w:bookmarkEnd w:id="58"/>
    </w:p>
    <w:p w14:paraId="23290E2C">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t>2024年度政府性基金预算财政拨款支出0万元。</w:t>
      </w:r>
    </w:p>
    <w:p w14:paraId="3EE3C35D">
      <w:pPr>
        <w:numPr>
          <w:ilvl w:val="0"/>
          <w:numId w:val="3"/>
        </w:numPr>
        <w:spacing w:line="600" w:lineRule="exact"/>
        <w:ind w:firstLine="640"/>
        <w:outlineLvl w:val="1"/>
        <w:rPr>
          <w:rStyle w:val="30"/>
          <w:rFonts w:ascii="黑体" w:hAnsi="黑体" w:eastAsia="黑体"/>
          <w:b w:val="0"/>
        </w:rPr>
      </w:pPr>
      <w:bookmarkStart w:id="59" w:name="_Toc15396611"/>
      <w:bookmarkStart w:id="60" w:name="_Toc15377219"/>
      <w:bookmarkStart w:id="61" w:name="_Toc32034"/>
      <w:r>
        <w:rPr>
          <w:rStyle w:val="30"/>
          <w:rFonts w:hint="eastAsia" w:ascii="黑体" w:hAnsi="黑体" w:eastAsia="黑体"/>
          <w:b w:val="0"/>
        </w:rPr>
        <w:t>国有资本经营预算支出决算情况说明</w:t>
      </w:r>
      <w:bookmarkEnd w:id="59"/>
      <w:bookmarkEnd w:id="60"/>
      <w:bookmarkEnd w:id="61"/>
    </w:p>
    <w:p w14:paraId="6518627A">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t>2024年度国有资本经营预算财政拨款支出0万元。</w:t>
      </w:r>
    </w:p>
    <w:p w14:paraId="232B0D82">
      <w:pPr>
        <w:numPr>
          <w:ilvl w:val="0"/>
          <w:numId w:val="3"/>
        </w:numPr>
        <w:spacing w:line="600" w:lineRule="exact"/>
        <w:ind w:firstLine="640"/>
        <w:outlineLvl w:val="1"/>
        <w:rPr>
          <w:rStyle w:val="30"/>
          <w:rFonts w:ascii="黑体" w:hAnsi="黑体" w:eastAsia="黑体"/>
          <w:b w:val="0"/>
        </w:rPr>
      </w:pPr>
      <w:bookmarkStart w:id="62" w:name="_Toc4666"/>
      <w:bookmarkStart w:id="63" w:name="_Toc15396612"/>
      <w:bookmarkStart w:id="64" w:name="_Toc15377221"/>
      <w:r>
        <w:rPr>
          <w:rStyle w:val="30"/>
          <w:rFonts w:hint="eastAsia" w:ascii="黑体" w:hAnsi="黑体" w:eastAsia="黑体"/>
          <w:b w:val="0"/>
        </w:rPr>
        <w:t>其他重要事项的情况说明</w:t>
      </w:r>
      <w:bookmarkEnd w:id="62"/>
      <w:bookmarkEnd w:id="63"/>
      <w:bookmarkEnd w:id="64"/>
    </w:p>
    <w:p w14:paraId="2183E31E">
      <w:pPr>
        <w:spacing w:line="600" w:lineRule="exact"/>
        <w:ind w:firstLine="643" w:firstLineChars="200"/>
        <w:outlineLvl w:val="2"/>
        <w:rPr>
          <w:rFonts w:ascii="仿宋" w:hAnsi="仿宋" w:eastAsia="仿宋"/>
          <w:sz w:val="32"/>
          <w:szCs w:val="32"/>
        </w:rPr>
      </w:pPr>
      <w:bookmarkStart w:id="65" w:name="_Toc15377222"/>
      <w:r>
        <w:rPr>
          <w:rFonts w:hint="eastAsia" w:ascii="仿宋" w:hAnsi="仿宋" w:eastAsia="仿宋"/>
          <w:b/>
          <w:sz w:val="32"/>
          <w:szCs w:val="32"/>
        </w:rPr>
        <w:t>（一）机关运行经费支出情况</w:t>
      </w:r>
      <w:bookmarkEnd w:id="65"/>
    </w:p>
    <w:p w14:paraId="03C3FEBF">
      <w:pPr>
        <w:spacing w:line="600" w:lineRule="exact"/>
        <w:ind w:firstLine="640"/>
        <w:rPr>
          <w:rFonts w:hint="eastAsia" w:ascii="仿宋_GB2312" w:eastAsia="仿宋_GB2312"/>
          <w:sz w:val="32"/>
          <w:szCs w:val="32"/>
          <w:lang w:val="zh-CN" w:eastAsia="zh-CN"/>
        </w:rPr>
      </w:pPr>
      <w:r>
        <w:rPr>
          <w:rFonts w:hint="eastAsia" w:ascii="仿宋_GB2312" w:eastAsia="仿宋_GB2312"/>
          <w:sz w:val="32"/>
          <w:szCs w:val="32"/>
          <w:lang w:eastAsia="zh-CN"/>
        </w:rPr>
        <w:t>2024年度，五通桥区综合行政执法局(本级)机关运行经费支出</w:t>
      </w:r>
      <w:r>
        <w:rPr>
          <w:rFonts w:hint="eastAsia" w:ascii="仿宋_GB2312" w:eastAsia="仿宋_GB2312"/>
          <w:sz w:val="32"/>
          <w:szCs w:val="32"/>
          <w:lang w:val="en-US" w:eastAsia="zh-CN"/>
        </w:rPr>
        <w:t>121.58</w:t>
      </w:r>
      <w:r>
        <w:rPr>
          <w:rFonts w:hint="eastAsia" w:ascii="仿宋_GB2312" w:eastAsia="仿宋_GB2312"/>
          <w:sz w:val="32"/>
          <w:szCs w:val="32"/>
          <w:lang w:eastAsia="zh-CN"/>
        </w:rPr>
        <w:t>万元，比2023年度151.75</w:t>
      </w:r>
      <w:r>
        <w:rPr>
          <w:rFonts w:hint="eastAsia" w:ascii="仿宋_GB2312" w:eastAsia="仿宋_GB2312"/>
          <w:sz w:val="32"/>
          <w:szCs w:val="32"/>
          <w:lang w:val="zh-CN" w:eastAsia="zh-CN"/>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30.17</w:t>
      </w:r>
      <w:r>
        <w:rPr>
          <w:rFonts w:hint="eastAsia" w:ascii="仿宋_GB2312" w:eastAsia="仿宋_GB2312"/>
          <w:sz w:val="32"/>
          <w:szCs w:val="32"/>
          <w:lang w:eastAsia="zh-CN"/>
        </w:rPr>
        <w:t>万元，下降</w:t>
      </w:r>
      <w:r>
        <w:rPr>
          <w:rFonts w:hint="eastAsia" w:ascii="仿宋_GB2312" w:eastAsia="仿宋_GB2312"/>
          <w:sz w:val="32"/>
          <w:szCs w:val="32"/>
          <w:lang w:val="en-US" w:eastAsia="zh-CN"/>
        </w:rPr>
        <w:t>19.9</w:t>
      </w:r>
      <w:r>
        <w:rPr>
          <w:rFonts w:hint="eastAsia" w:ascii="仿宋_GB2312" w:eastAsia="仿宋_GB2312"/>
          <w:sz w:val="32"/>
          <w:szCs w:val="32"/>
          <w:lang w:eastAsia="zh-CN"/>
        </w:rPr>
        <w:t>%。主要原因是</w:t>
      </w:r>
      <w:r>
        <w:rPr>
          <w:rFonts w:hint="eastAsia" w:ascii="仿宋_GB2312" w:eastAsia="仿宋_GB2312"/>
          <w:sz w:val="32"/>
          <w:szCs w:val="32"/>
          <w:lang w:val="zh-CN" w:eastAsia="zh-CN"/>
        </w:rPr>
        <w:t>办公费减少</w:t>
      </w:r>
      <w:r>
        <w:rPr>
          <w:rFonts w:hint="eastAsia" w:ascii="仿宋_GB2312" w:eastAsia="仿宋_GB2312"/>
          <w:sz w:val="32"/>
          <w:szCs w:val="32"/>
          <w:lang w:val="en-US" w:eastAsia="zh-CN"/>
        </w:rPr>
        <w:t>1.24</w:t>
      </w:r>
      <w:r>
        <w:rPr>
          <w:rFonts w:hint="eastAsia" w:ascii="仿宋_GB2312" w:eastAsia="仿宋_GB2312"/>
          <w:sz w:val="32"/>
          <w:szCs w:val="32"/>
          <w:lang w:val="zh-CN" w:eastAsia="zh-CN"/>
        </w:rPr>
        <w:t>万元、印刷费减少</w:t>
      </w:r>
      <w:r>
        <w:rPr>
          <w:rFonts w:hint="eastAsia" w:ascii="仿宋_GB2312" w:eastAsia="仿宋_GB2312"/>
          <w:sz w:val="32"/>
          <w:szCs w:val="32"/>
          <w:lang w:val="en-US" w:eastAsia="zh-CN"/>
        </w:rPr>
        <w:t>0.1</w:t>
      </w:r>
      <w:r>
        <w:rPr>
          <w:rFonts w:hint="eastAsia" w:ascii="仿宋_GB2312" w:eastAsia="仿宋_GB2312"/>
          <w:sz w:val="32"/>
          <w:szCs w:val="32"/>
          <w:lang w:val="zh-CN" w:eastAsia="zh-CN"/>
        </w:rPr>
        <w:t>万元、水、电费减少</w:t>
      </w:r>
      <w:r>
        <w:rPr>
          <w:rFonts w:hint="eastAsia" w:ascii="仿宋_GB2312" w:eastAsia="仿宋_GB2312"/>
          <w:sz w:val="32"/>
          <w:szCs w:val="32"/>
          <w:lang w:val="en-US" w:eastAsia="zh-CN"/>
        </w:rPr>
        <w:t>0.84</w:t>
      </w:r>
      <w:r>
        <w:rPr>
          <w:rFonts w:hint="eastAsia" w:ascii="仿宋_GB2312" w:eastAsia="仿宋_GB2312"/>
          <w:sz w:val="32"/>
          <w:szCs w:val="32"/>
          <w:lang w:val="zh-CN" w:eastAsia="zh-CN"/>
        </w:rPr>
        <w:t>万元、邮电费减少</w:t>
      </w:r>
      <w:r>
        <w:rPr>
          <w:rFonts w:hint="eastAsia" w:ascii="仿宋_GB2312" w:eastAsia="仿宋_GB2312"/>
          <w:sz w:val="32"/>
          <w:szCs w:val="32"/>
          <w:lang w:val="en-US" w:eastAsia="zh-CN"/>
        </w:rPr>
        <w:t>0.84</w:t>
      </w:r>
      <w:r>
        <w:rPr>
          <w:rFonts w:hint="eastAsia" w:ascii="仿宋_GB2312" w:eastAsia="仿宋_GB2312"/>
          <w:sz w:val="32"/>
          <w:szCs w:val="32"/>
          <w:lang w:val="zh-CN" w:eastAsia="zh-CN"/>
        </w:rPr>
        <w:t>万元、差旅费减少</w:t>
      </w:r>
      <w:r>
        <w:rPr>
          <w:rFonts w:hint="eastAsia" w:ascii="仿宋_GB2312" w:eastAsia="仿宋_GB2312"/>
          <w:sz w:val="32"/>
          <w:szCs w:val="32"/>
          <w:lang w:val="en-US" w:eastAsia="zh-CN"/>
        </w:rPr>
        <w:t>9.74</w:t>
      </w:r>
      <w:r>
        <w:rPr>
          <w:rFonts w:hint="eastAsia" w:ascii="仿宋_GB2312" w:eastAsia="仿宋_GB2312"/>
          <w:sz w:val="32"/>
          <w:szCs w:val="32"/>
          <w:lang w:val="zh-CN" w:eastAsia="zh-CN"/>
        </w:rPr>
        <w:t>万元、维修（护）费减少</w:t>
      </w:r>
      <w:r>
        <w:rPr>
          <w:rFonts w:hint="eastAsia" w:ascii="仿宋_GB2312" w:eastAsia="仿宋_GB2312"/>
          <w:sz w:val="32"/>
          <w:szCs w:val="32"/>
          <w:lang w:val="en-US" w:eastAsia="zh-CN"/>
        </w:rPr>
        <w:t>1.59</w:t>
      </w:r>
      <w:r>
        <w:rPr>
          <w:rFonts w:hint="eastAsia" w:ascii="仿宋_GB2312" w:eastAsia="仿宋_GB2312"/>
          <w:sz w:val="32"/>
          <w:szCs w:val="32"/>
          <w:lang w:val="zh-CN" w:eastAsia="zh-CN"/>
        </w:rPr>
        <w:t>万元、租赁费减少</w:t>
      </w:r>
      <w:r>
        <w:rPr>
          <w:rFonts w:hint="eastAsia" w:ascii="仿宋_GB2312" w:eastAsia="仿宋_GB2312"/>
          <w:sz w:val="32"/>
          <w:szCs w:val="32"/>
          <w:lang w:val="en-US" w:eastAsia="zh-CN"/>
        </w:rPr>
        <w:t>0.1</w:t>
      </w:r>
      <w:r>
        <w:rPr>
          <w:rFonts w:hint="eastAsia" w:ascii="仿宋_GB2312" w:eastAsia="仿宋_GB2312"/>
          <w:sz w:val="32"/>
          <w:szCs w:val="32"/>
          <w:lang w:val="zh-CN" w:eastAsia="zh-CN"/>
        </w:rPr>
        <w:t>万元、会议费减少0.</w:t>
      </w:r>
      <w:r>
        <w:rPr>
          <w:rFonts w:hint="eastAsia" w:ascii="仿宋_GB2312" w:eastAsia="仿宋_GB2312"/>
          <w:sz w:val="32"/>
          <w:szCs w:val="32"/>
          <w:lang w:val="en-US" w:eastAsia="zh-CN"/>
        </w:rPr>
        <w:t>35</w:t>
      </w:r>
      <w:r>
        <w:rPr>
          <w:rFonts w:hint="eastAsia" w:ascii="仿宋_GB2312" w:eastAsia="仿宋_GB2312"/>
          <w:sz w:val="32"/>
          <w:szCs w:val="32"/>
          <w:lang w:val="zh-CN" w:eastAsia="zh-CN"/>
        </w:rPr>
        <w:t>万元、公务接待费减少</w:t>
      </w:r>
      <w:r>
        <w:rPr>
          <w:rFonts w:hint="eastAsia" w:ascii="仿宋_GB2312" w:eastAsia="仿宋_GB2312"/>
          <w:sz w:val="32"/>
          <w:szCs w:val="32"/>
          <w:lang w:val="en-US" w:eastAsia="zh-CN"/>
        </w:rPr>
        <w:t>0.14</w:t>
      </w:r>
      <w:r>
        <w:rPr>
          <w:rFonts w:hint="eastAsia" w:ascii="仿宋_GB2312" w:eastAsia="仿宋_GB2312"/>
          <w:sz w:val="32"/>
          <w:szCs w:val="32"/>
          <w:lang w:val="zh-CN" w:eastAsia="zh-CN"/>
        </w:rPr>
        <w:t>万元、劳务费减少</w:t>
      </w:r>
      <w:r>
        <w:rPr>
          <w:rFonts w:hint="eastAsia" w:ascii="仿宋_GB2312" w:eastAsia="仿宋_GB2312"/>
          <w:sz w:val="32"/>
          <w:szCs w:val="32"/>
          <w:lang w:val="en-US" w:eastAsia="zh-CN"/>
        </w:rPr>
        <w:t>7.29</w:t>
      </w:r>
      <w:r>
        <w:rPr>
          <w:rFonts w:hint="eastAsia" w:ascii="仿宋_GB2312" w:eastAsia="仿宋_GB2312"/>
          <w:sz w:val="32"/>
          <w:szCs w:val="32"/>
          <w:lang w:val="zh-CN" w:eastAsia="zh-CN"/>
        </w:rPr>
        <w:t>万元、委托业务费减少</w:t>
      </w:r>
      <w:r>
        <w:rPr>
          <w:rFonts w:hint="eastAsia" w:ascii="仿宋_GB2312" w:eastAsia="仿宋_GB2312"/>
          <w:sz w:val="32"/>
          <w:szCs w:val="32"/>
          <w:lang w:val="en-US" w:eastAsia="zh-CN"/>
        </w:rPr>
        <w:t>0.16</w:t>
      </w:r>
      <w:r>
        <w:rPr>
          <w:rFonts w:hint="eastAsia" w:ascii="仿宋_GB2312" w:eastAsia="仿宋_GB2312"/>
          <w:sz w:val="32"/>
          <w:szCs w:val="32"/>
          <w:lang w:val="zh-CN" w:eastAsia="zh-CN"/>
        </w:rPr>
        <w:t>万元、工会经费减少</w:t>
      </w:r>
      <w:r>
        <w:rPr>
          <w:rFonts w:hint="eastAsia" w:ascii="仿宋_GB2312" w:eastAsia="仿宋_GB2312"/>
          <w:sz w:val="32"/>
          <w:szCs w:val="32"/>
          <w:lang w:val="en-US" w:eastAsia="zh-CN"/>
        </w:rPr>
        <w:t>0.86</w:t>
      </w:r>
      <w:r>
        <w:rPr>
          <w:rFonts w:hint="eastAsia" w:ascii="仿宋_GB2312" w:eastAsia="仿宋_GB2312"/>
          <w:sz w:val="32"/>
          <w:szCs w:val="32"/>
          <w:lang w:val="zh-CN" w:eastAsia="zh-CN"/>
        </w:rPr>
        <w:t>万元、福利费减少</w:t>
      </w:r>
      <w:r>
        <w:rPr>
          <w:rFonts w:hint="eastAsia" w:ascii="仿宋_GB2312" w:eastAsia="仿宋_GB2312"/>
          <w:sz w:val="32"/>
          <w:szCs w:val="32"/>
          <w:lang w:val="en-US" w:eastAsia="zh-CN"/>
        </w:rPr>
        <w:t>1.39</w:t>
      </w:r>
      <w:r>
        <w:rPr>
          <w:rFonts w:hint="eastAsia" w:ascii="仿宋_GB2312" w:eastAsia="仿宋_GB2312"/>
          <w:sz w:val="32"/>
          <w:szCs w:val="32"/>
          <w:lang w:val="zh-CN" w:eastAsia="zh-CN"/>
        </w:rPr>
        <w:t>万元、公务用车运行维护减少</w:t>
      </w:r>
      <w:r>
        <w:rPr>
          <w:rFonts w:hint="eastAsia" w:ascii="仿宋_GB2312" w:eastAsia="仿宋_GB2312"/>
          <w:sz w:val="32"/>
          <w:szCs w:val="32"/>
          <w:lang w:val="en-US" w:eastAsia="zh-CN"/>
        </w:rPr>
        <w:t>0.03</w:t>
      </w:r>
      <w:r>
        <w:rPr>
          <w:rFonts w:hint="eastAsia" w:ascii="仿宋_GB2312" w:eastAsia="仿宋_GB2312"/>
          <w:sz w:val="32"/>
          <w:szCs w:val="32"/>
          <w:lang w:val="zh-CN" w:eastAsia="zh-CN"/>
        </w:rPr>
        <w:t>万元、其他交通费用减少</w:t>
      </w:r>
      <w:r>
        <w:rPr>
          <w:rFonts w:hint="eastAsia" w:ascii="仿宋_GB2312" w:eastAsia="仿宋_GB2312"/>
          <w:sz w:val="32"/>
          <w:szCs w:val="32"/>
          <w:lang w:val="en-US" w:eastAsia="zh-CN"/>
        </w:rPr>
        <w:t>6.64</w:t>
      </w:r>
      <w:r>
        <w:rPr>
          <w:rFonts w:hint="eastAsia" w:ascii="仿宋_GB2312" w:eastAsia="仿宋_GB2312"/>
          <w:sz w:val="32"/>
          <w:szCs w:val="32"/>
          <w:lang w:val="zh-CN" w:eastAsia="zh-CN"/>
        </w:rPr>
        <w:t>万元、其他商品和服务支出增加</w:t>
      </w:r>
      <w:r>
        <w:rPr>
          <w:rFonts w:hint="eastAsia" w:ascii="仿宋_GB2312" w:eastAsia="仿宋_GB2312"/>
          <w:sz w:val="32"/>
          <w:szCs w:val="32"/>
          <w:lang w:val="en-US" w:eastAsia="zh-CN"/>
        </w:rPr>
        <w:t>0.79</w:t>
      </w:r>
      <w:r>
        <w:rPr>
          <w:rFonts w:hint="eastAsia" w:ascii="仿宋_GB2312" w:eastAsia="仿宋_GB2312"/>
          <w:sz w:val="32"/>
          <w:szCs w:val="32"/>
          <w:lang w:val="zh-CN" w:eastAsia="zh-CN"/>
        </w:rPr>
        <w:t>万元等所致。</w:t>
      </w:r>
    </w:p>
    <w:p w14:paraId="3E41EE23">
      <w:pPr>
        <w:spacing w:line="600" w:lineRule="exact"/>
        <w:rPr>
          <w:rFonts w:ascii="仿宋" w:hAnsi="仿宋" w:eastAsia="仿宋"/>
          <w:b/>
          <w:sz w:val="32"/>
          <w:szCs w:val="32"/>
        </w:rPr>
      </w:pPr>
      <w:bookmarkStart w:id="66" w:name="_Toc15377223"/>
      <w:r>
        <w:rPr>
          <w:rFonts w:hint="eastAsia" w:ascii="仿宋" w:hAnsi="仿宋" w:eastAsia="仿宋"/>
          <w:b/>
          <w:sz w:val="32"/>
          <w:szCs w:val="32"/>
        </w:rPr>
        <w:t>（二）政府采购支出情况</w:t>
      </w:r>
      <w:bookmarkEnd w:id="66"/>
    </w:p>
    <w:p w14:paraId="571034F2">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t>2024年度，五通桥区综合行政执法局(本级)政府采购支出总额</w:t>
      </w:r>
      <w:r>
        <w:rPr>
          <w:rFonts w:hint="eastAsia" w:ascii="仿宋_GB2312" w:eastAsia="仿宋_GB2312"/>
          <w:sz w:val="32"/>
          <w:szCs w:val="32"/>
          <w:lang w:val="en-US" w:eastAsia="zh-CN"/>
        </w:rPr>
        <w:t>0</w:t>
      </w:r>
      <w:r>
        <w:rPr>
          <w:rFonts w:hint="eastAsia" w:ascii="仿宋_GB2312" w:eastAsia="仿宋_GB2312"/>
          <w:sz w:val="32"/>
          <w:szCs w:val="32"/>
          <w:lang w:eastAsia="zh-CN"/>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lang w:eastAsia="zh-CN"/>
        </w:rPr>
        <w:t>万元、政府采购工程支出0万元、政府采购服务支出0万元。主要用于：无。授予中小企业合同金额</w:t>
      </w:r>
      <w:r>
        <w:rPr>
          <w:rFonts w:hint="eastAsia" w:ascii="仿宋_GB2312" w:eastAsia="仿宋_GB2312"/>
          <w:sz w:val="32"/>
          <w:szCs w:val="32"/>
          <w:lang w:val="en-US" w:eastAsia="zh-CN"/>
        </w:rPr>
        <w:t>0</w:t>
      </w:r>
      <w:r>
        <w:rPr>
          <w:rFonts w:hint="eastAsia" w:ascii="仿宋_GB2312" w:eastAsia="仿宋_GB2312"/>
          <w:sz w:val="32"/>
          <w:szCs w:val="32"/>
          <w:lang w:eastAsia="zh-CN"/>
        </w:rPr>
        <w:t>万元，占政府采购支出总额的</w:t>
      </w:r>
      <w:r>
        <w:rPr>
          <w:rFonts w:hint="eastAsia" w:ascii="仿宋_GB2312" w:eastAsia="仿宋_GB2312"/>
          <w:sz w:val="32"/>
          <w:szCs w:val="32"/>
          <w:lang w:val="en-US" w:eastAsia="zh-CN"/>
        </w:rPr>
        <w:t>0</w:t>
      </w:r>
      <w:r>
        <w:rPr>
          <w:rFonts w:hint="eastAsia" w:ascii="仿宋_GB2312" w:eastAsia="仿宋_GB2312"/>
          <w:sz w:val="32"/>
          <w:szCs w:val="32"/>
          <w:lang w:eastAsia="zh-CN"/>
        </w:rPr>
        <w:t>%，其中：授予小微企业合同金额0万元，占政府采购支出总额的0%。</w:t>
      </w:r>
    </w:p>
    <w:p w14:paraId="4012A364">
      <w:pPr>
        <w:autoSpaceDE w:val="0"/>
        <w:autoSpaceDN w:val="0"/>
        <w:adjustRightInd w:val="0"/>
        <w:spacing w:line="600" w:lineRule="exact"/>
        <w:ind w:firstLine="643" w:firstLineChars="200"/>
        <w:jc w:val="left"/>
        <w:outlineLvl w:val="2"/>
        <w:rPr>
          <w:rFonts w:ascii="仿宋" w:hAnsi="仿宋" w:eastAsia="仿宋"/>
          <w:b/>
          <w:sz w:val="32"/>
          <w:szCs w:val="32"/>
        </w:rPr>
      </w:pPr>
      <w:bookmarkStart w:id="67" w:name="_Toc15377224"/>
      <w:r>
        <w:rPr>
          <w:rFonts w:hint="eastAsia" w:ascii="仿宋" w:hAnsi="仿宋" w:eastAsia="仿宋"/>
          <w:b/>
          <w:sz w:val="32"/>
          <w:szCs w:val="32"/>
        </w:rPr>
        <w:t>（三）国有资产占有使用情况</w:t>
      </w:r>
      <w:bookmarkEnd w:id="67"/>
    </w:p>
    <w:p w14:paraId="2832829F">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t>截至2024年12月31日，五通桥区综合行政执法局(本级)共有车辆2</w:t>
      </w:r>
      <w:r>
        <w:rPr>
          <w:rFonts w:hint="eastAsia" w:ascii="仿宋_GB2312" w:eastAsia="仿宋_GB2312"/>
          <w:sz w:val="32"/>
          <w:szCs w:val="32"/>
          <w:lang w:val="en-US" w:eastAsia="zh-CN"/>
        </w:rPr>
        <w:t>0</w:t>
      </w:r>
      <w:r>
        <w:rPr>
          <w:rFonts w:hint="eastAsia" w:ascii="仿宋_GB2312" w:eastAsia="仿宋_GB2312"/>
          <w:sz w:val="32"/>
          <w:szCs w:val="32"/>
          <w:lang w:eastAsia="zh-CN"/>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lang w:eastAsia="zh-CN"/>
        </w:rPr>
        <w:t>辆、机要通信用车</w:t>
      </w:r>
      <w:r>
        <w:rPr>
          <w:rFonts w:hint="eastAsia" w:ascii="仿宋_GB2312" w:eastAsia="仿宋_GB2312"/>
          <w:sz w:val="32"/>
          <w:szCs w:val="32"/>
          <w:lang w:val="en-US" w:eastAsia="zh-CN"/>
        </w:rPr>
        <w:t>0</w:t>
      </w:r>
      <w:r>
        <w:rPr>
          <w:rFonts w:hint="eastAsia" w:ascii="仿宋_GB2312" w:eastAsia="仿宋_GB2312"/>
          <w:sz w:val="32"/>
          <w:szCs w:val="32"/>
          <w:lang w:eastAsia="zh-CN"/>
        </w:rPr>
        <w:t>辆、应急保障用车</w:t>
      </w:r>
      <w:r>
        <w:rPr>
          <w:rFonts w:hint="eastAsia" w:ascii="仿宋_GB2312" w:eastAsia="仿宋_GB2312"/>
          <w:sz w:val="32"/>
          <w:szCs w:val="32"/>
          <w:lang w:val="en-US" w:eastAsia="zh-CN"/>
        </w:rPr>
        <w:t>14</w:t>
      </w:r>
      <w:r>
        <w:rPr>
          <w:rFonts w:hint="eastAsia" w:ascii="仿宋_GB2312" w:eastAsia="仿宋_GB2312"/>
          <w:sz w:val="32"/>
          <w:szCs w:val="32"/>
          <w:lang w:eastAsia="zh-CN"/>
        </w:rPr>
        <w:t>辆、执法执勤用车</w:t>
      </w:r>
      <w:r>
        <w:rPr>
          <w:rFonts w:hint="eastAsia" w:ascii="仿宋_GB2312" w:eastAsia="仿宋_GB2312"/>
          <w:sz w:val="32"/>
          <w:szCs w:val="32"/>
          <w:lang w:val="en-US" w:eastAsia="zh-CN"/>
        </w:rPr>
        <w:t>2</w:t>
      </w:r>
      <w:r>
        <w:rPr>
          <w:rFonts w:hint="eastAsia" w:ascii="仿宋_GB2312" w:eastAsia="仿宋_GB2312"/>
          <w:sz w:val="32"/>
          <w:szCs w:val="32"/>
          <w:lang w:eastAsia="zh-CN"/>
        </w:rPr>
        <w:t>辆、特种专业技术用车</w:t>
      </w:r>
      <w:r>
        <w:rPr>
          <w:rFonts w:hint="eastAsia" w:ascii="仿宋_GB2312" w:eastAsia="仿宋_GB2312"/>
          <w:sz w:val="32"/>
          <w:szCs w:val="32"/>
          <w:lang w:val="en-US" w:eastAsia="zh-CN"/>
        </w:rPr>
        <w:t>4辆、</w:t>
      </w:r>
      <w:r>
        <w:rPr>
          <w:rFonts w:hint="eastAsia" w:ascii="仿宋_GB2312" w:eastAsia="仿宋_GB2312"/>
          <w:sz w:val="32"/>
          <w:szCs w:val="32"/>
          <w:lang w:eastAsia="zh-CN"/>
        </w:rPr>
        <w:t>其他用车</w:t>
      </w:r>
      <w:r>
        <w:rPr>
          <w:rFonts w:hint="eastAsia" w:ascii="仿宋_GB2312" w:eastAsia="仿宋_GB2312"/>
          <w:sz w:val="32"/>
          <w:szCs w:val="32"/>
          <w:lang w:val="en-US" w:eastAsia="zh-CN"/>
        </w:rPr>
        <w:t>0</w:t>
      </w:r>
      <w:r>
        <w:rPr>
          <w:rFonts w:hint="eastAsia" w:ascii="仿宋_GB2312" w:eastAsia="仿宋_GB2312"/>
          <w:sz w:val="32"/>
          <w:szCs w:val="32"/>
          <w:lang w:eastAsia="zh-CN"/>
        </w:rPr>
        <w:t>辆，其他用车主要是用于：无。单价100万元以上设备（不含车辆）0台（套）。</w:t>
      </w:r>
    </w:p>
    <w:p w14:paraId="6E54C8CD">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4B9157BE">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t>根据预算绩效管理要求，本单位在2024年度预算编制阶段，组织对“龙舟赛”、“公益性岗位补贴经费”、“补助执法人员误餐、加班、差旅经费”、“违章建筑拆除经费”、“综合执法经费”、“购置制式服装项目”、“路政超限检测站、点视频监控费”等</w:t>
      </w:r>
      <w:r>
        <w:rPr>
          <w:rFonts w:hint="eastAsia" w:ascii="仿宋_GB2312" w:eastAsia="仿宋_GB2312"/>
          <w:sz w:val="32"/>
          <w:szCs w:val="32"/>
          <w:lang w:val="en-US" w:eastAsia="zh-CN"/>
        </w:rPr>
        <w:t>7</w:t>
      </w:r>
      <w:r>
        <w:rPr>
          <w:rFonts w:hint="eastAsia" w:ascii="仿宋_GB2312" w:eastAsia="仿宋_GB2312"/>
          <w:sz w:val="32"/>
          <w:szCs w:val="32"/>
          <w:lang w:eastAsia="zh-CN"/>
        </w:rPr>
        <w:t>个项目开展了预算事前绩效评估，对</w:t>
      </w:r>
      <w:r>
        <w:rPr>
          <w:rFonts w:hint="eastAsia" w:ascii="仿宋_GB2312" w:eastAsia="仿宋_GB2312"/>
          <w:sz w:val="32"/>
          <w:szCs w:val="32"/>
          <w:lang w:val="en-US" w:eastAsia="zh-CN"/>
        </w:rPr>
        <w:t>7</w:t>
      </w:r>
      <w:r>
        <w:rPr>
          <w:rFonts w:hint="eastAsia" w:ascii="仿宋_GB2312" w:eastAsia="仿宋_GB2312"/>
          <w:sz w:val="32"/>
          <w:szCs w:val="32"/>
          <w:lang w:eastAsia="zh-CN"/>
        </w:rPr>
        <w:t>个项目编制了绩效目标，预算执行过程中，选取</w:t>
      </w:r>
      <w:r>
        <w:rPr>
          <w:rFonts w:hint="eastAsia" w:ascii="仿宋_GB2312" w:eastAsia="仿宋_GB2312"/>
          <w:sz w:val="32"/>
          <w:szCs w:val="32"/>
          <w:lang w:val="en-US" w:eastAsia="zh-CN"/>
        </w:rPr>
        <w:t>7</w:t>
      </w:r>
      <w:r>
        <w:rPr>
          <w:rFonts w:hint="eastAsia" w:ascii="仿宋_GB2312" w:eastAsia="仿宋_GB2312"/>
          <w:sz w:val="32"/>
          <w:szCs w:val="32"/>
          <w:lang w:eastAsia="zh-CN"/>
        </w:rPr>
        <w:t>个项目开展绩效监控，组织对</w:t>
      </w:r>
      <w:r>
        <w:rPr>
          <w:rFonts w:hint="eastAsia" w:ascii="仿宋_GB2312" w:eastAsia="仿宋_GB2312"/>
          <w:sz w:val="32"/>
          <w:szCs w:val="32"/>
          <w:lang w:val="en-US" w:eastAsia="zh-CN"/>
        </w:rPr>
        <w:t>7</w:t>
      </w:r>
      <w:r>
        <w:rPr>
          <w:rFonts w:hint="eastAsia" w:ascii="仿宋_GB2312" w:eastAsia="仿宋_GB2312"/>
          <w:sz w:val="32"/>
          <w:szCs w:val="32"/>
          <w:lang w:eastAsia="zh-CN"/>
        </w:rPr>
        <w:t>个项目开展绩效自评，绩效自评表详见第四部分附件。</w:t>
      </w:r>
    </w:p>
    <w:p w14:paraId="37A1385E">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br w:type="page"/>
      </w:r>
    </w:p>
    <w:p w14:paraId="07D3E883">
      <w:pPr>
        <w:numPr>
          <w:ilvl w:val="0"/>
          <w:numId w:val="4"/>
        </w:numPr>
        <w:spacing w:line="600" w:lineRule="exact"/>
        <w:ind w:firstLine="660" w:firstLineChars="150"/>
        <w:jc w:val="center"/>
        <w:outlineLvl w:val="0"/>
        <w:rPr>
          <w:rStyle w:val="29"/>
          <w:rFonts w:ascii="黑体" w:hAnsi="黑体" w:eastAsia="黑体"/>
          <w:b w:val="0"/>
        </w:rPr>
      </w:pPr>
      <w:bookmarkStart w:id="68" w:name="_Toc6547"/>
      <w:bookmarkStart w:id="69" w:name="_Toc15377225"/>
      <w:bookmarkStart w:id="70" w:name="_Toc15396613"/>
      <w:r>
        <w:rPr>
          <w:rFonts w:hint="eastAsia" w:ascii="黑体" w:hAnsi="黑体" w:eastAsia="黑体"/>
          <w:sz w:val="44"/>
          <w:szCs w:val="44"/>
        </w:rPr>
        <w:t>名</w:t>
      </w:r>
      <w:r>
        <w:rPr>
          <w:rStyle w:val="29"/>
          <w:rFonts w:hint="eastAsia" w:ascii="黑体" w:hAnsi="黑体" w:eastAsia="黑体"/>
          <w:b w:val="0"/>
        </w:rPr>
        <w:t>词解释</w:t>
      </w:r>
      <w:bookmarkEnd w:id="68"/>
      <w:bookmarkEnd w:id="69"/>
      <w:bookmarkEnd w:id="70"/>
    </w:p>
    <w:p w14:paraId="2B21AAC9">
      <w:pPr>
        <w:spacing w:line="600" w:lineRule="exact"/>
        <w:jc w:val="left"/>
        <w:rPr>
          <w:rFonts w:ascii="宋体"/>
          <w:b/>
          <w:sz w:val="44"/>
          <w:szCs w:val="44"/>
        </w:rPr>
      </w:pPr>
    </w:p>
    <w:p w14:paraId="662DC850">
      <w:pPr>
        <w:spacing w:line="600" w:lineRule="exact"/>
        <w:ind w:firstLine="640"/>
        <w:rPr>
          <w:rFonts w:hint="eastAsia" w:ascii="仿宋_GB2312" w:eastAsia="仿宋_GB2312"/>
          <w:sz w:val="32"/>
          <w:szCs w:val="32"/>
          <w:lang w:eastAsia="zh-CN"/>
        </w:rPr>
      </w:pPr>
      <w:bookmarkStart w:id="71" w:name="_Toc15377226"/>
      <w:r>
        <w:rPr>
          <w:rFonts w:hint="eastAsia" w:ascii="仿宋_GB2312" w:eastAsia="仿宋_GB2312"/>
          <w:sz w:val="32"/>
          <w:szCs w:val="32"/>
          <w:lang w:eastAsia="zh-CN"/>
        </w:rPr>
        <w:t>1.财政拨款收入：指单位从同级财政部门取得的财政预算资金。</w:t>
      </w:r>
    </w:p>
    <w:p w14:paraId="47BB6BC7">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t>2.事业收入：指事业单位开展专业业务活动及辅助活动取得的收入。</w:t>
      </w:r>
    </w:p>
    <w:p w14:paraId="7C9DDBAF">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t>3.经营收入：指事业单位在专业业务活动及其辅助活动之外开展非独立核算经营活动取得的收入。</w:t>
      </w:r>
    </w:p>
    <w:p w14:paraId="2C17C320">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t>4.其他收入：指单位取得的除上述收入以外的各项收入。</w:t>
      </w:r>
    </w:p>
    <w:p w14:paraId="1797F9AC">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t xml:space="preserve">5.使用非财政拨款结余：指事业单位使用以前年度积累的非财政拨款结余弥补当年收支差额的金额。 </w:t>
      </w:r>
    </w:p>
    <w:p w14:paraId="751E6D0C">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t xml:space="preserve">6.年初结转和结余：指以前年度尚未完成、结转到本年按有关规定继续使用的资金。 </w:t>
      </w:r>
    </w:p>
    <w:p w14:paraId="3E2E151D">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t>7.结余分配：指事业单位按照会计制度规定缴纳的所得税、提取的专用结余以及转入非财政拨款结余的金额等。</w:t>
      </w:r>
    </w:p>
    <w:p w14:paraId="1E63535F">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t>8、年末结转和结余：指单位按有关规定结转到下年或以后年度继续使用的资金。</w:t>
      </w:r>
    </w:p>
    <w:p w14:paraId="2D2D4E28">
      <w:pPr>
        <w:spacing w:line="600" w:lineRule="exact"/>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9、</w:t>
      </w:r>
      <w:r>
        <w:rPr>
          <w:rFonts w:hint="eastAsia" w:ascii="仿宋_GB2312" w:eastAsia="仿宋_GB2312"/>
          <w:sz w:val="32"/>
          <w:szCs w:val="32"/>
          <w:lang w:eastAsia="zh-CN"/>
        </w:rPr>
        <w:t>社会保障和就业（类）政事业单位离退休（款）机关事业单位基本养老保险缴费支出（项）是指机关事业单位实施养老保险制度由单位缴纳的基本养老保险费支出。</w:t>
      </w:r>
    </w:p>
    <w:p w14:paraId="23A8C291">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val="en-US" w:eastAsia="zh-CN"/>
        </w:rPr>
        <w:t>10</w:t>
      </w:r>
      <w:r>
        <w:rPr>
          <w:rFonts w:hint="eastAsia" w:ascii="仿宋_GB2312" w:eastAsia="仿宋_GB2312"/>
          <w:sz w:val="32"/>
          <w:szCs w:val="32"/>
          <w:lang w:eastAsia="zh-CN"/>
        </w:rPr>
        <w:t>. 社会保障和就业（类）政事业单位离退休（款）机关事业单位职业年金缴费支出（项）是指机关事业单位实施养老保险制度由单位缴纳的职业年金缴费支出支出。</w:t>
      </w:r>
    </w:p>
    <w:p w14:paraId="66C5E71D">
      <w:pPr>
        <w:spacing w:line="600" w:lineRule="exact"/>
        <w:ind w:firstLine="640"/>
        <w:rPr>
          <w:rFonts w:hint="eastAsia" w:ascii="仿宋_GB2312" w:eastAsia="仿宋_GB2312"/>
          <w:sz w:val="32"/>
          <w:szCs w:val="32"/>
          <w:lang w:eastAsia="zh-CN"/>
        </w:rPr>
      </w:pPr>
    </w:p>
    <w:p w14:paraId="0630E7D7">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val="en-US" w:eastAsia="zh-CN"/>
        </w:rPr>
        <w:t>11、</w:t>
      </w:r>
      <w:r>
        <w:rPr>
          <w:rFonts w:hint="eastAsia" w:ascii="仿宋_GB2312" w:eastAsia="仿宋_GB2312"/>
          <w:sz w:val="32"/>
          <w:szCs w:val="32"/>
          <w:lang w:eastAsia="zh-CN"/>
        </w:rPr>
        <w:t>社会保障和就业（类）政事业单位离退休（款）其他行政事业单位离退休支出（项）是指其他用于行政事业单位离退休方面的支出。</w:t>
      </w:r>
    </w:p>
    <w:p w14:paraId="4F4607AA">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val="en-US" w:eastAsia="zh-CN"/>
        </w:rPr>
        <w:t>12、</w:t>
      </w:r>
      <w:r>
        <w:rPr>
          <w:rFonts w:hint="eastAsia" w:ascii="仿宋_GB2312" w:eastAsia="仿宋_GB2312"/>
          <w:sz w:val="32"/>
          <w:szCs w:val="32"/>
          <w:lang w:eastAsia="zh-CN"/>
        </w:rPr>
        <w:t>社会保障和就业（类）就业补助（款）其他就业补助支出（项）:就业补助（款）指财政用于就业方面的补助支出。其他就业补助支出（项）指按规定确定的其他用于促进就业的补助支出</w:t>
      </w:r>
    </w:p>
    <w:p w14:paraId="75EE886A">
      <w:pPr>
        <w:spacing w:line="600" w:lineRule="exact"/>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13、</w:t>
      </w:r>
      <w:r>
        <w:rPr>
          <w:rFonts w:hint="eastAsia" w:ascii="仿宋_GB2312" w:eastAsia="仿宋_GB2312"/>
          <w:sz w:val="32"/>
          <w:szCs w:val="32"/>
          <w:lang w:eastAsia="zh-CN"/>
        </w:rPr>
        <w:t>卫生健康（类）行政事业单位医疗（款）行政单位医疗（项）是指财政部门集中安排的行政单位基本医疗保险缴费经费，未参加医疗保险的行政单位基本的公费医疗经费，按国家规定享受离休人员、老红军战士待遇人员的医疗经费。</w:t>
      </w:r>
      <w:r>
        <w:rPr>
          <w:rFonts w:hint="eastAsia" w:ascii="仿宋_GB2312" w:eastAsia="仿宋_GB2312"/>
          <w:sz w:val="32"/>
          <w:szCs w:val="32"/>
          <w:lang w:val="en-US" w:eastAsia="zh-CN"/>
        </w:rPr>
        <w:t xml:space="preserve">       </w:t>
      </w:r>
    </w:p>
    <w:p w14:paraId="56403562">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val="en-US" w:eastAsia="zh-CN"/>
        </w:rPr>
        <w:t>14、</w:t>
      </w:r>
      <w:r>
        <w:rPr>
          <w:rFonts w:hint="eastAsia" w:ascii="仿宋_GB2312" w:eastAsia="仿宋_GB2312"/>
          <w:sz w:val="32"/>
          <w:szCs w:val="32"/>
          <w:lang w:eastAsia="zh-CN"/>
        </w:rPr>
        <w:t>卫生健康支出（类）行政事业单位医疗（款）公务员医疗补助（项）：指财政部门安排的公务员医疗补助经经费。</w:t>
      </w:r>
    </w:p>
    <w:p w14:paraId="45F64353">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val="en-US" w:eastAsia="zh-CN"/>
        </w:rPr>
        <w:t>15、</w:t>
      </w:r>
      <w:r>
        <w:rPr>
          <w:rFonts w:hint="eastAsia" w:ascii="仿宋_GB2312" w:eastAsia="仿宋_GB2312"/>
          <w:sz w:val="32"/>
          <w:szCs w:val="32"/>
          <w:lang w:eastAsia="zh-CN"/>
        </w:rPr>
        <w:t>城乡社区支出（类）城乡社区管理事务（款）行政运行（项）是指行政单位（包括实行公务员管理的事业单位）在城乡社区管理事务中的基本支出。</w:t>
      </w:r>
    </w:p>
    <w:p w14:paraId="6E402555">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eastAsia="zh-CN"/>
        </w:rPr>
        <w:t>1</w:t>
      </w:r>
      <w:r>
        <w:rPr>
          <w:rFonts w:hint="eastAsia" w:ascii="仿宋_GB2312" w:eastAsia="仿宋_GB2312"/>
          <w:sz w:val="32"/>
          <w:szCs w:val="32"/>
          <w:lang w:val="en-US" w:eastAsia="zh-CN"/>
        </w:rPr>
        <w:t>6</w:t>
      </w:r>
      <w:r>
        <w:rPr>
          <w:rFonts w:hint="eastAsia" w:ascii="仿宋_GB2312" w:eastAsia="仿宋_GB2312"/>
          <w:sz w:val="32"/>
          <w:szCs w:val="32"/>
          <w:lang w:eastAsia="zh-CN"/>
        </w:rPr>
        <w:t>、城乡社区支出（类）城乡社区管理事务（款）城管执法（项）是指用于城市管理综合行政执法、加强城市市容和环境卫生管理方面的支出。</w:t>
      </w:r>
    </w:p>
    <w:p w14:paraId="0A4323FE">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val="en-US" w:eastAsia="zh-CN"/>
        </w:rPr>
        <w:t>17、</w:t>
      </w:r>
      <w:r>
        <w:rPr>
          <w:rFonts w:hint="eastAsia" w:ascii="仿宋_GB2312" w:eastAsia="仿宋_GB2312"/>
          <w:sz w:val="32"/>
          <w:szCs w:val="32"/>
          <w:lang w:eastAsia="zh-CN"/>
        </w:rPr>
        <w:t>交通运输支出（类）反映交通运输和邮政业方面的支出。公路水路运输（款）：反映公路水路运输相关的支出。公路运输管理（项）:反映公路运输管理支出和公路路政管理支出。</w:t>
      </w:r>
    </w:p>
    <w:p w14:paraId="7A6D0010">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val="en-US" w:eastAsia="zh-CN"/>
        </w:rPr>
        <w:t>18.</w:t>
      </w:r>
      <w:r>
        <w:rPr>
          <w:rFonts w:hint="eastAsia" w:ascii="仿宋_GB2312" w:eastAsia="仿宋_GB2312"/>
          <w:sz w:val="32"/>
          <w:szCs w:val="32"/>
          <w:lang w:eastAsia="zh-CN"/>
        </w:rPr>
        <w:t>住房保障支出（类）：集中反映政府用于住房方面的支出。住房改革支出（款） 反映行政事业单位用财政拨款资金和其他资金等安排的住房改革支出。住房公积金（项）:反映行政事业单位按人力资源和社会保障部、财政部规定的基本工资和津贴补贴以及规定比例为职工缴纳的住房公积金。</w:t>
      </w:r>
    </w:p>
    <w:p w14:paraId="397842D2">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val="en-US" w:eastAsia="zh-CN"/>
        </w:rPr>
        <w:t>19、</w:t>
      </w:r>
      <w:r>
        <w:rPr>
          <w:rFonts w:hint="eastAsia" w:ascii="仿宋_GB2312" w:eastAsia="仿宋_GB2312"/>
          <w:sz w:val="32"/>
          <w:szCs w:val="32"/>
          <w:lang w:eastAsia="zh-CN"/>
        </w:rPr>
        <w:t>基本支出：指为保障机构正常运转、完成日常工作任务而发生的人员支出和公用支出。</w:t>
      </w:r>
    </w:p>
    <w:p w14:paraId="4913C51A">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val="en-US" w:eastAsia="zh-CN"/>
        </w:rPr>
        <w:t>20、</w:t>
      </w:r>
      <w:r>
        <w:rPr>
          <w:rFonts w:hint="eastAsia" w:ascii="仿宋_GB2312" w:eastAsia="仿宋_GB2312"/>
          <w:sz w:val="32"/>
          <w:szCs w:val="32"/>
          <w:lang w:eastAsia="zh-CN"/>
        </w:rPr>
        <w:t xml:space="preserve">项目支出：指在基本支出之外为完成特定行政任务和事业发展目标所发生的支出。 </w:t>
      </w:r>
    </w:p>
    <w:p w14:paraId="68C8DB31">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val="en-US" w:eastAsia="zh-CN"/>
        </w:rPr>
        <w:t>21、</w:t>
      </w:r>
      <w:r>
        <w:rPr>
          <w:rFonts w:hint="eastAsia" w:ascii="仿宋_GB2312" w:eastAsia="仿宋_GB2312"/>
          <w:sz w:val="32"/>
          <w:szCs w:val="32"/>
          <w:lang w:eastAsia="zh-CN"/>
        </w:rPr>
        <w:t>经营支出：指事业单位在专业业务活动及其辅助活动之外开展非独立核算经营活动发生的支出。</w:t>
      </w:r>
    </w:p>
    <w:p w14:paraId="592A5C24">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val="en-US" w:eastAsia="zh-CN"/>
        </w:rPr>
        <w:t>22、</w:t>
      </w:r>
      <w:r>
        <w:rPr>
          <w:rFonts w:hint="eastAsia" w:ascii="仿宋_GB2312" w:eastAsia="仿宋_GB2312"/>
          <w:sz w:val="32"/>
          <w:szCs w:val="32"/>
          <w:lang w:eastAsia="zh-CN"/>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55A530F">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val="en-US" w:eastAsia="zh-CN"/>
        </w:rPr>
        <w:t>23、</w:t>
      </w:r>
      <w:r>
        <w:rPr>
          <w:rFonts w:hint="eastAsia" w:ascii="仿宋_GB2312" w:eastAsia="仿宋_GB2312"/>
          <w:sz w:val="32"/>
          <w:szCs w:val="32"/>
          <w:lang w:eastAsia="zh-CN"/>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6322865">
      <w:pPr>
        <w:spacing w:line="600" w:lineRule="exact"/>
        <w:jc w:val="center"/>
        <w:outlineLvl w:val="0"/>
        <w:rPr>
          <w:rStyle w:val="29"/>
          <w:rFonts w:ascii="黑体" w:hAnsi="黑体" w:eastAsia="黑体"/>
          <w:b w:val="0"/>
        </w:rPr>
      </w:pPr>
      <w:r>
        <w:rPr>
          <w:rFonts w:ascii="宋体"/>
          <w:b/>
          <w:sz w:val="44"/>
          <w:szCs w:val="44"/>
        </w:rPr>
        <w:br w:type="page"/>
      </w:r>
      <w:bookmarkStart w:id="72" w:name="_Toc24919"/>
      <w:bookmarkStart w:id="73" w:name="_Toc15396614"/>
      <w:r>
        <w:rPr>
          <w:rFonts w:hint="eastAsia" w:ascii="黑体" w:hAnsi="黑体" w:eastAsia="黑体"/>
          <w:sz w:val="44"/>
          <w:szCs w:val="44"/>
        </w:rPr>
        <w:t>第</w:t>
      </w:r>
      <w:r>
        <w:rPr>
          <w:rStyle w:val="29"/>
          <w:rFonts w:hint="eastAsia" w:ascii="黑体" w:hAnsi="黑体" w:eastAsia="黑体"/>
          <w:b w:val="0"/>
        </w:rPr>
        <w:t>四部分 附件</w:t>
      </w:r>
      <w:bookmarkEnd w:id="72"/>
      <w:bookmarkEnd w:id="73"/>
    </w:p>
    <w:p w14:paraId="7F48F9DB">
      <w:pPr>
        <w:spacing w:line="572" w:lineRule="exact"/>
        <w:jc w:val="left"/>
        <w:outlineLvl w:val="9"/>
        <w:rPr>
          <w:rFonts w:ascii="仿宋_GB2312" w:hAnsi="仿宋_GB2312" w:eastAsia="仿宋_GB2312" w:cs="仿宋_GB2312"/>
          <w:sz w:val="32"/>
          <w:szCs w:val="32"/>
        </w:rPr>
      </w:pPr>
    </w:p>
    <w:p w14:paraId="00F74CF9">
      <w:pPr>
        <w:spacing w:line="600" w:lineRule="exact"/>
        <w:ind w:firstLine="640"/>
        <w:jc w:val="center"/>
        <w:rPr>
          <w:rFonts w:hint="eastAsia" w:ascii="仿宋_GB2312" w:eastAsia="仿宋_GB2312"/>
          <w:sz w:val="32"/>
          <w:szCs w:val="32"/>
          <w:lang w:eastAsia="zh-CN"/>
        </w:rPr>
      </w:pPr>
      <w:bookmarkStart w:id="74" w:name="_Toc7058"/>
      <w:bookmarkStart w:id="75" w:name="_Toc15396618"/>
      <w:r>
        <w:rPr>
          <w:rFonts w:hint="eastAsia" w:ascii="仿宋_GB2312" w:eastAsia="仿宋_GB2312"/>
          <w:sz w:val="32"/>
          <w:szCs w:val="32"/>
          <w:lang w:eastAsia="zh-CN"/>
        </w:rPr>
        <w:t>部门预算项目支出绩效自评表（2024年度）</w:t>
      </w:r>
      <w:bookmarkEnd w:id="74"/>
    </w:p>
    <w:p w14:paraId="2BCD66F9">
      <w:pPr>
        <w:pStyle w:val="2"/>
        <w:spacing w:line="560" w:lineRule="exact"/>
        <w:ind w:left="0" w:leftChars="0" w:firstLine="640"/>
        <w:rPr>
          <w:sz w:val="32"/>
          <w:highlight w:val="none"/>
        </w:rPr>
      </w:pPr>
    </w:p>
    <w:p w14:paraId="2ECD1D3D">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lang w:val="en-US" w:eastAsia="zh-CN"/>
        </w:rPr>
        <w:t>详见《五通桥区综合行政执法局机关2024年区级项目支出绩效自评表（7个）》</w:t>
      </w:r>
    </w:p>
    <w:p w14:paraId="13C5EFB4">
      <w:pPr>
        <w:pStyle w:val="4"/>
        <w:spacing w:before="93"/>
        <w:rPr>
          <w:rFonts w:hAnsi="Calibri" w:cs="仿宋"/>
          <w:sz w:val="32"/>
          <w:szCs w:val="32"/>
        </w:rPr>
      </w:pPr>
    </w:p>
    <w:p w14:paraId="2895ABFF">
      <w:pPr>
        <w:pStyle w:val="4"/>
        <w:spacing w:before="93"/>
        <w:rPr>
          <w:rFonts w:hAnsi="Calibri" w:cs="仿宋"/>
          <w:sz w:val="32"/>
          <w:szCs w:val="32"/>
        </w:rPr>
      </w:pPr>
    </w:p>
    <w:p w14:paraId="438C1881">
      <w:pPr>
        <w:pStyle w:val="4"/>
        <w:spacing w:before="93"/>
        <w:rPr>
          <w:rFonts w:hAnsi="Calibri" w:cs="仿宋"/>
          <w:sz w:val="32"/>
          <w:szCs w:val="32"/>
        </w:rPr>
      </w:pPr>
    </w:p>
    <w:p w14:paraId="71B102C0">
      <w:pPr>
        <w:pStyle w:val="4"/>
        <w:spacing w:before="93"/>
        <w:rPr>
          <w:rFonts w:hAnsi="Calibri" w:cs="仿宋"/>
          <w:sz w:val="32"/>
          <w:szCs w:val="32"/>
        </w:rPr>
      </w:pPr>
    </w:p>
    <w:p w14:paraId="70B3160F">
      <w:pPr>
        <w:pStyle w:val="4"/>
        <w:spacing w:before="93"/>
        <w:rPr>
          <w:rFonts w:hAnsi="Calibri" w:cs="仿宋"/>
          <w:sz w:val="32"/>
          <w:szCs w:val="32"/>
        </w:rPr>
      </w:pPr>
    </w:p>
    <w:p w14:paraId="3B833402">
      <w:pPr>
        <w:pStyle w:val="4"/>
        <w:spacing w:before="93"/>
        <w:rPr>
          <w:rFonts w:hAnsi="Calibri" w:cs="仿宋"/>
          <w:sz w:val="32"/>
          <w:szCs w:val="32"/>
        </w:rPr>
      </w:pPr>
    </w:p>
    <w:p w14:paraId="79B4967F">
      <w:pPr>
        <w:pStyle w:val="4"/>
        <w:spacing w:before="93"/>
        <w:rPr>
          <w:rFonts w:hAnsi="Calibri" w:cs="仿宋"/>
          <w:sz w:val="32"/>
          <w:szCs w:val="32"/>
        </w:rPr>
      </w:pPr>
    </w:p>
    <w:p w14:paraId="2109C6B0">
      <w:pPr>
        <w:pStyle w:val="4"/>
        <w:spacing w:before="93"/>
        <w:rPr>
          <w:rFonts w:hAnsi="Calibri" w:cs="仿宋"/>
          <w:sz w:val="32"/>
          <w:szCs w:val="32"/>
        </w:rPr>
      </w:pPr>
    </w:p>
    <w:p w14:paraId="0233536A">
      <w:pPr>
        <w:pStyle w:val="4"/>
        <w:spacing w:before="93"/>
        <w:rPr>
          <w:rFonts w:hAnsi="Calibri" w:cs="仿宋"/>
          <w:sz w:val="32"/>
          <w:szCs w:val="32"/>
        </w:rPr>
      </w:pPr>
    </w:p>
    <w:p w14:paraId="5DB59534">
      <w:pPr>
        <w:pStyle w:val="4"/>
        <w:spacing w:before="93"/>
        <w:rPr>
          <w:rFonts w:hAnsi="Calibri" w:cs="仿宋"/>
          <w:sz w:val="32"/>
          <w:szCs w:val="32"/>
        </w:rPr>
      </w:pPr>
    </w:p>
    <w:p w14:paraId="79C8B508">
      <w:pPr>
        <w:pStyle w:val="4"/>
        <w:spacing w:before="93"/>
        <w:rPr>
          <w:rFonts w:hAnsi="Calibri" w:cs="仿宋"/>
          <w:sz w:val="32"/>
          <w:szCs w:val="32"/>
        </w:rPr>
      </w:pPr>
    </w:p>
    <w:p w14:paraId="7719CE8E">
      <w:pPr>
        <w:spacing w:line="600" w:lineRule="exact"/>
        <w:jc w:val="center"/>
        <w:outlineLvl w:val="9"/>
        <w:rPr>
          <w:rFonts w:hint="eastAsia" w:ascii="黑体" w:hAnsi="黑体" w:eastAsia="黑体"/>
          <w:sz w:val="44"/>
          <w:szCs w:val="44"/>
        </w:rPr>
      </w:pPr>
    </w:p>
    <w:p w14:paraId="2769AD34">
      <w:pPr>
        <w:spacing w:line="600" w:lineRule="exact"/>
        <w:jc w:val="center"/>
        <w:outlineLvl w:val="9"/>
        <w:rPr>
          <w:rFonts w:hint="eastAsia" w:ascii="黑体" w:hAnsi="黑体" w:eastAsia="黑体"/>
          <w:sz w:val="44"/>
          <w:szCs w:val="44"/>
        </w:rPr>
      </w:pPr>
    </w:p>
    <w:p w14:paraId="200B182A">
      <w:pPr>
        <w:pStyle w:val="2"/>
        <w:rPr>
          <w:rFonts w:hint="eastAsia"/>
        </w:rPr>
      </w:pPr>
    </w:p>
    <w:p w14:paraId="459BB92F">
      <w:pPr>
        <w:spacing w:line="600" w:lineRule="exact"/>
        <w:jc w:val="center"/>
        <w:outlineLvl w:val="9"/>
        <w:rPr>
          <w:rFonts w:hint="eastAsia" w:ascii="黑体" w:hAnsi="黑体" w:eastAsia="黑体"/>
          <w:sz w:val="44"/>
          <w:szCs w:val="44"/>
        </w:rPr>
      </w:pPr>
    </w:p>
    <w:p w14:paraId="17B47129">
      <w:pPr>
        <w:spacing w:line="600" w:lineRule="exact"/>
        <w:jc w:val="center"/>
        <w:outlineLvl w:val="0"/>
        <w:rPr>
          <w:rFonts w:ascii="仿宋" w:hAnsi="仿宋" w:eastAsia="仿宋"/>
        </w:rPr>
      </w:pPr>
      <w:bookmarkStart w:id="76" w:name="_Toc30591"/>
      <w:r>
        <w:rPr>
          <w:rFonts w:hint="eastAsia" w:ascii="黑体" w:hAnsi="黑体" w:eastAsia="黑体"/>
          <w:sz w:val="44"/>
          <w:szCs w:val="44"/>
        </w:rPr>
        <w:t>第</w:t>
      </w:r>
      <w:r>
        <w:rPr>
          <w:rStyle w:val="29"/>
          <w:rFonts w:hint="eastAsia" w:ascii="黑体" w:hAnsi="黑体" w:eastAsia="黑体"/>
          <w:b w:val="0"/>
        </w:rPr>
        <w:t>五部分 附表</w:t>
      </w:r>
      <w:bookmarkEnd w:id="71"/>
      <w:bookmarkEnd w:id="75"/>
      <w:bookmarkEnd w:id="76"/>
      <w:bookmarkStart w:id="77" w:name="_Toc15396619"/>
    </w:p>
    <w:p w14:paraId="3D13F77E">
      <w:pPr>
        <w:spacing w:line="600" w:lineRule="exact"/>
        <w:ind w:firstLine="640"/>
        <w:jc w:val="left"/>
        <w:rPr>
          <w:rFonts w:hint="eastAsia" w:ascii="仿宋_GB2312" w:eastAsia="仿宋_GB2312"/>
          <w:sz w:val="32"/>
          <w:szCs w:val="32"/>
          <w:lang w:eastAsia="zh-CN"/>
        </w:rPr>
      </w:pPr>
      <w:bookmarkStart w:id="78" w:name="_Toc17998"/>
      <w:r>
        <w:rPr>
          <w:rFonts w:hint="eastAsia" w:ascii="仿宋_GB2312" w:eastAsia="仿宋_GB2312"/>
          <w:sz w:val="32"/>
          <w:szCs w:val="32"/>
          <w:lang w:eastAsia="zh-CN"/>
        </w:rPr>
        <w:t>一、收入支出决算总表</w:t>
      </w:r>
      <w:bookmarkEnd w:id="77"/>
      <w:bookmarkEnd w:id="78"/>
    </w:p>
    <w:p w14:paraId="65E469C4">
      <w:pPr>
        <w:spacing w:line="600" w:lineRule="exact"/>
        <w:ind w:firstLine="640"/>
        <w:jc w:val="left"/>
        <w:rPr>
          <w:rFonts w:hint="eastAsia" w:ascii="仿宋_GB2312" w:eastAsia="仿宋_GB2312"/>
          <w:sz w:val="32"/>
          <w:szCs w:val="32"/>
          <w:lang w:eastAsia="zh-CN"/>
        </w:rPr>
      </w:pPr>
      <w:bookmarkStart w:id="79" w:name="_Toc27341"/>
      <w:bookmarkStart w:id="80" w:name="_Toc15396620"/>
      <w:r>
        <w:rPr>
          <w:rFonts w:hint="eastAsia" w:ascii="仿宋_GB2312" w:eastAsia="仿宋_GB2312"/>
          <w:sz w:val="32"/>
          <w:szCs w:val="32"/>
          <w:lang w:eastAsia="zh-CN"/>
        </w:rPr>
        <w:t>二、收入决算表</w:t>
      </w:r>
      <w:bookmarkEnd w:id="79"/>
      <w:bookmarkEnd w:id="80"/>
    </w:p>
    <w:p w14:paraId="05376D51">
      <w:pPr>
        <w:spacing w:line="600" w:lineRule="exact"/>
        <w:ind w:firstLine="640"/>
        <w:jc w:val="left"/>
        <w:rPr>
          <w:rFonts w:hint="eastAsia" w:ascii="仿宋_GB2312" w:eastAsia="仿宋_GB2312"/>
          <w:sz w:val="32"/>
          <w:szCs w:val="32"/>
          <w:lang w:eastAsia="zh-CN"/>
        </w:rPr>
      </w:pPr>
      <w:bookmarkStart w:id="81" w:name="_Toc24700"/>
      <w:bookmarkStart w:id="82" w:name="_Toc15396621"/>
      <w:r>
        <w:rPr>
          <w:rFonts w:hint="eastAsia" w:ascii="仿宋_GB2312" w:eastAsia="仿宋_GB2312"/>
          <w:sz w:val="32"/>
          <w:szCs w:val="32"/>
          <w:lang w:eastAsia="zh-CN"/>
        </w:rPr>
        <w:t>三、支出决算表</w:t>
      </w:r>
      <w:bookmarkEnd w:id="81"/>
      <w:bookmarkEnd w:id="82"/>
    </w:p>
    <w:p w14:paraId="04157405">
      <w:pPr>
        <w:spacing w:line="600" w:lineRule="exact"/>
        <w:ind w:firstLine="640"/>
        <w:jc w:val="left"/>
        <w:rPr>
          <w:rFonts w:hint="eastAsia" w:ascii="仿宋_GB2312" w:eastAsia="仿宋_GB2312"/>
          <w:sz w:val="32"/>
          <w:szCs w:val="32"/>
          <w:lang w:eastAsia="zh-CN"/>
        </w:rPr>
      </w:pPr>
      <w:bookmarkStart w:id="83" w:name="_Toc21537"/>
      <w:bookmarkStart w:id="84" w:name="_Toc15396622"/>
      <w:r>
        <w:rPr>
          <w:rFonts w:hint="eastAsia" w:ascii="仿宋_GB2312" w:eastAsia="仿宋_GB2312"/>
          <w:sz w:val="32"/>
          <w:szCs w:val="32"/>
          <w:lang w:eastAsia="zh-CN"/>
        </w:rPr>
        <w:t>四、财政拨款收入支出决算总表</w:t>
      </w:r>
      <w:bookmarkEnd w:id="83"/>
      <w:bookmarkEnd w:id="84"/>
    </w:p>
    <w:p w14:paraId="2909AEC1">
      <w:pPr>
        <w:spacing w:line="600" w:lineRule="exact"/>
        <w:ind w:firstLine="640"/>
        <w:jc w:val="left"/>
        <w:rPr>
          <w:rFonts w:hint="eastAsia" w:ascii="仿宋_GB2312" w:eastAsia="仿宋_GB2312"/>
          <w:sz w:val="32"/>
          <w:szCs w:val="32"/>
          <w:lang w:eastAsia="zh-CN"/>
        </w:rPr>
      </w:pPr>
      <w:bookmarkStart w:id="85" w:name="_Toc16520"/>
      <w:bookmarkStart w:id="86" w:name="_Toc15396623"/>
      <w:r>
        <w:rPr>
          <w:rFonts w:hint="eastAsia" w:ascii="仿宋_GB2312" w:eastAsia="仿宋_GB2312"/>
          <w:sz w:val="32"/>
          <w:szCs w:val="32"/>
          <w:lang w:eastAsia="zh-CN"/>
        </w:rPr>
        <w:t>五、财政拨款支出决算明细表</w:t>
      </w:r>
      <w:bookmarkEnd w:id="85"/>
      <w:bookmarkEnd w:id="86"/>
      <w:bookmarkStart w:id="87" w:name="_Toc15396624"/>
    </w:p>
    <w:p w14:paraId="00623772">
      <w:pPr>
        <w:spacing w:line="600" w:lineRule="exact"/>
        <w:ind w:firstLine="640"/>
        <w:jc w:val="left"/>
        <w:rPr>
          <w:rFonts w:hint="eastAsia" w:ascii="仿宋_GB2312" w:eastAsia="仿宋_GB2312"/>
          <w:sz w:val="32"/>
          <w:szCs w:val="32"/>
          <w:lang w:eastAsia="zh-CN"/>
        </w:rPr>
      </w:pPr>
      <w:bookmarkStart w:id="88" w:name="_Toc5371"/>
      <w:r>
        <w:rPr>
          <w:rFonts w:hint="eastAsia" w:ascii="仿宋_GB2312" w:eastAsia="仿宋_GB2312"/>
          <w:sz w:val="32"/>
          <w:szCs w:val="32"/>
          <w:lang w:eastAsia="zh-CN"/>
        </w:rPr>
        <w:t>六、一般公共预算财政拨款支出决算表</w:t>
      </w:r>
      <w:bookmarkEnd w:id="87"/>
      <w:bookmarkEnd w:id="88"/>
    </w:p>
    <w:p w14:paraId="6C993DEF">
      <w:pPr>
        <w:spacing w:line="600" w:lineRule="exact"/>
        <w:ind w:firstLine="640"/>
        <w:jc w:val="left"/>
        <w:rPr>
          <w:rFonts w:hint="eastAsia" w:ascii="仿宋_GB2312" w:eastAsia="仿宋_GB2312"/>
          <w:sz w:val="32"/>
          <w:szCs w:val="32"/>
          <w:lang w:eastAsia="zh-CN"/>
        </w:rPr>
      </w:pPr>
      <w:bookmarkStart w:id="89" w:name="_Toc15396625"/>
      <w:bookmarkStart w:id="90" w:name="_Toc15260"/>
      <w:r>
        <w:rPr>
          <w:rFonts w:hint="eastAsia" w:ascii="仿宋_GB2312" w:eastAsia="仿宋_GB2312"/>
          <w:sz w:val="32"/>
          <w:szCs w:val="32"/>
          <w:lang w:eastAsia="zh-CN"/>
        </w:rPr>
        <w:t>七、一般公共预算财政拨款支出决算明细表</w:t>
      </w:r>
      <w:bookmarkEnd w:id="89"/>
      <w:bookmarkEnd w:id="90"/>
    </w:p>
    <w:p w14:paraId="3915C08D">
      <w:pPr>
        <w:spacing w:line="600" w:lineRule="exact"/>
        <w:ind w:firstLine="640"/>
        <w:jc w:val="left"/>
        <w:rPr>
          <w:rFonts w:hint="eastAsia" w:ascii="仿宋_GB2312" w:eastAsia="仿宋_GB2312"/>
          <w:sz w:val="32"/>
          <w:szCs w:val="32"/>
          <w:lang w:eastAsia="zh-CN"/>
        </w:rPr>
      </w:pPr>
      <w:bookmarkStart w:id="91" w:name="_Toc18684"/>
      <w:bookmarkStart w:id="92" w:name="_Toc15396626"/>
      <w:r>
        <w:rPr>
          <w:rFonts w:hint="eastAsia" w:ascii="仿宋_GB2312" w:eastAsia="仿宋_GB2312"/>
          <w:sz w:val="32"/>
          <w:szCs w:val="32"/>
          <w:lang w:eastAsia="zh-CN"/>
        </w:rPr>
        <w:t>八、一般公共预算财政拨款基本支出决算表</w:t>
      </w:r>
      <w:bookmarkEnd w:id="91"/>
      <w:bookmarkEnd w:id="92"/>
    </w:p>
    <w:p w14:paraId="28A569A9">
      <w:pPr>
        <w:spacing w:line="600" w:lineRule="exact"/>
        <w:ind w:firstLine="640"/>
        <w:jc w:val="left"/>
        <w:rPr>
          <w:rFonts w:hint="eastAsia" w:ascii="仿宋_GB2312" w:eastAsia="仿宋_GB2312"/>
          <w:sz w:val="32"/>
          <w:szCs w:val="32"/>
          <w:lang w:eastAsia="zh-CN"/>
        </w:rPr>
      </w:pPr>
      <w:bookmarkStart w:id="93" w:name="_Toc15396627"/>
      <w:bookmarkStart w:id="94" w:name="_Toc5508"/>
      <w:r>
        <w:rPr>
          <w:rFonts w:hint="eastAsia" w:ascii="仿宋_GB2312" w:eastAsia="仿宋_GB2312"/>
          <w:sz w:val="32"/>
          <w:szCs w:val="32"/>
          <w:lang w:eastAsia="zh-CN"/>
        </w:rPr>
        <w:t>九、一般公共预算财政拨款项目支出决算表</w:t>
      </w:r>
      <w:bookmarkEnd w:id="93"/>
      <w:bookmarkEnd w:id="94"/>
    </w:p>
    <w:p w14:paraId="7ED69CCB">
      <w:pPr>
        <w:spacing w:line="600" w:lineRule="exact"/>
        <w:ind w:firstLine="640"/>
        <w:jc w:val="left"/>
        <w:rPr>
          <w:rFonts w:hint="eastAsia" w:ascii="仿宋_GB2312" w:eastAsia="仿宋_GB2312"/>
          <w:sz w:val="32"/>
          <w:szCs w:val="32"/>
          <w:lang w:eastAsia="zh-CN"/>
        </w:rPr>
      </w:pPr>
      <w:bookmarkStart w:id="95" w:name="_Toc15396628"/>
      <w:bookmarkStart w:id="96" w:name="_Toc10409"/>
      <w:r>
        <w:rPr>
          <w:rFonts w:hint="eastAsia" w:ascii="仿宋_GB2312" w:eastAsia="仿宋_GB2312"/>
          <w:sz w:val="32"/>
          <w:szCs w:val="32"/>
          <w:lang w:eastAsia="zh-CN"/>
        </w:rPr>
        <w:t>十、</w:t>
      </w:r>
      <w:bookmarkEnd w:id="95"/>
      <w:r>
        <w:rPr>
          <w:rFonts w:hint="eastAsia" w:ascii="仿宋_GB2312" w:eastAsia="仿宋_GB2312"/>
          <w:sz w:val="32"/>
          <w:szCs w:val="32"/>
          <w:lang w:eastAsia="zh-CN"/>
        </w:rPr>
        <w:t>政府性基金预算财政拨款收入支出决算表</w:t>
      </w:r>
      <w:bookmarkEnd w:id="96"/>
    </w:p>
    <w:p w14:paraId="0AD29758">
      <w:pPr>
        <w:spacing w:line="600" w:lineRule="exact"/>
        <w:ind w:firstLine="640"/>
        <w:jc w:val="left"/>
        <w:rPr>
          <w:rFonts w:hint="eastAsia" w:ascii="仿宋_GB2312" w:eastAsia="仿宋_GB2312"/>
          <w:sz w:val="32"/>
          <w:szCs w:val="32"/>
          <w:lang w:eastAsia="zh-CN"/>
        </w:rPr>
      </w:pPr>
      <w:bookmarkStart w:id="97" w:name="_Toc15396629"/>
      <w:bookmarkStart w:id="98" w:name="_Toc16622"/>
      <w:r>
        <w:rPr>
          <w:rFonts w:hint="eastAsia" w:ascii="仿宋_GB2312" w:eastAsia="仿宋_GB2312"/>
          <w:sz w:val="32"/>
          <w:szCs w:val="32"/>
          <w:lang w:eastAsia="zh-CN"/>
        </w:rPr>
        <w:t>十一、</w:t>
      </w:r>
      <w:bookmarkEnd w:id="97"/>
      <w:r>
        <w:rPr>
          <w:rFonts w:hint="eastAsia" w:ascii="仿宋_GB2312" w:eastAsia="仿宋_GB2312"/>
          <w:sz w:val="32"/>
          <w:szCs w:val="32"/>
          <w:lang w:eastAsia="zh-CN"/>
        </w:rPr>
        <w:t>国有资本经营预算财政拨款收入支出决算表</w:t>
      </w:r>
      <w:bookmarkEnd w:id="98"/>
    </w:p>
    <w:p w14:paraId="1D3CB6CE">
      <w:pPr>
        <w:spacing w:line="600" w:lineRule="exact"/>
        <w:ind w:firstLine="640"/>
        <w:jc w:val="left"/>
        <w:rPr>
          <w:rFonts w:hint="eastAsia" w:ascii="仿宋_GB2312" w:eastAsia="仿宋_GB2312"/>
          <w:sz w:val="32"/>
          <w:szCs w:val="32"/>
          <w:lang w:eastAsia="zh-CN"/>
        </w:rPr>
      </w:pPr>
      <w:bookmarkStart w:id="99" w:name="_Toc15396630"/>
      <w:bookmarkStart w:id="100" w:name="_Toc3887"/>
      <w:r>
        <w:rPr>
          <w:rFonts w:hint="eastAsia" w:ascii="仿宋_GB2312" w:eastAsia="仿宋_GB2312"/>
          <w:sz w:val="32"/>
          <w:szCs w:val="32"/>
          <w:lang w:eastAsia="zh-CN"/>
        </w:rPr>
        <w:t>十二、</w:t>
      </w:r>
      <w:bookmarkEnd w:id="99"/>
      <w:r>
        <w:rPr>
          <w:rFonts w:hint="eastAsia" w:ascii="仿宋_GB2312" w:eastAsia="仿宋_GB2312"/>
          <w:sz w:val="32"/>
          <w:szCs w:val="32"/>
          <w:lang w:eastAsia="zh-CN"/>
        </w:rPr>
        <w:t>国有资本经营预算财政拨款支出决算表</w:t>
      </w:r>
      <w:bookmarkEnd w:id="100"/>
    </w:p>
    <w:p w14:paraId="6B8B69F2">
      <w:pPr>
        <w:spacing w:line="600" w:lineRule="exact"/>
        <w:ind w:firstLine="640"/>
        <w:jc w:val="left"/>
        <w:rPr>
          <w:rFonts w:hint="eastAsia" w:ascii="仿宋_GB2312" w:eastAsia="仿宋_GB2312"/>
          <w:sz w:val="32"/>
          <w:szCs w:val="32"/>
          <w:lang w:eastAsia="zh-CN"/>
        </w:rPr>
      </w:pPr>
      <w:bookmarkStart w:id="101" w:name="_Toc15396631"/>
      <w:bookmarkStart w:id="102" w:name="_Toc31403"/>
      <w:r>
        <w:rPr>
          <w:rFonts w:hint="eastAsia" w:ascii="仿宋_GB2312" w:eastAsia="仿宋_GB2312"/>
          <w:sz w:val="32"/>
          <w:szCs w:val="32"/>
          <w:lang w:eastAsia="zh-CN"/>
        </w:rPr>
        <w:t>十三、</w:t>
      </w:r>
      <w:bookmarkEnd w:id="101"/>
      <w:r>
        <w:rPr>
          <w:rFonts w:hint="eastAsia" w:ascii="仿宋_GB2312" w:eastAsia="仿宋_GB2312"/>
          <w:sz w:val="32"/>
          <w:szCs w:val="32"/>
          <w:lang w:eastAsia="zh-CN"/>
        </w:rPr>
        <w:t>财政拨款“三公”经费支出决算表</w:t>
      </w:r>
      <w:bookmarkEnd w:id="102"/>
    </w:p>
    <w:p w14:paraId="2FCC454D">
      <w:pPr>
        <w:spacing w:line="600" w:lineRule="exact"/>
        <w:ind w:firstLine="640"/>
        <w:jc w:val="left"/>
        <w:rPr>
          <w:rFonts w:hint="eastAsia" w:ascii="仿宋_GB2312" w:eastAsia="仿宋_GB2312"/>
          <w:sz w:val="32"/>
          <w:szCs w:val="32"/>
          <w:lang w:eastAsia="zh-CN"/>
        </w:rPr>
      </w:pPr>
      <w:bookmarkStart w:id="103" w:name="_Toc9001"/>
      <w:r>
        <w:rPr>
          <w:rFonts w:hint="eastAsia" w:ascii="仿宋_GB2312" w:eastAsia="仿宋_GB2312"/>
          <w:sz w:val="32"/>
          <w:szCs w:val="32"/>
          <w:lang w:val="en-US" w:eastAsia="zh-CN"/>
        </w:rPr>
        <w:t>注：以上附表详见《五通桥区综合行政执法局2024年决算公开表》</w:t>
      </w:r>
      <w:bookmarkEnd w:id="103"/>
    </w:p>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3C65BBBF">
        <w:pPr>
          <w:pStyle w:val="10"/>
          <w:jc w:val="center"/>
        </w:pPr>
        <w:r>
          <w:fldChar w:fldCharType="begin"/>
        </w:r>
        <w:r>
          <w:instrText xml:space="preserve">PAGE   \* MERGEFORMAT</w:instrText>
        </w:r>
        <w:r>
          <w:fldChar w:fldCharType="separate"/>
        </w:r>
        <w:r>
          <w:rPr>
            <w:lang w:val="zh-CN"/>
          </w:rPr>
          <w:t>15</w:t>
        </w:r>
        <w:r>
          <w:fldChar w:fldCharType="end"/>
        </w:r>
      </w:p>
    </w:sdtContent>
  </w:sdt>
  <w:p w14:paraId="1EE98B9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93EC2">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8B5D99">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8B5D99">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7929E">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5007F">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3N2FkNWE1ZmE1ZDZiZmU5NTNkMjNlMWFiMjE4NGQ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1127C6"/>
    <w:rsid w:val="02954A8B"/>
    <w:rsid w:val="03DC2831"/>
    <w:rsid w:val="081B5E94"/>
    <w:rsid w:val="082563B7"/>
    <w:rsid w:val="09151807"/>
    <w:rsid w:val="0A2032A3"/>
    <w:rsid w:val="0A2F4616"/>
    <w:rsid w:val="0ACD1DF8"/>
    <w:rsid w:val="0B8A37D8"/>
    <w:rsid w:val="0E010BCA"/>
    <w:rsid w:val="0F5FFB2F"/>
    <w:rsid w:val="0FFFCF60"/>
    <w:rsid w:val="10C055FF"/>
    <w:rsid w:val="118107EC"/>
    <w:rsid w:val="11DD6519"/>
    <w:rsid w:val="12A25A36"/>
    <w:rsid w:val="12DD4691"/>
    <w:rsid w:val="130A686C"/>
    <w:rsid w:val="132A4EF0"/>
    <w:rsid w:val="16074DE4"/>
    <w:rsid w:val="16BB723D"/>
    <w:rsid w:val="18015F3F"/>
    <w:rsid w:val="1A9908E0"/>
    <w:rsid w:val="1BE8440E"/>
    <w:rsid w:val="1C4A5F90"/>
    <w:rsid w:val="1C9D1F80"/>
    <w:rsid w:val="1D155CEE"/>
    <w:rsid w:val="1DDC2BB3"/>
    <w:rsid w:val="1F523D91"/>
    <w:rsid w:val="1F634658"/>
    <w:rsid w:val="1F642CC6"/>
    <w:rsid w:val="1FDBBF84"/>
    <w:rsid w:val="20F57F95"/>
    <w:rsid w:val="240371BF"/>
    <w:rsid w:val="246464A4"/>
    <w:rsid w:val="25711CC6"/>
    <w:rsid w:val="25C741E6"/>
    <w:rsid w:val="276F80C0"/>
    <w:rsid w:val="27842671"/>
    <w:rsid w:val="28092488"/>
    <w:rsid w:val="29445AC2"/>
    <w:rsid w:val="29FD04D3"/>
    <w:rsid w:val="2ABE7A3E"/>
    <w:rsid w:val="2AFF09B6"/>
    <w:rsid w:val="2BBE346C"/>
    <w:rsid w:val="2C546B7F"/>
    <w:rsid w:val="2CA234A8"/>
    <w:rsid w:val="2EFA178C"/>
    <w:rsid w:val="2EFDF86C"/>
    <w:rsid w:val="2F9D17E1"/>
    <w:rsid w:val="30B46D73"/>
    <w:rsid w:val="319F7F4E"/>
    <w:rsid w:val="345D2848"/>
    <w:rsid w:val="34D13DB9"/>
    <w:rsid w:val="356A28F1"/>
    <w:rsid w:val="357C035A"/>
    <w:rsid w:val="35CC76C7"/>
    <w:rsid w:val="368E000D"/>
    <w:rsid w:val="376672CB"/>
    <w:rsid w:val="37877158"/>
    <w:rsid w:val="383D272C"/>
    <w:rsid w:val="39AE70AB"/>
    <w:rsid w:val="3A4DCE41"/>
    <w:rsid w:val="3BCB56FA"/>
    <w:rsid w:val="3C0C0783"/>
    <w:rsid w:val="3C2E0F2B"/>
    <w:rsid w:val="3D986CD1"/>
    <w:rsid w:val="3EE01818"/>
    <w:rsid w:val="3EE7C2F4"/>
    <w:rsid w:val="3F371B56"/>
    <w:rsid w:val="3F792ED8"/>
    <w:rsid w:val="3F9F3A96"/>
    <w:rsid w:val="3FECA4B2"/>
    <w:rsid w:val="3FF58C48"/>
    <w:rsid w:val="415C14CF"/>
    <w:rsid w:val="41647407"/>
    <w:rsid w:val="42FF6694"/>
    <w:rsid w:val="47540167"/>
    <w:rsid w:val="47B665E8"/>
    <w:rsid w:val="48BF60AB"/>
    <w:rsid w:val="493C27E9"/>
    <w:rsid w:val="496F39ED"/>
    <w:rsid w:val="49FF41D3"/>
    <w:rsid w:val="4BE068DB"/>
    <w:rsid w:val="4BF6002B"/>
    <w:rsid w:val="4BFFC6BE"/>
    <w:rsid w:val="4CFD79B0"/>
    <w:rsid w:val="4ECE2238"/>
    <w:rsid w:val="4EE37B71"/>
    <w:rsid w:val="501C0E6E"/>
    <w:rsid w:val="510C6D30"/>
    <w:rsid w:val="51A4428B"/>
    <w:rsid w:val="51DB4B86"/>
    <w:rsid w:val="51F64DB0"/>
    <w:rsid w:val="55333C3E"/>
    <w:rsid w:val="55BA1E53"/>
    <w:rsid w:val="569D57E6"/>
    <w:rsid w:val="56C629C3"/>
    <w:rsid w:val="575F7FC3"/>
    <w:rsid w:val="5DEA37ED"/>
    <w:rsid w:val="5F67802D"/>
    <w:rsid w:val="5F7DC4F2"/>
    <w:rsid w:val="5FB36814"/>
    <w:rsid w:val="5FBB8E56"/>
    <w:rsid w:val="5FF92476"/>
    <w:rsid w:val="5FFB5535"/>
    <w:rsid w:val="613D4CE3"/>
    <w:rsid w:val="642F00A4"/>
    <w:rsid w:val="64CA39A1"/>
    <w:rsid w:val="6946316D"/>
    <w:rsid w:val="69630ADE"/>
    <w:rsid w:val="69BD5F13"/>
    <w:rsid w:val="69FB0B4B"/>
    <w:rsid w:val="6BFFE1FB"/>
    <w:rsid w:val="6C4A05C8"/>
    <w:rsid w:val="6CD36D8E"/>
    <w:rsid w:val="6D3B1A89"/>
    <w:rsid w:val="6D636719"/>
    <w:rsid w:val="6DB7D8A3"/>
    <w:rsid w:val="6E7B63EF"/>
    <w:rsid w:val="6EC78701"/>
    <w:rsid w:val="6F7A5481"/>
    <w:rsid w:val="6FFE07A9"/>
    <w:rsid w:val="70F16808"/>
    <w:rsid w:val="71BF4EC2"/>
    <w:rsid w:val="72734D90"/>
    <w:rsid w:val="73E75B71"/>
    <w:rsid w:val="7412278C"/>
    <w:rsid w:val="748103F8"/>
    <w:rsid w:val="758F6E2D"/>
    <w:rsid w:val="75DDCDA9"/>
    <w:rsid w:val="75FF44B1"/>
    <w:rsid w:val="77670518"/>
    <w:rsid w:val="777FA627"/>
    <w:rsid w:val="779C55E7"/>
    <w:rsid w:val="77DF1B5F"/>
    <w:rsid w:val="77EF2D9D"/>
    <w:rsid w:val="792115FE"/>
    <w:rsid w:val="79E7B28D"/>
    <w:rsid w:val="7ACFF0C2"/>
    <w:rsid w:val="7AFB9108"/>
    <w:rsid w:val="7BD5340C"/>
    <w:rsid w:val="7BFB19D2"/>
    <w:rsid w:val="7BFD1750"/>
    <w:rsid w:val="7BFDAA1B"/>
    <w:rsid w:val="7CDF9A82"/>
    <w:rsid w:val="7CFFA1BD"/>
    <w:rsid w:val="7D2E3F7A"/>
    <w:rsid w:val="7DDF4311"/>
    <w:rsid w:val="7DED9490"/>
    <w:rsid w:val="7DFF4872"/>
    <w:rsid w:val="7E7487E6"/>
    <w:rsid w:val="7E7C2A54"/>
    <w:rsid w:val="7EEEFD72"/>
    <w:rsid w:val="7F1D517C"/>
    <w:rsid w:val="7F2705A8"/>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3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firstLineChars="200"/>
    </w:pPr>
  </w:style>
  <w:style w:type="paragraph" w:styleId="3">
    <w:name w:val="Body Text Indent"/>
    <w:basedOn w:val="1"/>
    <w:next w:val="2"/>
    <w:qFormat/>
    <w:uiPriority w:val="0"/>
    <w:pPr>
      <w:spacing w:after="120"/>
      <w:ind w:left="200" w:leftChars="200"/>
    </w:pPr>
    <w:rPr>
      <w:rFonts w:ascii="仿宋_GB2312"/>
      <w:szCs w:val="32"/>
    </w:rPr>
  </w:style>
  <w:style w:type="paragraph" w:styleId="4">
    <w:name w:val="Body Text"/>
    <w:basedOn w:val="1"/>
    <w:link w:val="26"/>
    <w:qFormat/>
    <w:uiPriority w:val="99"/>
    <w:pPr>
      <w:spacing w:beforeLines="30"/>
    </w:pPr>
    <w:rPr>
      <w:rFonts w:ascii="仿宋_GB2312" w:eastAsia="仿宋_GB2312"/>
      <w:kern w:val="0"/>
      <w:sz w:val="30"/>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2"/>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unhideWhenUsed/>
    <w:qFormat/>
    <w:uiPriority w:val="99"/>
    <w:rPr>
      <w:sz w:val="24"/>
    </w:r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4"/>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5"/>
    <w:qFormat/>
    <w:uiPriority w:val="9"/>
    <w:rPr>
      <w:rFonts w:ascii="Times New Roman" w:hAnsi="Times New Roman"/>
      <w:b/>
      <w:bCs/>
      <w:kern w:val="44"/>
      <w:sz w:val="44"/>
      <w:szCs w:val="44"/>
    </w:rPr>
  </w:style>
  <w:style w:type="character" w:customStyle="1" w:styleId="30">
    <w:name w:val="标题 2 字符"/>
    <w:basedOn w:val="17"/>
    <w:link w:val="6"/>
    <w:qFormat/>
    <w:uiPriority w:val="9"/>
    <w:rPr>
      <w:rFonts w:asciiTheme="majorHAnsi" w:hAnsiTheme="majorHAnsi" w:eastAsiaTheme="majorEastAsia" w:cstheme="majorBidi"/>
      <w:b/>
      <w:bCs/>
      <w:kern w:val="2"/>
      <w:sz w:val="32"/>
      <w:szCs w:val="32"/>
    </w:rPr>
  </w:style>
  <w:style w:type="paragraph" w:customStyle="1" w:styleId="31">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9"/>
    <w:semiHidden/>
    <w:qFormat/>
    <w:uiPriority w:val="99"/>
    <w:rPr>
      <w:rFonts w:ascii="Times New Roman" w:hAnsi="Times New Roman"/>
      <w:kern w:val="2"/>
      <w:sz w:val="18"/>
      <w:szCs w:val="18"/>
    </w:rPr>
  </w:style>
  <w:style w:type="character" w:customStyle="1" w:styleId="33">
    <w:name w:val="标题 3 字符"/>
    <w:basedOn w:val="17"/>
    <w:link w:val="7"/>
    <w:qFormat/>
    <w:uiPriority w:val="9"/>
    <w:rPr>
      <w:rFonts w:ascii="Times New Roman" w:hAnsi="Times New Roman"/>
      <w:b/>
      <w:bCs/>
      <w:kern w:val="2"/>
      <w:sz w:val="32"/>
      <w:szCs w:val="32"/>
    </w:rPr>
  </w:style>
  <w:style w:type="paragraph" w:customStyle="1" w:styleId="34">
    <w:name w:val="TOC 标题2"/>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WPSOffice手动目录 1"/>
    <w:qFormat/>
    <w:uiPriority w:val="0"/>
    <w:pPr>
      <w:ind w:leftChars="0"/>
    </w:pPr>
    <w:rPr>
      <w:rFonts w:asciiTheme="minorHAnsi" w:hAnsiTheme="minorHAnsi" w:eastAsiaTheme="minorEastAsia" w:cstheme="minorBidi"/>
      <w:sz w:val="20"/>
      <w:szCs w:val="20"/>
    </w:rPr>
  </w:style>
  <w:style w:type="paragraph" w:customStyle="1" w:styleId="36">
    <w:name w:val="WPSOffice手动目录 2"/>
    <w:qFormat/>
    <w:uiPriority w:val="0"/>
    <w:pPr>
      <w:ind w:leftChars="200"/>
    </w:pPr>
    <w:rPr>
      <w:rFonts w:asciiTheme="minorHAnsi" w:hAnsiTheme="minorHAnsi" w:eastAsiaTheme="minorEastAsia" w:cstheme="minorBidi"/>
      <w:sz w:val="20"/>
      <w:szCs w:val="20"/>
    </w:rPr>
  </w:style>
  <w:style w:type="character" w:customStyle="1" w:styleId="37">
    <w:name w:val="标题 2 Char"/>
    <w:basedOn w:val="17"/>
    <w:link w:val="6"/>
    <w:qFormat/>
    <w:uiPriority w:val="9"/>
    <w:rPr>
      <w:rFonts w:ascii="Calibri Light" w:hAnsi="Calibri Light" w:eastAsia="宋体" w:cs="Times New Roman"/>
      <w:b/>
      <w:bCs/>
      <w:sz w:val="32"/>
      <w:szCs w:val="32"/>
    </w:rPr>
  </w:style>
  <w:style w:type="character" w:customStyle="1" w:styleId="38">
    <w:name w:val="标题 1 Char"/>
    <w:basedOn w:val="17"/>
    <w:link w:val="5"/>
    <w:qFormat/>
    <w:uiPriority w:val="9"/>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b="0">
                <a:latin typeface="方正小标宋简体" panose="03000509000000000000" pitchFamily="4" charset="-122"/>
                <a:ea typeface="方正小标宋简体" panose="03000509000000000000" pitchFamily="4" charset="-122"/>
              </a:rPr>
              <a:t>收、支决算总计变动情况图</a:t>
            </a:r>
            <a:endParaRPr b="0">
              <a:latin typeface="方正小标宋简体" panose="03000509000000000000" pitchFamily="4" charset="-122"/>
              <a:ea typeface="方正小标宋简体" panose="03000509000000000000" pitchFamily="4" charset="-122"/>
            </a:endParaRPr>
          </a:p>
        </c:rich>
      </c:tx>
      <c:layout/>
      <c:overlay val="0"/>
      <c:spPr>
        <a:noFill/>
        <a:ln>
          <a:noFill/>
        </a:ln>
        <a:effectLst/>
      </c:spPr>
    </c:title>
    <c:autoTitleDeleted val="0"/>
    <c:plotArea>
      <c:layout>
        <c:manualLayout>
          <c:layoutTarget val="inner"/>
          <c:xMode val="edge"/>
          <c:yMode val="edge"/>
          <c:x val="0.121859053923597"/>
          <c:y val="0.0967432950191571"/>
          <c:w val="0.858833264377327"/>
          <c:h val="0.824022988505747"/>
        </c:manualLayout>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dLbl>
              <c:idx val="1"/>
              <c:layout>
                <c:manualLayout>
                  <c:x val="0.014480761274307"/>
                  <c:y val="-0.00574712643678161"/>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2023年度决算收、支总计（万元）</c:v>
                </c:pt>
                <c:pt idx="1">
                  <c:v>2024年度决算收、支总计（万元）</c:v>
                </c:pt>
              </c:strCache>
            </c:strRef>
          </c:cat>
          <c:val>
            <c:numRef>
              <c:f>Sheet1!$B$2:$B$3</c:f>
              <c:numCache>
                <c:formatCode>General</c:formatCode>
                <c:ptCount val="2"/>
                <c:pt idx="0">
                  <c:v>1348.07</c:v>
                </c:pt>
                <c:pt idx="1">
                  <c:v>981.98</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2023年度决算收、支总计（万元）</c:v>
                </c:pt>
                <c:pt idx="1">
                  <c:v>2024年度决算收、支总计（万元）</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2023年度决算收、支总计（万元）</c:v>
                </c:pt>
                <c:pt idx="1">
                  <c:v>2024年度决算收、支总计（万元）</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75"/>
        <c:overlap val="0"/>
        <c:axId val="715943622"/>
        <c:axId val="293773231"/>
      </c:barChart>
      <c:catAx>
        <c:axId val="71594362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cap="none" spc="0" normalizeH="0" baseline="0">
                <a:solidFill>
                  <a:schemeClr val="tx1">
                    <a:lumMod val="65000"/>
                    <a:lumOff val="35000"/>
                  </a:schemeClr>
                </a:solidFill>
                <a:uFill>
                  <a:solidFill>
                    <a:schemeClr val="tx1">
                      <a:lumMod val="65000"/>
                      <a:lumOff val="35000"/>
                    </a:schemeClr>
                  </a:solidFill>
                </a:uFill>
                <a:latin typeface="+mn-lt"/>
                <a:ea typeface="仿宋_GB2312" panose="02010609030101010101" charset="-122"/>
                <a:cs typeface="+mn-cs"/>
              </a:defRPr>
            </a:pPr>
          </a:p>
        </c:txPr>
        <c:crossAx val="293773231"/>
        <c:crosses val="autoZero"/>
        <c:auto val="1"/>
        <c:lblAlgn val="ctr"/>
        <c:lblOffset val="100"/>
        <c:noMultiLvlLbl val="0"/>
      </c:catAx>
      <c:valAx>
        <c:axId val="29377323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5943622"/>
        <c:crosses val="autoZero"/>
        <c:crossBetween val="between"/>
      </c:valAx>
      <c:spPr>
        <a:noFill/>
        <a:ln>
          <a:noFill/>
        </a:ln>
        <a:effectLst/>
      </c:spPr>
    </c:plotArea>
    <c:plotVisOnly val="1"/>
    <c:dispBlanksAs val="gap"/>
    <c:showDLblsOverMax val="0"/>
    <c:extLst>
      <c:ext uri="{0b15fc19-7d7d-44ad-8c2d-2c3a37ce22c3}">
        <chartProps xmlns="https://web.wps.cn/et/2018/main" chartId="{d7514697-211b-4e68-a277-b9f919bd0844}"/>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1155"/>
          <c:y val="0.127"/>
          <c:w val="0.505"/>
          <c:h val="0.673333333333333"/>
        </c:manualLayout>
      </c:layout>
      <c:pieChart>
        <c:varyColors val="1"/>
        <c:ser>
          <c:idx val="0"/>
          <c:order val="0"/>
          <c:tx>
            <c:strRef>
              <c:f>Sheet1!$B$1</c:f>
              <c:strCache>
                <c:ptCount val="1"/>
                <c:pt idx="0">
                  <c:v>收入决算结构图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105784288383315"/>
                  <c:y val="-0.013431988975730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9</a:t>
                    </a:r>
                    <a:r>
                      <a:rPr lang="en-US" altLang="zh-CN"/>
                      <a:t>5.8</a:t>
                    </a:r>
                    <a:r>
                      <a:t>%</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1085"/>
                      <c:h val="0.087"/>
                    </c:manualLayout>
                  </c15:layout>
                </c:ext>
              </c:extLst>
            </c:dLbl>
            <c:dLbl>
              <c:idx val="1"/>
              <c:layout>
                <c:manualLayout>
                  <c:x val="-0.0624760608235695"/>
                  <c:y val="0.0293100066660849"/>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a:t>
                    </a:r>
                    <a:r>
                      <a:rPr lang="en-US" altLang="zh-CN"/>
                      <a:t>.2</a:t>
                    </a:r>
                    <a:r>
                      <a:t>%</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084375"/>
                      <c:h val="0.100166666666667"/>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一般公共预算财政拨款收入932.4万元</c:v>
                </c:pt>
                <c:pt idx="1">
                  <c:v>其他收入40.97万元</c:v>
                </c:pt>
              </c:strCache>
            </c:strRef>
          </c:cat>
          <c:val>
            <c:numRef>
              <c:f>Sheet1!$B$2:$B$3</c:f>
              <c:numCache>
                <c:formatCode>General</c:formatCode>
                <c:ptCount val="2"/>
                <c:pt idx="0">
                  <c:v>932.4</c:v>
                </c:pt>
                <c:pt idx="1">
                  <c:v>40.97</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manualLayout>
          <c:xMode val="edge"/>
          <c:yMode val="edge"/>
          <c:x val="0.65821908322947"/>
          <c:y val="0.401107594936709"/>
          <c:w val="0.326409084614319"/>
          <c:h val="0.20569620253164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97b4272-9a09-4d0b-9571-fbdc8dfdabd5}"/>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0791395045632334"/>
          <c:y val="0.160514233241506"/>
          <c:w val="0.52503259452412"/>
          <c:h val="0.739577594123049"/>
        </c:manualLayout>
      </c:layout>
      <c:pieChart>
        <c:varyColors val="1"/>
        <c:ser>
          <c:idx val="0"/>
          <c:order val="0"/>
          <c:tx>
            <c:strRef>
              <c:f>Sheet1!$B$1</c:f>
              <c:strCache>
                <c:ptCount val="1"/>
                <c:pt idx="0">
                  <c:v>支出决算结构图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manualLayout>
                  <c:x val="0.0483959547837237"/>
                  <c:y val="-0.016912444777023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294811633704566"/>
                  <c:y val="-0.0146967471640896"/>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基本支出859.37万元</c:v>
                </c:pt>
                <c:pt idx="1">
                  <c:v>项目支出114.99万元</c:v>
                </c:pt>
              </c:strCache>
            </c:strRef>
          </c:cat>
          <c:val>
            <c:numRef>
              <c:f>Sheet1!$B$2:$B$5</c:f>
              <c:numCache>
                <c:formatCode>General</c:formatCode>
                <c:ptCount val="4"/>
                <c:pt idx="0">
                  <c:v>859.37</c:v>
                </c:pt>
                <c:pt idx="1">
                  <c:v>114.99</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2"/>
        <c:delete val="1"/>
      </c:legendEntry>
      <c:legendEntry>
        <c:idx val="3"/>
        <c:delete val="1"/>
      </c:legendEntry>
      <c:layout>
        <c:manualLayout>
          <c:xMode val="edge"/>
          <c:yMode val="edge"/>
          <c:x val="0.686310299869622"/>
          <c:y val="0.444260789715335"/>
          <c:w val="0.298044328552803"/>
          <c:h val="0.14802571166207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bbcde3c-b794-4523-b76f-601c2883feb9}"/>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21</Pages>
  <Words>6300</Words>
  <Characters>6971</Characters>
  <Lines>54</Lines>
  <Paragraphs>15</Paragraphs>
  <TotalTime>1054</TotalTime>
  <ScaleCrop>false</ScaleCrop>
  <LinksUpToDate>false</LinksUpToDate>
  <CharactersWithSpaces>7113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余厚继</cp:lastModifiedBy>
  <cp:lastPrinted>2025-10-29T02:25:56Z</cp:lastPrinted>
  <dcterms:modified xsi:type="dcterms:W3CDTF">2025-10-29T02:53:02Z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7905617C926742B1A428557580BBFEE2_13</vt:lpwstr>
  </property>
  <property fmtid="{D5CDD505-2E9C-101B-9397-08002B2CF9AE}" pid="4" name="KSOTemplateDocerSaveRecord">
    <vt:lpwstr>eyJoZGlkIjoiZGE2ZjUyMTVlZTUyN2I4ODM5MDIzMDEyMmQ0ODY0NzMiLCJ1c2VySWQiOiIxNDg0NTY2ODEzIn0=</vt:lpwstr>
  </property>
</Properties>
</file>