
<file path=[Content_Types].xml><?xml version="1.0" encoding="utf-8"?>
<Types xmlns="http://schemas.openxmlformats.org/package/2006/content-types">
  <Default Extension="xml" ContentType="application/xml"/>
  <Default Extension="xlsx" ContentType="application/vnd.openxmlformats-officedocument.spreadsheetml.sheet"/>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style1.xml" ContentType="application/vnd.ms-office.chartstyle+xml"/>
  <Override PartName="/word/charts/style2.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D0ACA7">
      <w:pPr>
        <w:spacing w:line="600" w:lineRule="exact"/>
        <w:jc w:val="left"/>
        <w:outlineLvl w:val="9"/>
        <w:rPr>
          <w:rFonts w:ascii="方正小标宋简体" w:hAnsi="宋体" w:eastAsia="方正小标宋简体"/>
          <w:szCs w:val="21"/>
        </w:rPr>
      </w:pPr>
      <w:bookmarkStart w:id="0" w:name="_Toc15306267"/>
    </w:p>
    <w:p w14:paraId="2A55FB32">
      <w:pPr>
        <w:pStyle w:val="4"/>
        <w:spacing w:before="93"/>
      </w:pPr>
    </w:p>
    <w:p w14:paraId="0DAF9910">
      <w:pPr>
        <w:spacing w:line="600" w:lineRule="exact"/>
        <w:jc w:val="center"/>
        <w:outlineLvl w:val="9"/>
        <w:rPr>
          <w:rFonts w:ascii="方正小标宋简体" w:hAnsi="宋体" w:eastAsia="方正小标宋简体"/>
          <w:sz w:val="72"/>
          <w:szCs w:val="72"/>
        </w:rPr>
      </w:pPr>
    </w:p>
    <w:p w14:paraId="0C5FA5BF">
      <w:pPr>
        <w:spacing w:line="600" w:lineRule="exact"/>
        <w:jc w:val="center"/>
        <w:outlineLvl w:val="9"/>
        <w:rPr>
          <w:rFonts w:ascii="方正小标宋简体" w:hAnsi="宋体" w:eastAsia="方正小标宋简体"/>
          <w:sz w:val="72"/>
          <w:szCs w:val="72"/>
        </w:rPr>
      </w:pPr>
    </w:p>
    <w:bookmarkEnd w:id="0"/>
    <w:p w14:paraId="2F5A86EB">
      <w:pPr>
        <w:adjustRightInd w:val="0"/>
        <w:snapToGrid w:val="0"/>
        <w:spacing w:line="360" w:lineRule="auto"/>
        <w:jc w:val="center"/>
        <w:outlineLvl w:val="0"/>
        <w:rPr>
          <w:rFonts w:ascii="方正小标宋简体" w:hAnsi="方正小标宋简体" w:eastAsia="方正小标宋简体" w:cs="方正小标宋简体"/>
          <w:sz w:val="72"/>
          <w:szCs w:val="72"/>
        </w:rPr>
      </w:pPr>
      <w:bookmarkStart w:id="1" w:name="_Toc15396475"/>
      <w:bookmarkStart w:id="2" w:name="_Toc15378441"/>
      <w:bookmarkStart w:id="3" w:name="_Toc15377425"/>
      <w:bookmarkStart w:id="4" w:name="_Toc15377193"/>
      <w:bookmarkStart w:id="5" w:name="_Toc15396597"/>
      <w:bookmarkStart w:id="6" w:name="_Toc5104"/>
      <w:r>
        <w:rPr>
          <w:rFonts w:hint="eastAsia" w:ascii="方正小标宋简体" w:hAnsi="方正小标宋简体" w:eastAsia="方正小标宋简体" w:cs="方正小标宋简体"/>
          <w:sz w:val="72"/>
          <w:szCs w:val="72"/>
        </w:rPr>
        <w:t>202</w:t>
      </w:r>
      <w:r>
        <w:rPr>
          <w:rFonts w:hint="eastAsia" w:ascii="方正小标宋简体" w:hAnsi="方正小标宋简体" w:eastAsia="方正小标宋简体" w:cs="方正小标宋简体"/>
          <w:sz w:val="72"/>
          <w:szCs w:val="72"/>
          <w:lang w:val="en-US" w:eastAsia="zh-CN"/>
        </w:rPr>
        <w:t>4</w:t>
      </w:r>
      <w:r>
        <w:rPr>
          <w:rFonts w:hint="eastAsia" w:ascii="方正小标宋简体" w:hAnsi="方正小标宋简体" w:eastAsia="方正小标宋简体" w:cs="方正小标宋简体"/>
          <w:sz w:val="72"/>
          <w:szCs w:val="72"/>
        </w:rPr>
        <w:t>年度</w:t>
      </w:r>
      <w:bookmarkEnd w:id="1"/>
      <w:bookmarkEnd w:id="2"/>
      <w:bookmarkEnd w:id="3"/>
      <w:bookmarkEnd w:id="4"/>
      <w:bookmarkEnd w:id="5"/>
      <w:bookmarkEnd w:id="6"/>
    </w:p>
    <w:p w14:paraId="55F182FA">
      <w:pPr>
        <w:adjustRightInd w:val="0"/>
        <w:snapToGrid w:val="0"/>
        <w:spacing w:line="360" w:lineRule="auto"/>
        <w:jc w:val="center"/>
        <w:outlineLvl w:val="0"/>
        <w:rPr>
          <w:rFonts w:hint="eastAsia" w:ascii="方正小标宋简体" w:hAnsi="方正小标宋简体" w:eastAsia="方正小标宋简体" w:cs="方正小标宋简体"/>
          <w:sz w:val="72"/>
          <w:szCs w:val="72"/>
        </w:rPr>
      </w:pPr>
      <w:bookmarkStart w:id="7" w:name="_Toc14635"/>
      <w:bookmarkStart w:id="8" w:name="_Toc15377426"/>
      <w:bookmarkStart w:id="9" w:name="_Toc15377194"/>
      <w:bookmarkStart w:id="10" w:name="_Toc15396476"/>
      <w:bookmarkStart w:id="11" w:name="_Toc15378442"/>
      <w:bookmarkStart w:id="12" w:name="_Toc15396598"/>
      <w:r>
        <w:rPr>
          <w:rFonts w:hint="eastAsia" w:ascii="方正小标宋简体" w:hAnsi="方正小标宋简体" w:eastAsia="方正小标宋简体" w:cs="方正小标宋简体"/>
          <w:sz w:val="72"/>
          <w:szCs w:val="72"/>
        </w:rPr>
        <w:t>四川省</w:t>
      </w:r>
      <w:bookmarkStart w:id="13" w:name="_Toc15306268"/>
      <w:r>
        <w:rPr>
          <w:rFonts w:hint="eastAsia" w:ascii="方正小标宋简体" w:hAnsi="方正小标宋简体" w:eastAsia="方正小标宋简体" w:cs="方正小标宋简体"/>
          <w:sz w:val="72"/>
          <w:szCs w:val="72"/>
          <w:lang w:eastAsia="zh-CN"/>
        </w:rPr>
        <w:t>乐山市</w:t>
      </w:r>
      <w:r>
        <w:rPr>
          <w:rFonts w:hint="eastAsia" w:ascii="方正小标宋简体" w:hAnsi="方正小标宋简体" w:eastAsia="方正小标宋简体" w:cs="方正小标宋简体"/>
          <w:sz w:val="72"/>
          <w:szCs w:val="72"/>
        </w:rPr>
        <w:t>五通桥区</w:t>
      </w:r>
      <w:bookmarkEnd w:id="7"/>
    </w:p>
    <w:p w14:paraId="42E4C9A7">
      <w:pPr>
        <w:adjustRightInd w:val="0"/>
        <w:snapToGrid w:val="0"/>
        <w:spacing w:line="360" w:lineRule="auto"/>
        <w:jc w:val="center"/>
        <w:outlineLvl w:val="0"/>
        <w:rPr>
          <w:rFonts w:hint="eastAsia" w:ascii="方正小标宋简体" w:hAnsi="方正小标宋简体" w:eastAsia="方正小标宋简体" w:cs="方正小标宋简体"/>
          <w:sz w:val="72"/>
          <w:szCs w:val="72"/>
        </w:rPr>
      </w:pPr>
      <w:bookmarkStart w:id="14" w:name="_Toc27141"/>
      <w:r>
        <w:rPr>
          <w:rFonts w:hint="eastAsia" w:ascii="方正小标宋简体" w:hAnsi="方正小标宋简体" w:eastAsia="方正小标宋简体" w:cs="方正小标宋简体"/>
          <w:sz w:val="72"/>
          <w:szCs w:val="72"/>
        </w:rPr>
        <w:t>城市管理监察大队</w:t>
      </w:r>
      <w:bookmarkEnd w:id="14"/>
    </w:p>
    <w:p w14:paraId="28BF818E">
      <w:pPr>
        <w:adjustRightInd w:val="0"/>
        <w:snapToGrid w:val="0"/>
        <w:spacing w:line="360" w:lineRule="auto"/>
        <w:jc w:val="center"/>
        <w:outlineLvl w:val="0"/>
        <w:rPr>
          <w:rFonts w:ascii="方正小标宋简体" w:hAnsi="方正小标宋简体" w:eastAsia="方正小标宋简体" w:cs="方正小标宋简体"/>
          <w:sz w:val="72"/>
          <w:szCs w:val="72"/>
        </w:rPr>
      </w:pPr>
      <w:bookmarkStart w:id="15" w:name="_Toc19014"/>
      <w:r>
        <w:rPr>
          <w:rFonts w:hint="eastAsia" w:ascii="方正小标宋简体" w:hAnsi="方正小标宋简体" w:eastAsia="方正小标宋简体" w:cs="方正小标宋简体"/>
          <w:sz w:val="72"/>
          <w:szCs w:val="72"/>
        </w:rPr>
        <w:t>单位决算</w:t>
      </w:r>
      <w:bookmarkEnd w:id="8"/>
      <w:bookmarkEnd w:id="9"/>
      <w:bookmarkEnd w:id="10"/>
      <w:bookmarkEnd w:id="11"/>
      <w:bookmarkEnd w:id="12"/>
      <w:bookmarkEnd w:id="13"/>
      <w:bookmarkEnd w:id="15"/>
    </w:p>
    <w:p w14:paraId="36A09B57">
      <w:pPr>
        <w:widowControl/>
        <w:jc w:val="center"/>
        <w:rPr>
          <w:rFonts w:hint="eastAsia" w:ascii="黑体" w:hAnsi="黑体" w:eastAsia="黑体"/>
          <w:sz w:val="48"/>
          <w:szCs w:val="48"/>
        </w:rPr>
      </w:pPr>
      <w:bookmarkStart w:id="100" w:name="_GoBack"/>
      <w:bookmarkEnd w:id="100"/>
      <w:r>
        <w:rPr>
          <w:rFonts w:ascii="方正小标宋简体" w:hAnsi="宋体" w:eastAsia="方正小标宋简体"/>
          <w:sz w:val="36"/>
          <w:szCs w:val="36"/>
        </w:rPr>
        <w:br w:type="page"/>
      </w:r>
      <w:r>
        <w:rPr>
          <w:rFonts w:hint="eastAsia" w:ascii="黑体" w:hAnsi="黑体" w:eastAsia="黑体"/>
          <w:sz w:val="48"/>
          <w:szCs w:val="48"/>
        </w:rPr>
        <w:t>目录</w:t>
      </w:r>
    </w:p>
    <w:p w14:paraId="073CE62F">
      <w:pPr>
        <w:pStyle w:val="12"/>
      </w:pPr>
      <w:r>
        <w:rPr>
          <w:rFonts w:hint="eastAsia"/>
          <w:highlight w:val="none"/>
        </w:rPr>
        <w:t>公开时间：202</w:t>
      </w:r>
      <w:r>
        <w:rPr>
          <w:rFonts w:hint="eastAsia"/>
          <w:highlight w:val="none"/>
          <w:lang w:val="en-US" w:eastAsia="zh-CN"/>
        </w:rPr>
        <w:t>5</w:t>
      </w:r>
      <w:r>
        <w:rPr>
          <w:rFonts w:hint="eastAsia"/>
          <w:highlight w:val="none"/>
        </w:rPr>
        <w:t>年</w:t>
      </w:r>
      <w:r>
        <w:rPr>
          <w:rFonts w:hint="eastAsia"/>
          <w:highlight w:val="none"/>
          <w:lang w:val="en-US" w:eastAsia="zh-CN"/>
        </w:rPr>
        <w:t>10</w:t>
      </w:r>
      <w:r>
        <w:rPr>
          <w:rFonts w:hint="eastAsia"/>
          <w:highlight w:val="none"/>
        </w:rPr>
        <w:t>月</w:t>
      </w:r>
      <w:r>
        <w:rPr>
          <w:rFonts w:hint="eastAsia"/>
          <w:highlight w:val="none"/>
          <w:lang w:val="en-US" w:eastAsia="zh-CN"/>
        </w:rPr>
        <w:t>29</w:t>
      </w:r>
      <w:r>
        <w:rPr>
          <w:rFonts w:hint="eastAsia"/>
          <w:highlight w:val="none"/>
        </w:rPr>
        <w:t>日</w:t>
      </w:r>
    </w:p>
    <w:sdt>
      <w:sdtPr>
        <w:rPr>
          <w:rFonts w:ascii="宋体" w:hAnsi="宋体" w:eastAsia="宋体" w:cs="Times New Roman"/>
          <w:kern w:val="2"/>
          <w:sz w:val="21"/>
          <w:szCs w:val="24"/>
          <w:lang w:val="en-US" w:eastAsia="zh-CN" w:bidi="ar-SA"/>
        </w:rPr>
        <w:id w:val="147451590"/>
        <w15:color w:val="DBDBDB"/>
        <w:docPartObj>
          <w:docPartGallery w:val="Table of Contents"/>
          <w:docPartUnique/>
        </w:docPartObj>
      </w:sdtPr>
      <w:sdtEndPr>
        <w:rPr>
          <w:rFonts w:ascii="宋体" w:hAnsi="宋体" w:eastAsia="宋体" w:cs="Times New Roman"/>
          <w:b/>
          <w:kern w:val="2"/>
          <w:sz w:val="21"/>
          <w:szCs w:val="24"/>
          <w:lang w:val="en-US" w:eastAsia="zh-CN" w:bidi="ar-SA"/>
        </w:rPr>
      </w:sdtEndPr>
      <w:sdtContent>
        <w:p w14:paraId="6148734F">
          <w:pPr>
            <w:spacing w:before="0" w:beforeLines="0" w:after="0" w:afterLines="0" w:line="240" w:lineRule="auto"/>
            <w:ind w:left="0" w:leftChars="0" w:right="0" w:rightChars="0" w:firstLine="0" w:firstLineChars="0"/>
            <w:jc w:val="center"/>
            <w:rPr>
              <w:b/>
            </w:rPr>
          </w:pPr>
          <w:r>
            <w:fldChar w:fldCharType="begin"/>
          </w:r>
          <w:r>
            <w:instrText xml:space="preserve">TOC \o "1-2" \h \u </w:instrText>
          </w:r>
          <w:r>
            <w:fldChar w:fldCharType="separate"/>
          </w:r>
        </w:p>
        <w:p w14:paraId="720DB573">
          <w:pPr>
            <w:pStyle w:val="35"/>
            <w:tabs>
              <w:tab w:val="right" w:leader="dot" w:pos="8306"/>
            </w:tabs>
            <w:rPr>
              <w:b/>
            </w:rPr>
          </w:pPr>
          <w:r>
            <w:rPr>
              <w:b/>
            </w:rPr>
            <w:fldChar w:fldCharType="begin"/>
          </w:r>
          <w:r>
            <w:rPr>
              <w:b/>
            </w:rPr>
            <w:instrText xml:space="preserve"> HYPERLINK \l _Toc5058 </w:instrText>
          </w:r>
          <w:r>
            <w:rPr>
              <w:b/>
            </w:rPr>
            <w:fldChar w:fldCharType="separate"/>
          </w:r>
          <w:r>
            <w:rPr>
              <w:rFonts w:hint="eastAsia" w:ascii="黑体" w:hAnsi="黑体" w:eastAsia="黑体" w:cstheme="minorBidi"/>
              <w:b/>
              <w:bCs w:val="0"/>
            </w:rPr>
            <w:t>第一部分 单位概况</w:t>
          </w:r>
          <w:r>
            <w:rPr>
              <w:b/>
            </w:rPr>
            <w:tab/>
          </w:r>
          <w:r>
            <w:rPr>
              <w:b/>
            </w:rPr>
            <w:fldChar w:fldCharType="begin"/>
          </w:r>
          <w:r>
            <w:rPr>
              <w:b/>
            </w:rPr>
            <w:instrText xml:space="preserve"> PAGEREF _Toc5058 \h </w:instrText>
          </w:r>
          <w:r>
            <w:rPr>
              <w:b/>
            </w:rPr>
            <w:fldChar w:fldCharType="separate"/>
          </w:r>
          <w:r>
            <w:rPr>
              <w:b/>
            </w:rPr>
            <w:t>3</w:t>
          </w:r>
          <w:r>
            <w:rPr>
              <w:b/>
            </w:rPr>
            <w:fldChar w:fldCharType="end"/>
          </w:r>
          <w:r>
            <w:rPr>
              <w:b/>
            </w:rPr>
            <w:fldChar w:fldCharType="end"/>
          </w:r>
        </w:p>
        <w:p w14:paraId="7225FD22">
          <w:pPr>
            <w:pStyle w:val="36"/>
            <w:tabs>
              <w:tab w:val="right" w:leader="dot" w:pos="8306"/>
            </w:tabs>
          </w:pPr>
          <w:r>
            <w:fldChar w:fldCharType="begin"/>
          </w:r>
          <w:r>
            <w:instrText xml:space="preserve"> HYPERLINK \l _Toc28807 </w:instrText>
          </w:r>
          <w:r>
            <w:fldChar w:fldCharType="separate"/>
          </w:r>
          <w:r>
            <w:rPr>
              <w:rFonts w:hint="eastAsia" w:ascii="黑体" w:hAnsi="黑体" w:eastAsia="黑体"/>
              <w:bCs w:val="0"/>
            </w:rPr>
            <w:t>一、 主要职责</w:t>
          </w:r>
          <w:r>
            <w:tab/>
          </w:r>
          <w:r>
            <w:fldChar w:fldCharType="begin"/>
          </w:r>
          <w:r>
            <w:instrText xml:space="preserve"> PAGEREF _Toc28807 \h </w:instrText>
          </w:r>
          <w:r>
            <w:fldChar w:fldCharType="separate"/>
          </w:r>
          <w:r>
            <w:t>3</w:t>
          </w:r>
          <w:r>
            <w:fldChar w:fldCharType="end"/>
          </w:r>
          <w:r>
            <w:fldChar w:fldCharType="end"/>
          </w:r>
        </w:p>
        <w:p w14:paraId="64693D90">
          <w:pPr>
            <w:pStyle w:val="36"/>
            <w:tabs>
              <w:tab w:val="right" w:leader="dot" w:pos="8306"/>
            </w:tabs>
          </w:pPr>
          <w:r>
            <w:fldChar w:fldCharType="begin"/>
          </w:r>
          <w:r>
            <w:instrText xml:space="preserve"> HYPERLINK \l _Toc1725 </w:instrText>
          </w:r>
          <w:r>
            <w:fldChar w:fldCharType="separate"/>
          </w:r>
          <w:r>
            <w:rPr>
              <w:rFonts w:hint="eastAsia" w:ascii="黑体" w:hAnsi="黑体" w:eastAsia="黑体"/>
            </w:rPr>
            <w:t>二、机构设置</w:t>
          </w:r>
          <w:r>
            <w:tab/>
          </w:r>
          <w:r>
            <w:fldChar w:fldCharType="begin"/>
          </w:r>
          <w:r>
            <w:instrText xml:space="preserve"> PAGEREF _Toc1725 \h </w:instrText>
          </w:r>
          <w:r>
            <w:fldChar w:fldCharType="separate"/>
          </w:r>
          <w:r>
            <w:t>3</w:t>
          </w:r>
          <w:r>
            <w:fldChar w:fldCharType="end"/>
          </w:r>
          <w:r>
            <w:fldChar w:fldCharType="end"/>
          </w:r>
        </w:p>
        <w:p w14:paraId="20E70141">
          <w:pPr>
            <w:pStyle w:val="35"/>
            <w:tabs>
              <w:tab w:val="right" w:leader="dot" w:pos="8306"/>
            </w:tabs>
            <w:rPr>
              <w:b/>
            </w:rPr>
          </w:pPr>
          <w:r>
            <w:rPr>
              <w:b/>
            </w:rPr>
            <w:fldChar w:fldCharType="begin"/>
          </w:r>
          <w:r>
            <w:rPr>
              <w:b/>
            </w:rPr>
            <w:instrText xml:space="preserve"> HYPERLINK \l _Toc30199 </w:instrText>
          </w:r>
          <w:r>
            <w:rPr>
              <w:b/>
            </w:rPr>
            <w:fldChar w:fldCharType="separate"/>
          </w:r>
          <w:r>
            <w:rPr>
              <w:rFonts w:hint="eastAsia" w:ascii="黑体" w:hAnsi="黑体" w:eastAsia="黑体"/>
              <w:b/>
            </w:rPr>
            <w:t xml:space="preserve">第二部分 </w:t>
          </w:r>
          <w:r>
            <w:rPr>
              <w:rFonts w:hint="eastAsia" w:ascii="黑体" w:hAnsi="黑体" w:eastAsia="黑体"/>
              <w:b/>
              <w:lang w:eastAsia="zh-CN"/>
            </w:rPr>
            <w:t>2024</w:t>
          </w:r>
          <w:r>
            <w:rPr>
              <w:rFonts w:hint="eastAsia" w:ascii="黑体" w:hAnsi="黑体" w:eastAsia="黑体"/>
              <w:b/>
            </w:rPr>
            <w:t>年度</w:t>
          </w:r>
          <w:r>
            <w:rPr>
              <w:rFonts w:hint="eastAsia" w:ascii="黑体" w:hAnsi="黑体" w:eastAsia="黑体"/>
              <w:b/>
              <w:bCs/>
            </w:rPr>
            <w:t>单位决算情况说明</w:t>
          </w:r>
          <w:r>
            <w:rPr>
              <w:b/>
            </w:rPr>
            <w:tab/>
          </w:r>
          <w:r>
            <w:rPr>
              <w:b/>
            </w:rPr>
            <w:fldChar w:fldCharType="begin"/>
          </w:r>
          <w:r>
            <w:rPr>
              <w:b/>
            </w:rPr>
            <w:instrText xml:space="preserve"> PAGEREF _Toc30199 \h </w:instrText>
          </w:r>
          <w:r>
            <w:rPr>
              <w:b/>
            </w:rPr>
            <w:fldChar w:fldCharType="separate"/>
          </w:r>
          <w:r>
            <w:rPr>
              <w:b/>
            </w:rPr>
            <w:t>4</w:t>
          </w:r>
          <w:r>
            <w:rPr>
              <w:b/>
            </w:rPr>
            <w:fldChar w:fldCharType="end"/>
          </w:r>
          <w:r>
            <w:rPr>
              <w:b/>
            </w:rPr>
            <w:fldChar w:fldCharType="end"/>
          </w:r>
        </w:p>
        <w:p w14:paraId="3CAD3EAC">
          <w:pPr>
            <w:pStyle w:val="36"/>
            <w:tabs>
              <w:tab w:val="right" w:leader="dot" w:pos="8306"/>
            </w:tabs>
          </w:pPr>
          <w:r>
            <w:fldChar w:fldCharType="begin"/>
          </w:r>
          <w:r>
            <w:instrText xml:space="preserve"> HYPERLINK \l _Toc11369 </w:instrText>
          </w:r>
          <w:r>
            <w:fldChar w:fldCharType="separate"/>
          </w:r>
          <w:r>
            <w:rPr>
              <w:rFonts w:hint="default" w:ascii="黑体" w:hAnsi="黑体" w:eastAsia="黑体"/>
            </w:rPr>
            <w:t xml:space="preserve">一、 </w:t>
          </w:r>
          <w:r>
            <w:rPr>
              <w:rFonts w:hint="eastAsia" w:ascii="黑体" w:hAnsi="黑体" w:eastAsia="黑体"/>
              <w:szCs w:val="32"/>
            </w:rPr>
            <w:t>收</w:t>
          </w:r>
          <w:r>
            <w:rPr>
              <w:rFonts w:hint="eastAsia" w:ascii="黑体" w:hAnsi="黑体" w:eastAsia="黑体"/>
            </w:rPr>
            <w:t>入支出决算总体情况说明</w:t>
          </w:r>
          <w:r>
            <w:tab/>
          </w:r>
          <w:r>
            <w:fldChar w:fldCharType="begin"/>
          </w:r>
          <w:r>
            <w:instrText xml:space="preserve"> PAGEREF _Toc11369 \h </w:instrText>
          </w:r>
          <w:r>
            <w:fldChar w:fldCharType="separate"/>
          </w:r>
          <w:r>
            <w:t>4</w:t>
          </w:r>
          <w:r>
            <w:fldChar w:fldCharType="end"/>
          </w:r>
          <w:r>
            <w:fldChar w:fldCharType="end"/>
          </w:r>
        </w:p>
        <w:p w14:paraId="28C9F80A">
          <w:pPr>
            <w:pStyle w:val="36"/>
            <w:tabs>
              <w:tab w:val="right" w:leader="dot" w:pos="8306"/>
            </w:tabs>
          </w:pPr>
          <w:r>
            <w:fldChar w:fldCharType="begin"/>
          </w:r>
          <w:r>
            <w:instrText xml:space="preserve"> HYPERLINK \l _Toc28580 </w:instrText>
          </w:r>
          <w:r>
            <w:fldChar w:fldCharType="separate"/>
          </w:r>
          <w:r>
            <w:rPr>
              <w:rFonts w:hint="default" w:ascii="黑体" w:hAnsi="黑体" w:eastAsia="黑体"/>
            </w:rPr>
            <w:t xml:space="preserve">二、 </w:t>
          </w:r>
          <w:r>
            <w:rPr>
              <w:rFonts w:hint="eastAsia" w:ascii="黑体" w:hAnsi="黑体" w:eastAsia="黑体"/>
              <w:szCs w:val="32"/>
            </w:rPr>
            <w:t>收</w:t>
          </w:r>
          <w:r>
            <w:rPr>
              <w:rFonts w:hint="eastAsia" w:ascii="黑体" w:hAnsi="黑体" w:eastAsia="黑体"/>
            </w:rPr>
            <w:t>入决算情况说明</w:t>
          </w:r>
          <w:r>
            <w:tab/>
          </w:r>
          <w:r>
            <w:fldChar w:fldCharType="begin"/>
          </w:r>
          <w:r>
            <w:instrText xml:space="preserve"> PAGEREF _Toc28580 \h </w:instrText>
          </w:r>
          <w:r>
            <w:fldChar w:fldCharType="separate"/>
          </w:r>
          <w:r>
            <w:t>4</w:t>
          </w:r>
          <w:r>
            <w:fldChar w:fldCharType="end"/>
          </w:r>
          <w:r>
            <w:fldChar w:fldCharType="end"/>
          </w:r>
        </w:p>
        <w:p w14:paraId="0C66993B">
          <w:pPr>
            <w:pStyle w:val="36"/>
            <w:tabs>
              <w:tab w:val="right" w:leader="dot" w:pos="8306"/>
            </w:tabs>
          </w:pPr>
          <w:r>
            <w:fldChar w:fldCharType="begin"/>
          </w:r>
          <w:r>
            <w:instrText xml:space="preserve"> HYPERLINK \l _Toc3068 </w:instrText>
          </w:r>
          <w:r>
            <w:fldChar w:fldCharType="separate"/>
          </w:r>
          <w:r>
            <w:rPr>
              <w:rFonts w:hint="default" w:ascii="黑体" w:hAnsi="黑体" w:eastAsia="黑体"/>
            </w:rPr>
            <w:t xml:space="preserve">三、 </w:t>
          </w:r>
          <w:r>
            <w:rPr>
              <w:rFonts w:hint="eastAsia" w:ascii="黑体" w:hAnsi="黑体" w:eastAsia="黑体"/>
              <w:szCs w:val="32"/>
            </w:rPr>
            <w:t>支</w:t>
          </w:r>
          <w:r>
            <w:rPr>
              <w:rFonts w:hint="eastAsia" w:ascii="黑体" w:hAnsi="黑体" w:eastAsia="黑体"/>
            </w:rPr>
            <w:t>出决算情况说明</w:t>
          </w:r>
          <w:r>
            <w:tab/>
          </w:r>
          <w:r>
            <w:fldChar w:fldCharType="begin"/>
          </w:r>
          <w:r>
            <w:instrText xml:space="preserve"> PAGEREF _Toc3068 \h </w:instrText>
          </w:r>
          <w:r>
            <w:fldChar w:fldCharType="separate"/>
          </w:r>
          <w:r>
            <w:t>5</w:t>
          </w:r>
          <w:r>
            <w:fldChar w:fldCharType="end"/>
          </w:r>
          <w:r>
            <w:fldChar w:fldCharType="end"/>
          </w:r>
        </w:p>
        <w:p w14:paraId="57DB297B">
          <w:pPr>
            <w:pStyle w:val="36"/>
            <w:tabs>
              <w:tab w:val="right" w:leader="dot" w:pos="8306"/>
            </w:tabs>
          </w:pPr>
          <w:r>
            <w:fldChar w:fldCharType="begin"/>
          </w:r>
          <w:r>
            <w:instrText xml:space="preserve"> HYPERLINK \l _Toc1235 </w:instrText>
          </w:r>
          <w:r>
            <w:fldChar w:fldCharType="separate"/>
          </w:r>
          <w:r>
            <w:rPr>
              <w:rFonts w:hint="eastAsia" w:ascii="黑体" w:hAnsi="黑体" w:eastAsia="黑体"/>
              <w:szCs w:val="32"/>
            </w:rPr>
            <w:t>四、财</w:t>
          </w:r>
          <w:r>
            <w:rPr>
              <w:rFonts w:hint="eastAsia" w:ascii="黑体" w:hAnsi="黑体" w:eastAsia="黑体"/>
            </w:rPr>
            <w:t>政拨款收入支出决算总体情况说明</w:t>
          </w:r>
          <w:r>
            <w:tab/>
          </w:r>
          <w:r>
            <w:fldChar w:fldCharType="begin"/>
          </w:r>
          <w:r>
            <w:instrText xml:space="preserve"> PAGEREF _Toc1235 \h </w:instrText>
          </w:r>
          <w:r>
            <w:fldChar w:fldCharType="separate"/>
          </w:r>
          <w:r>
            <w:t>5</w:t>
          </w:r>
          <w:r>
            <w:fldChar w:fldCharType="end"/>
          </w:r>
          <w:r>
            <w:fldChar w:fldCharType="end"/>
          </w:r>
        </w:p>
        <w:p w14:paraId="3847CE0C">
          <w:pPr>
            <w:pStyle w:val="36"/>
            <w:tabs>
              <w:tab w:val="right" w:leader="dot" w:pos="8306"/>
            </w:tabs>
          </w:pPr>
          <w:r>
            <w:fldChar w:fldCharType="begin"/>
          </w:r>
          <w:r>
            <w:instrText xml:space="preserve"> HYPERLINK \l _Toc10813 </w:instrText>
          </w:r>
          <w:r>
            <w:fldChar w:fldCharType="separate"/>
          </w:r>
          <w:r>
            <w:rPr>
              <w:rFonts w:hint="eastAsia" w:ascii="黑体" w:hAnsi="黑体" w:eastAsia="黑体"/>
              <w:szCs w:val="32"/>
            </w:rPr>
            <w:t>五、一</w:t>
          </w:r>
          <w:r>
            <w:rPr>
              <w:rFonts w:hint="eastAsia" w:ascii="黑体" w:hAnsi="黑体" w:eastAsia="黑体"/>
            </w:rPr>
            <w:t>般公共预算财政拨款支出决算情况说明</w:t>
          </w:r>
          <w:r>
            <w:tab/>
          </w:r>
          <w:r>
            <w:fldChar w:fldCharType="begin"/>
          </w:r>
          <w:r>
            <w:instrText xml:space="preserve"> PAGEREF _Toc10813 \h </w:instrText>
          </w:r>
          <w:r>
            <w:fldChar w:fldCharType="separate"/>
          </w:r>
          <w:r>
            <w:t>6</w:t>
          </w:r>
          <w:r>
            <w:fldChar w:fldCharType="end"/>
          </w:r>
          <w:r>
            <w:fldChar w:fldCharType="end"/>
          </w:r>
        </w:p>
        <w:p w14:paraId="3875DB4E">
          <w:pPr>
            <w:pStyle w:val="36"/>
            <w:tabs>
              <w:tab w:val="right" w:leader="dot" w:pos="8306"/>
            </w:tabs>
          </w:pPr>
          <w:r>
            <w:fldChar w:fldCharType="begin"/>
          </w:r>
          <w:r>
            <w:instrText xml:space="preserve"> HYPERLINK \l _Toc23249 </w:instrText>
          </w:r>
          <w:r>
            <w:fldChar w:fldCharType="separate"/>
          </w:r>
          <w:r>
            <w:rPr>
              <w:rFonts w:hint="eastAsia" w:ascii="黑体" w:eastAsia="黑体"/>
              <w:szCs w:val="32"/>
            </w:rPr>
            <w:t>六、</w:t>
          </w:r>
          <w:r>
            <w:rPr>
              <w:rFonts w:hint="eastAsia" w:ascii="黑体" w:hAnsi="黑体" w:eastAsia="黑体"/>
              <w:szCs w:val="32"/>
            </w:rPr>
            <w:t>一</w:t>
          </w:r>
          <w:r>
            <w:rPr>
              <w:rFonts w:hint="eastAsia" w:ascii="黑体" w:hAnsi="黑体" w:eastAsia="黑体"/>
            </w:rPr>
            <w:t>般公共预算财政拨款基本支出决算情况说明</w:t>
          </w:r>
          <w:r>
            <w:tab/>
          </w:r>
          <w:r>
            <w:fldChar w:fldCharType="begin"/>
          </w:r>
          <w:r>
            <w:instrText xml:space="preserve"> PAGEREF _Toc23249 \h </w:instrText>
          </w:r>
          <w:r>
            <w:fldChar w:fldCharType="separate"/>
          </w:r>
          <w:r>
            <w:t>9</w:t>
          </w:r>
          <w:r>
            <w:fldChar w:fldCharType="end"/>
          </w:r>
          <w:r>
            <w:fldChar w:fldCharType="end"/>
          </w:r>
        </w:p>
        <w:p w14:paraId="74EDBCE3">
          <w:pPr>
            <w:pStyle w:val="36"/>
            <w:tabs>
              <w:tab w:val="right" w:leader="dot" w:pos="8306"/>
            </w:tabs>
          </w:pPr>
          <w:r>
            <w:fldChar w:fldCharType="begin"/>
          </w:r>
          <w:r>
            <w:instrText xml:space="preserve"> HYPERLINK \l _Toc15949 </w:instrText>
          </w:r>
          <w:r>
            <w:fldChar w:fldCharType="separate"/>
          </w:r>
          <w:r>
            <w:rPr>
              <w:rFonts w:hint="eastAsia" w:ascii="黑体" w:eastAsia="黑体"/>
              <w:szCs w:val="32"/>
            </w:rPr>
            <w:t>七、</w:t>
          </w:r>
          <w:r>
            <w:rPr>
              <w:rFonts w:hint="eastAsia" w:ascii="黑体" w:hAnsi="黑体" w:eastAsia="黑体"/>
            </w:rPr>
            <w:t>财政拨款“三公”经费支出决算情况说明</w:t>
          </w:r>
          <w:r>
            <w:tab/>
          </w:r>
          <w:r>
            <w:fldChar w:fldCharType="begin"/>
          </w:r>
          <w:r>
            <w:instrText xml:space="preserve"> PAGEREF _Toc15949 \h </w:instrText>
          </w:r>
          <w:r>
            <w:fldChar w:fldCharType="separate"/>
          </w:r>
          <w:r>
            <w:t>10</w:t>
          </w:r>
          <w:r>
            <w:fldChar w:fldCharType="end"/>
          </w:r>
          <w:r>
            <w:fldChar w:fldCharType="end"/>
          </w:r>
        </w:p>
        <w:p w14:paraId="4049D5B5">
          <w:pPr>
            <w:pStyle w:val="36"/>
            <w:tabs>
              <w:tab w:val="right" w:leader="dot" w:pos="8306"/>
            </w:tabs>
          </w:pPr>
          <w:r>
            <w:fldChar w:fldCharType="begin"/>
          </w:r>
          <w:r>
            <w:instrText xml:space="preserve"> HYPERLINK \l _Toc27934 </w:instrText>
          </w:r>
          <w:r>
            <w:fldChar w:fldCharType="separate"/>
          </w:r>
          <w:r>
            <w:rPr>
              <w:rFonts w:hint="eastAsia" w:ascii="黑体" w:eastAsia="黑体"/>
              <w:szCs w:val="32"/>
            </w:rPr>
            <w:t>八、</w:t>
          </w:r>
          <w:r>
            <w:rPr>
              <w:rFonts w:hint="eastAsia" w:ascii="黑体" w:hAnsi="黑体" w:eastAsia="黑体"/>
            </w:rPr>
            <w:t>政府性基金预算支出决算情况说明</w:t>
          </w:r>
          <w:r>
            <w:tab/>
          </w:r>
          <w:r>
            <w:fldChar w:fldCharType="begin"/>
          </w:r>
          <w:r>
            <w:instrText xml:space="preserve"> PAGEREF _Toc27934 \h </w:instrText>
          </w:r>
          <w:r>
            <w:fldChar w:fldCharType="separate"/>
          </w:r>
          <w:r>
            <w:t>11</w:t>
          </w:r>
          <w:r>
            <w:fldChar w:fldCharType="end"/>
          </w:r>
          <w:r>
            <w:fldChar w:fldCharType="end"/>
          </w:r>
        </w:p>
        <w:p w14:paraId="0A5B3A3F">
          <w:pPr>
            <w:pStyle w:val="36"/>
            <w:tabs>
              <w:tab w:val="right" w:leader="dot" w:pos="8306"/>
            </w:tabs>
          </w:pPr>
          <w:r>
            <w:fldChar w:fldCharType="begin"/>
          </w:r>
          <w:r>
            <w:instrText xml:space="preserve"> HYPERLINK \l _Toc27152 </w:instrText>
          </w:r>
          <w:r>
            <w:fldChar w:fldCharType="separate"/>
          </w:r>
          <w:r>
            <w:rPr>
              <w:rFonts w:hint="eastAsia" w:ascii="黑体" w:hAnsi="黑体" w:eastAsia="黑体"/>
            </w:rPr>
            <w:t>九、 国有资本经营预算支出决算情况说明</w:t>
          </w:r>
          <w:r>
            <w:tab/>
          </w:r>
          <w:r>
            <w:fldChar w:fldCharType="begin"/>
          </w:r>
          <w:r>
            <w:instrText xml:space="preserve"> PAGEREF _Toc27152 \h </w:instrText>
          </w:r>
          <w:r>
            <w:fldChar w:fldCharType="separate"/>
          </w:r>
          <w:r>
            <w:t>12</w:t>
          </w:r>
          <w:r>
            <w:fldChar w:fldCharType="end"/>
          </w:r>
          <w:r>
            <w:fldChar w:fldCharType="end"/>
          </w:r>
        </w:p>
        <w:p w14:paraId="3322454E">
          <w:pPr>
            <w:pStyle w:val="36"/>
            <w:tabs>
              <w:tab w:val="right" w:leader="dot" w:pos="8306"/>
            </w:tabs>
          </w:pPr>
          <w:r>
            <w:fldChar w:fldCharType="begin"/>
          </w:r>
          <w:r>
            <w:instrText xml:space="preserve"> HYPERLINK \l _Toc22393 </w:instrText>
          </w:r>
          <w:r>
            <w:fldChar w:fldCharType="separate"/>
          </w:r>
          <w:r>
            <w:rPr>
              <w:rFonts w:hint="eastAsia" w:ascii="黑体" w:hAnsi="黑体" w:eastAsia="黑体"/>
            </w:rPr>
            <w:t>十、 其他重要事项的情况说明</w:t>
          </w:r>
          <w:r>
            <w:tab/>
          </w:r>
          <w:r>
            <w:fldChar w:fldCharType="begin"/>
          </w:r>
          <w:r>
            <w:instrText xml:space="preserve"> PAGEREF _Toc22393 \h </w:instrText>
          </w:r>
          <w:r>
            <w:fldChar w:fldCharType="separate"/>
          </w:r>
          <w:r>
            <w:t>12</w:t>
          </w:r>
          <w:r>
            <w:fldChar w:fldCharType="end"/>
          </w:r>
          <w:r>
            <w:fldChar w:fldCharType="end"/>
          </w:r>
        </w:p>
        <w:p w14:paraId="53E90BA4">
          <w:pPr>
            <w:pStyle w:val="35"/>
            <w:tabs>
              <w:tab w:val="right" w:leader="dot" w:pos="8306"/>
            </w:tabs>
            <w:rPr>
              <w:b/>
            </w:rPr>
          </w:pPr>
          <w:r>
            <w:rPr>
              <w:b/>
            </w:rPr>
            <w:fldChar w:fldCharType="begin"/>
          </w:r>
          <w:r>
            <w:rPr>
              <w:b/>
            </w:rPr>
            <w:instrText xml:space="preserve"> HYPERLINK \l _Toc8495 </w:instrText>
          </w:r>
          <w:r>
            <w:rPr>
              <w:b/>
            </w:rPr>
            <w:fldChar w:fldCharType="separate"/>
          </w:r>
          <w:r>
            <w:rPr>
              <w:rFonts w:hint="eastAsia" w:ascii="黑体" w:hAnsi="黑体" w:eastAsia="黑体" w:cs="黑体"/>
              <w:b/>
              <w:szCs w:val="44"/>
            </w:rPr>
            <w:t xml:space="preserve">第三部分 </w:t>
          </w:r>
          <w:r>
            <w:rPr>
              <w:rFonts w:hint="eastAsia" w:ascii="黑体" w:hAnsi="黑体" w:eastAsia="黑体"/>
              <w:b/>
              <w:szCs w:val="44"/>
            </w:rPr>
            <w:t>名</w:t>
          </w:r>
          <w:r>
            <w:rPr>
              <w:rFonts w:hint="eastAsia" w:ascii="黑体" w:hAnsi="黑体" w:eastAsia="黑体"/>
              <w:b/>
            </w:rPr>
            <w:t>词解释</w:t>
          </w:r>
          <w:r>
            <w:rPr>
              <w:b/>
            </w:rPr>
            <w:tab/>
          </w:r>
          <w:r>
            <w:rPr>
              <w:b/>
            </w:rPr>
            <w:fldChar w:fldCharType="begin"/>
          </w:r>
          <w:r>
            <w:rPr>
              <w:b/>
            </w:rPr>
            <w:instrText xml:space="preserve"> PAGEREF _Toc8495 \h </w:instrText>
          </w:r>
          <w:r>
            <w:rPr>
              <w:b/>
            </w:rPr>
            <w:fldChar w:fldCharType="separate"/>
          </w:r>
          <w:r>
            <w:rPr>
              <w:b/>
            </w:rPr>
            <w:t>14</w:t>
          </w:r>
          <w:r>
            <w:rPr>
              <w:b/>
            </w:rPr>
            <w:fldChar w:fldCharType="end"/>
          </w:r>
          <w:r>
            <w:rPr>
              <w:b/>
            </w:rPr>
            <w:fldChar w:fldCharType="end"/>
          </w:r>
        </w:p>
        <w:p w14:paraId="31470C1F">
          <w:pPr>
            <w:pStyle w:val="35"/>
            <w:tabs>
              <w:tab w:val="right" w:leader="dot" w:pos="8306"/>
            </w:tabs>
            <w:rPr>
              <w:b/>
            </w:rPr>
          </w:pPr>
          <w:r>
            <w:rPr>
              <w:b/>
            </w:rPr>
            <w:fldChar w:fldCharType="begin"/>
          </w:r>
          <w:r>
            <w:rPr>
              <w:b/>
            </w:rPr>
            <w:instrText xml:space="preserve"> HYPERLINK \l _Toc4653 </w:instrText>
          </w:r>
          <w:r>
            <w:rPr>
              <w:b/>
            </w:rPr>
            <w:fldChar w:fldCharType="separate"/>
          </w:r>
          <w:r>
            <w:rPr>
              <w:rFonts w:hint="eastAsia" w:ascii="黑体" w:hAnsi="黑体" w:eastAsia="黑体"/>
              <w:b/>
              <w:szCs w:val="44"/>
            </w:rPr>
            <w:t>第</w:t>
          </w:r>
          <w:r>
            <w:rPr>
              <w:rFonts w:hint="eastAsia" w:ascii="黑体" w:hAnsi="黑体" w:eastAsia="黑体"/>
              <w:b/>
            </w:rPr>
            <w:t>四部分 附件</w:t>
          </w:r>
          <w:r>
            <w:rPr>
              <w:b/>
            </w:rPr>
            <w:tab/>
          </w:r>
          <w:r>
            <w:rPr>
              <w:b/>
            </w:rPr>
            <w:fldChar w:fldCharType="begin"/>
          </w:r>
          <w:r>
            <w:rPr>
              <w:b/>
            </w:rPr>
            <w:instrText xml:space="preserve"> PAGEREF _Toc4653 \h </w:instrText>
          </w:r>
          <w:r>
            <w:rPr>
              <w:b/>
            </w:rPr>
            <w:fldChar w:fldCharType="separate"/>
          </w:r>
          <w:r>
            <w:rPr>
              <w:b/>
            </w:rPr>
            <w:t>18</w:t>
          </w:r>
          <w:r>
            <w:rPr>
              <w:b/>
            </w:rPr>
            <w:fldChar w:fldCharType="end"/>
          </w:r>
          <w:r>
            <w:rPr>
              <w:b/>
            </w:rPr>
            <w:fldChar w:fldCharType="end"/>
          </w:r>
        </w:p>
        <w:p w14:paraId="48567212">
          <w:pPr>
            <w:pStyle w:val="35"/>
            <w:tabs>
              <w:tab w:val="right" w:leader="dot" w:pos="8306"/>
            </w:tabs>
            <w:rPr>
              <w:rFonts w:hint="default" w:eastAsiaTheme="minorEastAsia"/>
              <w:b/>
              <w:lang w:val="en-US" w:eastAsia="zh-CN"/>
            </w:rPr>
          </w:pPr>
          <w:r>
            <w:rPr>
              <w:b/>
            </w:rPr>
            <w:fldChar w:fldCharType="begin"/>
          </w:r>
          <w:r>
            <w:rPr>
              <w:b/>
            </w:rPr>
            <w:instrText xml:space="preserve"> HYPERLINK \l _Toc27259 </w:instrText>
          </w:r>
          <w:r>
            <w:rPr>
              <w:b/>
            </w:rPr>
            <w:fldChar w:fldCharType="separate"/>
          </w:r>
          <w:r>
            <w:rPr>
              <w:rFonts w:hint="eastAsia" w:ascii="黑体" w:hAnsi="黑体" w:eastAsia="黑体"/>
              <w:b/>
              <w:szCs w:val="44"/>
            </w:rPr>
            <w:t>第</w:t>
          </w:r>
          <w:r>
            <w:rPr>
              <w:rFonts w:hint="eastAsia" w:ascii="黑体" w:hAnsi="黑体" w:eastAsia="黑体"/>
              <w:b/>
              <w:bCs/>
            </w:rPr>
            <w:t>五部分 附表</w:t>
          </w:r>
          <w:r>
            <w:rPr>
              <w:b/>
            </w:rPr>
            <w:tab/>
          </w:r>
          <w:r>
            <w:rPr>
              <w:b/>
            </w:rPr>
            <w:fldChar w:fldCharType="end"/>
          </w:r>
          <w:r>
            <w:rPr>
              <w:rFonts w:hint="eastAsia"/>
              <w:b/>
              <w:lang w:val="en-US" w:eastAsia="zh-CN"/>
            </w:rPr>
            <w:t>19</w:t>
          </w:r>
        </w:p>
        <w:p w14:paraId="4B0FA179">
          <w:pPr>
            <w:pStyle w:val="36"/>
            <w:tabs>
              <w:tab w:val="right" w:leader="dot" w:pos="8306"/>
            </w:tabs>
            <w:rPr>
              <w:rFonts w:hint="eastAsia" w:ascii="黑体" w:hAnsi="黑体" w:eastAsia="黑体"/>
            </w:rPr>
          </w:pPr>
          <w:r>
            <w:rPr>
              <w:rFonts w:hint="eastAsia" w:ascii="黑体" w:hAnsi="黑体" w:eastAsia="黑体"/>
            </w:rPr>
            <w:fldChar w:fldCharType="begin"/>
          </w:r>
          <w:r>
            <w:rPr>
              <w:rFonts w:hint="eastAsia" w:ascii="黑体" w:hAnsi="黑体" w:eastAsia="黑体"/>
            </w:rPr>
            <w:instrText xml:space="preserve"> HYPERLINK \l _Toc18903 </w:instrText>
          </w:r>
          <w:r>
            <w:rPr>
              <w:rFonts w:hint="eastAsia" w:ascii="黑体" w:hAnsi="黑体" w:eastAsia="黑体"/>
            </w:rPr>
            <w:fldChar w:fldCharType="separate"/>
          </w:r>
          <w:r>
            <w:rPr>
              <w:rFonts w:hint="eastAsia" w:ascii="黑体" w:hAnsi="黑体" w:eastAsia="黑体"/>
            </w:rPr>
            <w:t>一、收入支出决算总表</w:t>
          </w:r>
          <w:r>
            <w:rPr>
              <w:rFonts w:hint="eastAsia" w:ascii="黑体" w:hAnsi="黑体" w:eastAsia="黑体"/>
            </w:rPr>
            <w:tab/>
          </w:r>
          <w:r>
            <w:rPr>
              <w:rFonts w:hint="eastAsia" w:ascii="黑体" w:hAnsi="黑体" w:eastAsia="黑体"/>
            </w:rPr>
            <w:fldChar w:fldCharType="begin"/>
          </w:r>
          <w:r>
            <w:rPr>
              <w:rFonts w:hint="eastAsia" w:ascii="黑体" w:hAnsi="黑体" w:eastAsia="黑体"/>
            </w:rPr>
            <w:instrText xml:space="preserve"> PAGEREF _Toc18903 \h </w:instrText>
          </w:r>
          <w:r>
            <w:rPr>
              <w:rFonts w:hint="eastAsia" w:ascii="黑体" w:hAnsi="黑体" w:eastAsia="黑体"/>
            </w:rPr>
            <w:fldChar w:fldCharType="separate"/>
          </w:r>
          <w:r>
            <w:rPr>
              <w:rFonts w:hint="eastAsia" w:ascii="黑体" w:hAnsi="黑体" w:eastAsia="黑体"/>
            </w:rPr>
            <w:t>19</w:t>
          </w:r>
          <w:r>
            <w:rPr>
              <w:rFonts w:hint="eastAsia" w:ascii="黑体" w:hAnsi="黑体" w:eastAsia="黑体"/>
            </w:rPr>
            <w:fldChar w:fldCharType="end"/>
          </w:r>
          <w:r>
            <w:rPr>
              <w:rFonts w:hint="eastAsia" w:ascii="黑体" w:hAnsi="黑体" w:eastAsia="黑体"/>
            </w:rPr>
            <w:fldChar w:fldCharType="end"/>
          </w:r>
        </w:p>
        <w:p w14:paraId="29209657">
          <w:pPr>
            <w:pStyle w:val="36"/>
            <w:tabs>
              <w:tab w:val="right" w:leader="dot" w:pos="8306"/>
            </w:tabs>
            <w:rPr>
              <w:rFonts w:hint="eastAsia" w:ascii="黑体" w:hAnsi="黑体" w:eastAsia="黑体"/>
            </w:rPr>
          </w:pPr>
          <w:r>
            <w:rPr>
              <w:rFonts w:hint="eastAsia" w:ascii="黑体" w:hAnsi="黑体" w:eastAsia="黑体"/>
            </w:rPr>
            <w:fldChar w:fldCharType="begin"/>
          </w:r>
          <w:r>
            <w:rPr>
              <w:rFonts w:hint="eastAsia" w:ascii="黑体" w:hAnsi="黑体" w:eastAsia="黑体"/>
            </w:rPr>
            <w:instrText xml:space="preserve"> HYPERLINK \l _Toc24427 </w:instrText>
          </w:r>
          <w:r>
            <w:rPr>
              <w:rFonts w:hint="eastAsia" w:ascii="黑体" w:hAnsi="黑体" w:eastAsia="黑体"/>
            </w:rPr>
            <w:fldChar w:fldCharType="separate"/>
          </w:r>
          <w:r>
            <w:rPr>
              <w:rFonts w:hint="eastAsia" w:ascii="黑体" w:hAnsi="黑体" w:eastAsia="黑体"/>
            </w:rPr>
            <w:t>二、收入决算表</w:t>
          </w:r>
          <w:r>
            <w:rPr>
              <w:rFonts w:hint="eastAsia" w:ascii="黑体" w:hAnsi="黑体" w:eastAsia="黑体"/>
            </w:rPr>
            <w:tab/>
          </w:r>
          <w:r>
            <w:rPr>
              <w:rFonts w:hint="eastAsia" w:ascii="黑体" w:hAnsi="黑体" w:eastAsia="黑体"/>
            </w:rPr>
            <w:fldChar w:fldCharType="begin"/>
          </w:r>
          <w:r>
            <w:rPr>
              <w:rFonts w:hint="eastAsia" w:ascii="黑体" w:hAnsi="黑体" w:eastAsia="黑体"/>
            </w:rPr>
            <w:instrText xml:space="preserve"> PAGEREF _Toc24427 \h </w:instrText>
          </w:r>
          <w:r>
            <w:rPr>
              <w:rFonts w:hint="eastAsia" w:ascii="黑体" w:hAnsi="黑体" w:eastAsia="黑体"/>
            </w:rPr>
            <w:fldChar w:fldCharType="separate"/>
          </w:r>
          <w:r>
            <w:rPr>
              <w:rFonts w:hint="eastAsia" w:ascii="黑体" w:hAnsi="黑体" w:eastAsia="黑体"/>
            </w:rPr>
            <w:t>19</w:t>
          </w:r>
          <w:r>
            <w:rPr>
              <w:rFonts w:hint="eastAsia" w:ascii="黑体" w:hAnsi="黑体" w:eastAsia="黑体"/>
            </w:rPr>
            <w:fldChar w:fldCharType="end"/>
          </w:r>
          <w:r>
            <w:rPr>
              <w:rFonts w:hint="eastAsia" w:ascii="黑体" w:hAnsi="黑体" w:eastAsia="黑体"/>
            </w:rPr>
            <w:fldChar w:fldCharType="end"/>
          </w:r>
        </w:p>
        <w:p w14:paraId="52BA4F38">
          <w:pPr>
            <w:pStyle w:val="36"/>
            <w:tabs>
              <w:tab w:val="right" w:leader="dot" w:pos="8306"/>
            </w:tabs>
            <w:rPr>
              <w:rFonts w:hint="eastAsia" w:ascii="黑体" w:hAnsi="黑体" w:eastAsia="黑体"/>
            </w:rPr>
          </w:pPr>
          <w:r>
            <w:rPr>
              <w:rFonts w:hint="eastAsia" w:ascii="黑体" w:hAnsi="黑体" w:eastAsia="黑体"/>
            </w:rPr>
            <w:fldChar w:fldCharType="begin"/>
          </w:r>
          <w:r>
            <w:rPr>
              <w:rFonts w:hint="eastAsia" w:ascii="黑体" w:hAnsi="黑体" w:eastAsia="黑体"/>
            </w:rPr>
            <w:instrText xml:space="preserve"> HYPERLINK \l _Toc1770 </w:instrText>
          </w:r>
          <w:r>
            <w:rPr>
              <w:rFonts w:hint="eastAsia" w:ascii="黑体" w:hAnsi="黑体" w:eastAsia="黑体"/>
            </w:rPr>
            <w:fldChar w:fldCharType="separate"/>
          </w:r>
          <w:r>
            <w:rPr>
              <w:rFonts w:hint="eastAsia" w:ascii="黑体" w:hAnsi="黑体" w:eastAsia="黑体"/>
            </w:rPr>
            <w:t>三、支出决算表</w:t>
          </w:r>
          <w:r>
            <w:rPr>
              <w:rFonts w:hint="eastAsia" w:ascii="黑体" w:hAnsi="黑体" w:eastAsia="黑体"/>
            </w:rPr>
            <w:tab/>
          </w:r>
          <w:r>
            <w:rPr>
              <w:rFonts w:hint="eastAsia" w:ascii="黑体" w:hAnsi="黑体" w:eastAsia="黑体"/>
            </w:rPr>
            <w:fldChar w:fldCharType="begin"/>
          </w:r>
          <w:r>
            <w:rPr>
              <w:rFonts w:hint="eastAsia" w:ascii="黑体" w:hAnsi="黑体" w:eastAsia="黑体"/>
            </w:rPr>
            <w:instrText xml:space="preserve"> PAGEREF _Toc1770 \h </w:instrText>
          </w:r>
          <w:r>
            <w:rPr>
              <w:rFonts w:hint="eastAsia" w:ascii="黑体" w:hAnsi="黑体" w:eastAsia="黑体"/>
            </w:rPr>
            <w:fldChar w:fldCharType="separate"/>
          </w:r>
          <w:r>
            <w:rPr>
              <w:rFonts w:hint="eastAsia" w:ascii="黑体" w:hAnsi="黑体" w:eastAsia="黑体"/>
            </w:rPr>
            <w:t>19</w:t>
          </w:r>
          <w:r>
            <w:rPr>
              <w:rFonts w:hint="eastAsia" w:ascii="黑体" w:hAnsi="黑体" w:eastAsia="黑体"/>
            </w:rPr>
            <w:fldChar w:fldCharType="end"/>
          </w:r>
          <w:r>
            <w:rPr>
              <w:rFonts w:hint="eastAsia" w:ascii="黑体" w:hAnsi="黑体" w:eastAsia="黑体"/>
            </w:rPr>
            <w:fldChar w:fldCharType="end"/>
          </w:r>
        </w:p>
        <w:p w14:paraId="336BFA7C">
          <w:pPr>
            <w:pStyle w:val="36"/>
            <w:tabs>
              <w:tab w:val="right" w:leader="dot" w:pos="8306"/>
            </w:tabs>
            <w:rPr>
              <w:rFonts w:hint="eastAsia" w:ascii="黑体" w:hAnsi="黑体" w:eastAsia="黑体"/>
            </w:rPr>
          </w:pPr>
          <w:r>
            <w:rPr>
              <w:rFonts w:hint="eastAsia" w:ascii="黑体" w:hAnsi="黑体" w:eastAsia="黑体"/>
            </w:rPr>
            <w:fldChar w:fldCharType="begin"/>
          </w:r>
          <w:r>
            <w:rPr>
              <w:rFonts w:hint="eastAsia" w:ascii="黑体" w:hAnsi="黑体" w:eastAsia="黑体"/>
            </w:rPr>
            <w:instrText xml:space="preserve"> HYPERLINK \l _Toc3627 </w:instrText>
          </w:r>
          <w:r>
            <w:rPr>
              <w:rFonts w:hint="eastAsia" w:ascii="黑体" w:hAnsi="黑体" w:eastAsia="黑体"/>
            </w:rPr>
            <w:fldChar w:fldCharType="separate"/>
          </w:r>
          <w:r>
            <w:rPr>
              <w:rFonts w:hint="eastAsia" w:ascii="黑体" w:hAnsi="黑体" w:eastAsia="黑体"/>
            </w:rPr>
            <w:t>四、财政拨款收入支出决算总表</w:t>
          </w:r>
          <w:r>
            <w:rPr>
              <w:rFonts w:hint="eastAsia" w:ascii="黑体" w:hAnsi="黑体" w:eastAsia="黑体"/>
            </w:rPr>
            <w:tab/>
          </w:r>
          <w:r>
            <w:rPr>
              <w:rFonts w:hint="eastAsia" w:ascii="黑体" w:hAnsi="黑体" w:eastAsia="黑体"/>
            </w:rPr>
            <w:fldChar w:fldCharType="begin"/>
          </w:r>
          <w:r>
            <w:rPr>
              <w:rFonts w:hint="eastAsia" w:ascii="黑体" w:hAnsi="黑体" w:eastAsia="黑体"/>
            </w:rPr>
            <w:instrText xml:space="preserve"> PAGEREF _Toc3627 \h </w:instrText>
          </w:r>
          <w:r>
            <w:rPr>
              <w:rFonts w:hint="eastAsia" w:ascii="黑体" w:hAnsi="黑体" w:eastAsia="黑体"/>
            </w:rPr>
            <w:fldChar w:fldCharType="separate"/>
          </w:r>
          <w:r>
            <w:rPr>
              <w:rFonts w:hint="eastAsia" w:ascii="黑体" w:hAnsi="黑体" w:eastAsia="黑体"/>
            </w:rPr>
            <w:t>19</w:t>
          </w:r>
          <w:r>
            <w:rPr>
              <w:rFonts w:hint="eastAsia" w:ascii="黑体" w:hAnsi="黑体" w:eastAsia="黑体"/>
            </w:rPr>
            <w:fldChar w:fldCharType="end"/>
          </w:r>
          <w:r>
            <w:rPr>
              <w:rFonts w:hint="eastAsia" w:ascii="黑体" w:hAnsi="黑体" w:eastAsia="黑体"/>
            </w:rPr>
            <w:fldChar w:fldCharType="end"/>
          </w:r>
        </w:p>
        <w:p w14:paraId="11BFCD68">
          <w:pPr>
            <w:pStyle w:val="36"/>
            <w:tabs>
              <w:tab w:val="right" w:leader="dot" w:pos="8306"/>
            </w:tabs>
            <w:rPr>
              <w:rFonts w:hint="eastAsia" w:ascii="黑体" w:hAnsi="黑体" w:eastAsia="黑体"/>
            </w:rPr>
          </w:pPr>
          <w:r>
            <w:rPr>
              <w:rFonts w:hint="eastAsia" w:ascii="黑体" w:hAnsi="黑体" w:eastAsia="黑体"/>
            </w:rPr>
            <w:fldChar w:fldCharType="begin"/>
          </w:r>
          <w:r>
            <w:rPr>
              <w:rFonts w:hint="eastAsia" w:ascii="黑体" w:hAnsi="黑体" w:eastAsia="黑体"/>
            </w:rPr>
            <w:instrText xml:space="preserve"> HYPERLINK \l _Toc7131 </w:instrText>
          </w:r>
          <w:r>
            <w:rPr>
              <w:rFonts w:hint="eastAsia" w:ascii="黑体" w:hAnsi="黑体" w:eastAsia="黑体"/>
            </w:rPr>
            <w:fldChar w:fldCharType="separate"/>
          </w:r>
          <w:r>
            <w:rPr>
              <w:rFonts w:hint="eastAsia" w:ascii="黑体" w:hAnsi="黑体" w:eastAsia="黑体"/>
            </w:rPr>
            <w:t>五、财政拨款支出决算明细表</w:t>
          </w:r>
          <w:r>
            <w:rPr>
              <w:rFonts w:hint="eastAsia" w:ascii="黑体" w:hAnsi="黑体" w:eastAsia="黑体"/>
            </w:rPr>
            <w:tab/>
          </w:r>
          <w:r>
            <w:rPr>
              <w:rFonts w:hint="eastAsia" w:ascii="黑体" w:hAnsi="黑体" w:eastAsia="黑体"/>
            </w:rPr>
            <w:fldChar w:fldCharType="begin"/>
          </w:r>
          <w:r>
            <w:rPr>
              <w:rFonts w:hint="eastAsia" w:ascii="黑体" w:hAnsi="黑体" w:eastAsia="黑体"/>
            </w:rPr>
            <w:instrText xml:space="preserve"> PAGEREF _Toc7131 \h </w:instrText>
          </w:r>
          <w:r>
            <w:rPr>
              <w:rFonts w:hint="eastAsia" w:ascii="黑体" w:hAnsi="黑体" w:eastAsia="黑体"/>
            </w:rPr>
            <w:fldChar w:fldCharType="separate"/>
          </w:r>
          <w:r>
            <w:rPr>
              <w:rFonts w:hint="eastAsia" w:ascii="黑体" w:hAnsi="黑体" w:eastAsia="黑体"/>
            </w:rPr>
            <w:t>19</w:t>
          </w:r>
          <w:r>
            <w:rPr>
              <w:rFonts w:hint="eastAsia" w:ascii="黑体" w:hAnsi="黑体" w:eastAsia="黑体"/>
            </w:rPr>
            <w:fldChar w:fldCharType="end"/>
          </w:r>
          <w:r>
            <w:rPr>
              <w:rFonts w:hint="eastAsia" w:ascii="黑体" w:hAnsi="黑体" w:eastAsia="黑体"/>
            </w:rPr>
            <w:fldChar w:fldCharType="end"/>
          </w:r>
        </w:p>
        <w:p w14:paraId="1EA979BD">
          <w:pPr>
            <w:pStyle w:val="36"/>
            <w:tabs>
              <w:tab w:val="right" w:leader="dot" w:pos="8306"/>
            </w:tabs>
            <w:rPr>
              <w:rFonts w:hint="eastAsia" w:ascii="黑体" w:hAnsi="黑体" w:eastAsia="黑体"/>
            </w:rPr>
          </w:pPr>
          <w:r>
            <w:rPr>
              <w:rFonts w:hint="eastAsia" w:ascii="黑体" w:hAnsi="黑体" w:eastAsia="黑体"/>
            </w:rPr>
            <w:fldChar w:fldCharType="begin"/>
          </w:r>
          <w:r>
            <w:rPr>
              <w:rFonts w:hint="eastAsia" w:ascii="黑体" w:hAnsi="黑体" w:eastAsia="黑体"/>
            </w:rPr>
            <w:instrText xml:space="preserve"> HYPERLINK \l _Toc29284 </w:instrText>
          </w:r>
          <w:r>
            <w:rPr>
              <w:rFonts w:hint="eastAsia" w:ascii="黑体" w:hAnsi="黑体" w:eastAsia="黑体"/>
            </w:rPr>
            <w:fldChar w:fldCharType="separate"/>
          </w:r>
          <w:r>
            <w:rPr>
              <w:rFonts w:hint="eastAsia" w:ascii="黑体" w:hAnsi="黑体" w:eastAsia="黑体"/>
            </w:rPr>
            <w:t>六、一般公共预算财政拨款支出决算表</w:t>
          </w:r>
          <w:r>
            <w:rPr>
              <w:rFonts w:hint="eastAsia" w:ascii="黑体" w:hAnsi="黑体" w:eastAsia="黑体"/>
            </w:rPr>
            <w:tab/>
          </w:r>
          <w:r>
            <w:rPr>
              <w:rFonts w:hint="eastAsia" w:ascii="黑体" w:hAnsi="黑体" w:eastAsia="黑体"/>
            </w:rPr>
            <w:fldChar w:fldCharType="begin"/>
          </w:r>
          <w:r>
            <w:rPr>
              <w:rFonts w:hint="eastAsia" w:ascii="黑体" w:hAnsi="黑体" w:eastAsia="黑体"/>
            </w:rPr>
            <w:instrText xml:space="preserve"> PAGEREF _Toc29284 \h </w:instrText>
          </w:r>
          <w:r>
            <w:rPr>
              <w:rFonts w:hint="eastAsia" w:ascii="黑体" w:hAnsi="黑体" w:eastAsia="黑体"/>
            </w:rPr>
            <w:fldChar w:fldCharType="separate"/>
          </w:r>
          <w:r>
            <w:rPr>
              <w:rFonts w:hint="eastAsia" w:ascii="黑体" w:hAnsi="黑体" w:eastAsia="黑体"/>
            </w:rPr>
            <w:t>19</w:t>
          </w:r>
          <w:r>
            <w:rPr>
              <w:rFonts w:hint="eastAsia" w:ascii="黑体" w:hAnsi="黑体" w:eastAsia="黑体"/>
            </w:rPr>
            <w:fldChar w:fldCharType="end"/>
          </w:r>
          <w:r>
            <w:rPr>
              <w:rFonts w:hint="eastAsia" w:ascii="黑体" w:hAnsi="黑体" w:eastAsia="黑体"/>
            </w:rPr>
            <w:fldChar w:fldCharType="end"/>
          </w:r>
        </w:p>
        <w:p w14:paraId="2561C723">
          <w:pPr>
            <w:pStyle w:val="36"/>
            <w:tabs>
              <w:tab w:val="right" w:leader="dot" w:pos="8306"/>
            </w:tabs>
            <w:rPr>
              <w:rFonts w:hint="eastAsia" w:ascii="黑体" w:hAnsi="黑体" w:eastAsia="黑体"/>
            </w:rPr>
          </w:pPr>
          <w:r>
            <w:rPr>
              <w:rFonts w:hint="eastAsia" w:ascii="黑体" w:hAnsi="黑体" w:eastAsia="黑体"/>
            </w:rPr>
            <w:fldChar w:fldCharType="begin"/>
          </w:r>
          <w:r>
            <w:rPr>
              <w:rFonts w:hint="eastAsia" w:ascii="黑体" w:hAnsi="黑体" w:eastAsia="黑体"/>
            </w:rPr>
            <w:instrText xml:space="preserve"> HYPERLINK \l _Toc29225 </w:instrText>
          </w:r>
          <w:r>
            <w:rPr>
              <w:rFonts w:hint="eastAsia" w:ascii="黑体" w:hAnsi="黑体" w:eastAsia="黑体"/>
            </w:rPr>
            <w:fldChar w:fldCharType="separate"/>
          </w:r>
          <w:r>
            <w:rPr>
              <w:rFonts w:hint="eastAsia" w:ascii="黑体" w:hAnsi="黑体" w:eastAsia="黑体"/>
            </w:rPr>
            <w:t>七、一般公共预算财政拨款支出决算明细表</w:t>
          </w:r>
          <w:r>
            <w:rPr>
              <w:rFonts w:hint="eastAsia" w:ascii="黑体" w:hAnsi="黑体" w:eastAsia="黑体"/>
            </w:rPr>
            <w:tab/>
          </w:r>
          <w:r>
            <w:rPr>
              <w:rFonts w:hint="eastAsia" w:ascii="黑体" w:hAnsi="黑体" w:eastAsia="黑体"/>
            </w:rPr>
            <w:fldChar w:fldCharType="begin"/>
          </w:r>
          <w:r>
            <w:rPr>
              <w:rFonts w:hint="eastAsia" w:ascii="黑体" w:hAnsi="黑体" w:eastAsia="黑体"/>
            </w:rPr>
            <w:instrText xml:space="preserve"> PAGEREF _Toc29225 \h </w:instrText>
          </w:r>
          <w:r>
            <w:rPr>
              <w:rFonts w:hint="eastAsia" w:ascii="黑体" w:hAnsi="黑体" w:eastAsia="黑体"/>
            </w:rPr>
            <w:fldChar w:fldCharType="separate"/>
          </w:r>
          <w:r>
            <w:rPr>
              <w:rFonts w:hint="eastAsia" w:ascii="黑体" w:hAnsi="黑体" w:eastAsia="黑体"/>
            </w:rPr>
            <w:t>19</w:t>
          </w:r>
          <w:r>
            <w:rPr>
              <w:rFonts w:hint="eastAsia" w:ascii="黑体" w:hAnsi="黑体" w:eastAsia="黑体"/>
            </w:rPr>
            <w:fldChar w:fldCharType="end"/>
          </w:r>
          <w:r>
            <w:rPr>
              <w:rFonts w:hint="eastAsia" w:ascii="黑体" w:hAnsi="黑体" w:eastAsia="黑体"/>
            </w:rPr>
            <w:fldChar w:fldCharType="end"/>
          </w:r>
        </w:p>
        <w:p w14:paraId="21D17306">
          <w:pPr>
            <w:pStyle w:val="36"/>
            <w:tabs>
              <w:tab w:val="right" w:leader="dot" w:pos="8306"/>
            </w:tabs>
            <w:rPr>
              <w:rFonts w:hint="eastAsia" w:ascii="黑体" w:hAnsi="黑体" w:eastAsia="黑体"/>
            </w:rPr>
          </w:pPr>
          <w:r>
            <w:rPr>
              <w:rFonts w:hint="eastAsia" w:ascii="黑体" w:hAnsi="黑体" w:eastAsia="黑体"/>
            </w:rPr>
            <w:fldChar w:fldCharType="begin"/>
          </w:r>
          <w:r>
            <w:rPr>
              <w:rFonts w:hint="eastAsia" w:ascii="黑体" w:hAnsi="黑体" w:eastAsia="黑体"/>
            </w:rPr>
            <w:instrText xml:space="preserve"> HYPERLINK \l _Toc8746 </w:instrText>
          </w:r>
          <w:r>
            <w:rPr>
              <w:rFonts w:hint="eastAsia" w:ascii="黑体" w:hAnsi="黑体" w:eastAsia="黑体"/>
            </w:rPr>
            <w:fldChar w:fldCharType="separate"/>
          </w:r>
          <w:r>
            <w:rPr>
              <w:rFonts w:hint="eastAsia" w:ascii="黑体" w:hAnsi="黑体" w:eastAsia="黑体"/>
            </w:rPr>
            <w:t>八、一般公共预算财政拨款基本支出决算表</w:t>
          </w:r>
          <w:r>
            <w:rPr>
              <w:rFonts w:hint="eastAsia" w:ascii="黑体" w:hAnsi="黑体" w:eastAsia="黑体"/>
            </w:rPr>
            <w:tab/>
          </w:r>
          <w:r>
            <w:rPr>
              <w:rFonts w:hint="eastAsia" w:ascii="黑体" w:hAnsi="黑体" w:eastAsia="黑体"/>
            </w:rPr>
            <w:fldChar w:fldCharType="begin"/>
          </w:r>
          <w:r>
            <w:rPr>
              <w:rFonts w:hint="eastAsia" w:ascii="黑体" w:hAnsi="黑体" w:eastAsia="黑体"/>
            </w:rPr>
            <w:instrText xml:space="preserve"> PAGEREF _Toc8746 \h </w:instrText>
          </w:r>
          <w:r>
            <w:rPr>
              <w:rFonts w:hint="eastAsia" w:ascii="黑体" w:hAnsi="黑体" w:eastAsia="黑体"/>
            </w:rPr>
            <w:fldChar w:fldCharType="separate"/>
          </w:r>
          <w:r>
            <w:rPr>
              <w:rFonts w:hint="eastAsia" w:ascii="黑体" w:hAnsi="黑体" w:eastAsia="黑体"/>
            </w:rPr>
            <w:t>19</w:t>
          </w:r>
          <w:r>
            <w:rPr>
              <w:rFonts w:hint="eastAsia" w:ascii="黑体" w:hAnsi="黑体" w:eastAsia="黑体"/>
            </w:rPr>
            <w:fldChar w:fldCharType="end"/>
          </w:r>
          <w:r>
            <w:rPr>
              <w:rFonts w:hint="eastAsia" w:ascii="黑体" w:hAnsi="黑体" w:eastAsia="黑体"/>
            </w:rPr>
            <w:fldChar w:fldCharType="end"/>
          </w:r>
        </w:p>
        <w:p w14:paraId="68CF26B9">
          <w:pPr>
            <w:pStyle w:val="36"/>
            <w:tabs>
              <w:tab w:val="right" w:leader="dot" w:pos="8306"/>
            </w:tabs>
            <w:rPr>
              <w:rFonts w:hint="eastAsia" w:ascii="黑体" w:hAnsi="黑体" w:eastAsia="黑体"/>
            </w:rPr>
          </w:pPr>
          <w:r>
            <w:rPr>
              <w:rFonts w:hint="eastAsia" w:ascii="黑体" w:hAnsi="黑体" w:eastAsia="黑体"/>
            </w:rPr>
            <w:fldChar w:fldCharType="begin"/>
          </w:r>
          <w:r>
            <w:rPr>
              <w:rFonts w:hint="eastAsia" w:ascii="黑体" w:hAnsi="黑体" w:eastAsia="黑体"/>
            </w:rPr>
            <w:instrText xml:space="preserve"> HYPERLINK \l _Toc6116 </w:instrText>
          </w:r>
          <w:r>
            <w:rPr>
              <w:rFonts w:hint="eastAsia" w:ascii="黑体" w:hAnsi="黑体" w:eastAsia="黑体"/>
            </w:rPr>
            <w:fldChar w:fldCharType="separate"/>
          </w:r>
          <w:r>
            <w:rPr>
              <w:rFonts w:hint="eastAsia" w:ascii="黑体" w:hAnsi="黑体" w:eastAsia="黑体"/>
            </w:rPr>
            <w:t>九、一般公共预算财政拨款项目支出决算表</w:t>
          </w:r>
          <w:r>
            <w:rPr>
              <w:rFonts w:hint="eastAsia" w:ascii="黑体" w:hAnsi="黑体" w:eastAsia="黑体"/>
            </w:rPr>
            <w:tab/>
          </w:r>
          <w:r>
            <w:rPr>
              <w:rFonts w:hint="eastAsia" w:ascii="黑体" w:hAnsi="黑体" w:eastAsia="黑体"/>
            </w:rPr>
            <w:fldChar w:fldCharType="begin"/>
          </w:r>
          <w:r>
            <w:rPr>
              <w:rFonts w:hint="eastAsia" w:ascii="黑体" w:hAnsi="黑体" w:eastAsia="黑体"/>
            </w:rPr>
            <w:instrText xml:space="preserve"> PAGEREF _Toc6116 \h </w:instrText>
          </w:r>
          <w:r>
            <w:rPr>
              <w:rFonts w:hint="eastAsia" w:ascii="黑体" w:hAnsi="黑体" w:eastAsia="黑体"/>
            </w:rPr>
            <w:fldChar w:fldCharType="separate"/>
          </w:r>
          <w:r>
            <w:rPr>
              <w:rFonts w:hint="eastAsia" w:ascii="黑体" w:hAnsi="黑体" w:eastAsia="黑体"/>
            </w:rPr>
            <w:t>19</w:t>
          </w:r>
          <w:r>
            <w:rPr>
              <w:rFonts w:hint="eastAsia" w:ascii="黑体" w:hAnsi="黑体" w:eastAsia="黑体"/>
            </w:rPr>
            <w:fldChar w:fldCharType="end"/>
          </w:r>
          <w:r>
            <w:rPr>
              <w:rFonts w:hint="eastAsia" w:ascii="黑体" w:hAnsi="黑体" w:eastAsia="黑体"/>
            </w:rPr>
            <w:fldChar w:fldCharType="end"/>
          </w:r>
        </w:p>
        <w:p w14:paraId="75FF5AA0">
          <w:pPr>
            <w:pStyle w:val="36"/>
            <w:tabs>
              <w:tab w:val="right" w:leader="dot" w:pos="8306"/>
            </w:tabs>
            <w:rPr>
              <w:rFonts w:hint="eastAsia" w:ascii="黑体" w:hAnsi="黑体" w:eastAsia="黑体"/>
            </w:rPr>
          </w:pPr>
          <w:r>
            <w:rPr>
              <w:rFonts w:hint="eastAsia" w:ascii="黑体" w:hAnsi="黑体" w:eastAsia="黑体"/>
            </w:rPr>
            <w:fldChar w:fldCharType="begin"/>
          </w:r>
          <w:r>
            <w:rPr>
              <w:rFonts w:hint="eastAsia" w:ascii="黑体" w:hAnsi="黑体" w:eastAsia="黑体"/>
            </w:rPr>
            <w:instrText xml:space="preserve"> HYPERLINK \l _Toc10865 </w:instrText>
          </w:r>
          <w:r>
            <w:rPr>
              <w:rFonts w:hint="eastAsia" w:ascii="黑体" w:hAnsi="黑体" w:eastAsia="黑体"/>
            </w:rPr>
            <w:fldChar w:fldCharType="separate"/>
          </w:r>
          <w:r>
            <w:rPr>
              <w:rFonts w:hint="eastAsia" w:ascii="黑体" w:hAnsi="黑体" w:eastAsia="黑体"/>
            </w:rPr>
            <w:t>十、政府性基金预算财政拨款收入支出决算表</w:t>
          </w:r>
          <w:r>
            <w:rPr>
              <w:rFonts w:hint="eastAsia" w:ascii="黑体" w:hAnsi="黑体" w:eastAsia="黑体"/>
            </w:rPr>
            <w:tab/>
          </w:r>
          <w:r>
            <w:rPr>
              <w:rFonts w:hint="eastAsia" w:ascii="黑体" w:hAnsi="黑体" w:eastAsia="黑体"/>
            </w:rPr>
            <w:fldChar w:fldCharType="begin"/>
          </w:r>
          <w:r>
            <w:rPr>
              <w:rFonts w:hint="eastAsia" w:ascii="黑体" w:hAnsi="黑体" w:eastAsia="黑体"/>
            </w:rPr>
            <w:instrText xml:space="preserve"> PAGEREF _Toc10865 \h </w:instrText>
          </w:r>
          <w:r>
            <w:rPr>
              <w:rFonts w:hint="eastAsia" w:ascii="黑体" w:hAnsi="黑体" w:eastAsia="黑体"/>
            </w:rPr>
            <w:fldChar w:fldCharType="separate"/>
          </w:r>
          <w:r>
            <w:rPr>
              <w:rFonts w:hint="eastAsia" w:ascii="黑体" w:hAnsi="黑体" w:eastAsia="黑体"/>
            </w:rPr>
            <w:t>19</w:t>
          </w:r>
          <w:r>
            <w:rPr>
              <w:rFonts w:hint="eastAsia" w:ascii="黑体" w:hAnsi="黑体" w:eastAsia="黑体"/>
            </w:rPr>
            <w:fldChar w:fldCharType="end"/>
          </w:r>
          <w:r>
            <w:rPr>
              <w:rFonts w:hint="eastAsia" w:ascii="黑体" w:hAnsi="黑体" w:eastAsia="黑体"/>
            </w:rPr>
            <w:fldChar w:fldCharType="end"/>
          </w:r>
        </w:p>
        <w:p w14:paraId="5DE860DB">
          <w:pPr>
            <w:pStyle w:val="36"/>
            <w:tabs>
              <w:tab w:val="right" w:leader="dot" w:pos="8306"/>
            </w:tabs>
            <w:rPr>
              <w:rFonts w:hint="eastAsia" w:ascii="黑体" w:hAnsi="黑体" w:eastAsia="黑体"/>
            </w:rPr>
          </w:pPr>
          <w:r>
            <w:rPr>
              <w:rFonts w:hint="eastAsia" w:ascii="黑体" w:hAnsi="黑体" w:eastAsia="黑体"/>
            </w:rPr>
            <w:fldChar w:fldCharType="begin"/>
          </w:r>
          <w:r>
            <w:rPr>
              <w:rFonts w:hint="eastAsia" w:ascii="黑体" w:hAnsi="黑体" w:eastAsia="黑体"/>
            </w:rPr>
            <w:instrText xml:space="preserve"> HYPERLINK \l _Toc18634 </w:instrText>
          </w:r>
          <w:r>
            <w:rPr>
              <w:rFonts w:hint="eastAsia" w:ascii="黑体" w:hAnsi="黑体" w:eastAsia="黑体"/>
            </w:rPr>
            <w:fldChar w:fldCharType="separate"/>
          </w:r>
          <w:r>
            <w:rPr>
              <w:rFonts w:hint="eastAsia" w:ascii="黑体" w:hAnsi="黑体" w:eastAsia="黑体"/>
            </w:rPr>
            <w:t>十一、国有资本经营预算财政拨款收入支出决算表</w:t>
          </w:r>
          <w:r>
            <w:rPr>
              <w:rFonts w:hint="eastAsia" w:ascii="黑体" w:hAnsi="黑体" w:eastAsia="黑体"/>
            </w:rPr>
            <w:tab/>
          </w:r>
          <w:r>
            <w:rPr>
              <w:rFonts w:hint="eastAsia" w:ascii="黑体" w:hAnsi="黑体" w:eastAsia="黑体"/>
            </w:rPr>
            <w:fldChar w:fldCharType="begin"/>
          </w:r>
          <w:r>
            <w:rPr>
              <w:rFonts w:hint="eastAsia" w:ascii="黑体" w:hAnsi="黑体" w:eastAsia="黑体"/>
            </w:rPr>
            <w:instrText xml:space="preserve"> PAGEREF _Toc18634 \h </w:instrText>
          </w:r>
          <w:r>
            <w:rPr>
              <w:rFonts w:hint="eastAsia" w:ascii="黑体" w:hAnsi="黑体" w:eastAsia="黑体"/>
            </w:rPr>
            <w:fldChar w:fldCharType="separate"/>
          </w:r>
          <w:r>
            <w:rPr>
              <w:rFonts w:hint="eastAsia" w:ascii="黑体" w:hAnsi="黑体" w:eastAsia="黑体"/>
            </w:rPr>
            <w:t>19</w:t>
          </w:r>
          <w:r>
            <w:rPr>
              <w:rFonts w:hint="eastAsia" w:ascii="黑体" w:hAnsi="黑体" w:eastAsia="黑体"/>
            </w:rPr>
            <w:fldChar w:fldCharType="end"/>
          </w:r>
          <w:r>
            <w:rPr>
              <w:rFonts w:hint="eastAsia" w:ascii="黑体" w:hAnsi="黑体" w:eastAsia="黑体"/>
            </w:rPr>
            <w:fldChar w:fldCharType="end"/>
          </w:r>
        </w:p>
        <w:p w14:paraId="41106C60">
          <w:pPr>
            <w:pStyle w:val="36"/>
            <w:tabs>
              <w:tab w:val="right" w:leader="dot" w:pos="8306"/>
            </w:tabs>
            <w:rPr>
              <w:rFonts w:hint="eastAsia" w:ascii="黑体" w:hAnsi="黑体" w:eastAsia="黑体"/>
            </w:rPr>
          </w:pPr>
          <w:r>
            <w:rPr>
              <w:rFonts w:hint="eastAsia" w:ascii="黑体" w:hAnsi="黑体" w:eastAsia="黑体"/>
            </w:rPr>
            <w:fldChar w:fldCharType="begin"/>
          </w:r>
          <w:r>
            <w:rPr>
              <w:rFonts w:hint="eastAsia" w:ascii="黑体" w:hAnsi="黑体" w:eastAsia="黑体"/>
            </w:rPr>
            <w:instrText xml:space="preserve"> HYPERLINK \l _Toc6192 </w:instrText>
          </w:r>
          <w:r>
            <w:rPr>
              <w:rFonts w:hint="eastAsia" w:ascii="黑体" w:hAnsi="黑体" w:eastAsia="黑体"/>
            </w:rPr>
            <w:fldChar w:fldCharType="separate"/>
          </w:r>
          <w:r>
            <w:rPr>
              <w:rFonts w:hint="eastAsia" w:ascii="黑体" w:hAnsi="黑体" w:eastAsia="黑体"/>
            </w:rPr>
            <w:t>十二、国有资本经营预算财政拨款支出决算表</w:t>
          </w:r>
          <w:r>
            <w:rPr>
              <w:rFonts w:hint="eastAsia" w:ascii="黑体" w:hAnsi="黑体" w:eastAsia="黑体"/>
            </w:rPr>
            <w:tab/>
          </w:r>
          <w:r>
            <w:rPr>
              <w:rFonts w:hint="eastAsia" w:ascii="黑体" w:hAnsi="黑体" w:eastAsia="黑体"/>
            </w:rPr>
            <w:fldChar w:fldCharType="begin"/>
          </w:r>
          <w:r>
            <w:rPr>
              <w:rFonts w:hint="eastAsia" w:ascii="黑体" w:hAnsi="黑体" w:eastAsia="黑体"/>
            </w:rPr>
            <w:instrText xml:space="preserve"> PAGEREF _Toc6192 \h </w:instrText>
          </w:r>
          <w:r>
            <w:rPr>
              <w:rFonts w:hint="eastAsia" w:ascii="黑体" w:hAnsi="黑体" w:eastAsia="黑体"/>
            </w:rPr>
            <w:fldChar w:fldCharType="separate"/>
          </w:r>
          <w:r>
            <w:rPr>
              <w:rFonts w:hint="eastAsia" w:ascii="黑体" w:hAnsi="黑体" w:eastAsia="黑体"/>
            </w:rPr>
            <w:t>19</w:t>
          </w:r>
          <w:r>
            <w:rPr>
              <w:rFonts w:hint="eastAsia" w:ascii="黑体" w:hAnsi="黑体" w:eastAsia="黑体"/>
            </w:rPr>
            <w:fldChar w:fldCharType="end"/>
          </w:r>
          <w:r>
            <w:rPr>
              <w:rFonts w:hint="eastAsia" w:ascii="黑体" w:hAnsi="黑体" w:eastAsia="黑体"/>
            </w:rPr>
            <w:fldChar w:fldCharType="end"/>
          </w:r>
        </w:p>
        <w:p w14:paraId="55C6DE29">
          <w:pPr>
            <w:pStyle w:val="36"/>
            <w:tabs>
              <w:tab w:val="right" w:leader="dot" w:pos="8306"/>
            </w:tabs>
            <w:rPr>
              <w:rFonts w:hint="eastAsia" w:ascii="黑体" w:hAnsi="黑体" w:eastAsia="黑体"/>
            </w:rPr>
          </w:pPr>
          <w:r>
            <w:rPr>
              <w:rFonts w:hint="eastAsia" w:ascii="黑体" w:hAnsi="黑体" w:eastAsia="黑体"/>
            </w:rPr>
            <w:fldChar w:fldCharType="begin"/>
          </w:r>
          <w:r>
            <w:rPr>
              <w:rFonts w:hint="eastAsia" w:ascii="黑体" w:hAnsi="黑体" w:eastAsia="黑体"/>
            </w:rPr>
            <w:instrText xml:space="preserve"> HYPERLINK \l _Toc25952 </w:instrText>
          </w:r>
          <w:r>
            <w:rPr>
              <w:rFonts w:hint="eastAsia" w:ascii="黑体" w:hAnsi="黑体" w:eastAsia="黑体"/>
            </w:rPr>
            <w:fldChar w:fldCharType="separate"/>
          </w:r>
          <w:r>
            <w:rPr>
              <w:rFonts w:hint="eastAsia" w:ascii="黑体" w:hAnsi="黑体" w:eastAsia="黑体"/>
            </w:rPr>
            <w:t>十三、财政拨款“三公”经费支出决算表</w:t>
          </w:r>
          <w:r>
            <w:rPr>
              <w:rFonts w:hint="eastAsia" w:ascii="黑体" w:hAnsi="黑体" w:eastAsia="黑体"/>
            </w:rPr>
            <w:tab/>
          </w:r>
          <w:r>
            <w:rPr>
              <w:rFonts w:hint="eastAsia" w:ascii="黑体" w:hAnsi="黑体" w:eastAsia="黑体"/>
            </w:rPr>
            <w:fldChar w:fldCharType="begin"/>
          </w:r>
          <w:r>
            <w:rPr>
              <w:rFonts w:hint="eastAsia" w:ascii="黑体" w:hAnsi="黑体" w:eastAsia="黑体"/>
            </w:rPr>
            <w:instrText xml:space="preserve"> PAGEREF _Toc25952 \h </w:instrText>
          </w:r>
          <w:r>
            <w:rPr>
              <w:rFonts w:hint="eastAsia" w:ascii="黑体" w:hAnsi="黑体" w:eastAsia="黑体"/>
            </w:rPr>
            <w:fldChar w:fldCharType="separate"/>
          </w:r>
          <w:r>
            <w:rPr>
              <w:rFonts w:hint="eastAsia" w:ascii="黑体" w:hAnsi="黑体" w:eastAsia="黑体"/>
            </w:rPr>
            <w:t>19</w:t>
          </w:r>
          <w:r>
            <w:rPr>
              <w:rFonts w:hint="eastAsia" w:ascii="黑体" w:hAnsi="黑体" w:eastAsia="黑体"/>
            </w:rPr>
            <w:fldChar w:fldCharType="end"/>
          </w:r>
          <w:r>
            <w:rPr>
              <w:rFonts w:hint="eastAsia" w:ascii="黑体" w:hAnsi="黑体" w:eastAsia="黑体"/>
            </w:rPr>
            <w:fldChar w:fldCharType="end"/>
          </w:r>
        </w:p>
        <w:p w14:paraId="6A301638">
          <w:pPr>
            <w:rPr>
              <w:b/>
            </w:rPr>
          </w:pPr>
        </w:p>
        <w:p w14:paraId="6B0EBFE7">
          <w:pPr>
            <w:rPr>
              <w:b/>
            </w:rPr>
          </w:pPr>
          <w:r>
            <w:rPr>
              <w:b/>
            </w:rPr>
            <w:fldChar w:fldCharType="end"/>
          </w:r>
        </w:p>
        <w:p w14:paraId="4C9766CF"/>
      </w:sdtContent>
    </w:sdt>
    <w:p w14:paraId="32B9CE6C">
      <w:pPr>
        <w:bidi w:val="0"/>
        <w:outlineLvl w:val="0"/>
        <w:rPr>
          <w:rStyle w:val="29"/>
          <w:rFonts w:hint="eastAsia" w:ascii="黑体" w:hAnsi="黑体" w:eastAsia="黑体" w:cstheme="minorBidi"/>
          <w:b w:val="0"/>
          <w:bCs w:val="0"/>
        </w:rPr>
      </w:pPr>
      <w:bookmarkStart w:id="16" w:name="_Toc5058"/>
    </w:p>
    <w:p w14:paraId="210888EB">
      <w:pPr>
        <w:bidi w:val="0"/>
        <w:outlineLvl w:val="0"/>
        <w:rPr>
          <w:rStyle w:val="29"/>
          <w:rFonts w:hint="eastAsia" w:ascii="黑体" w:hAnsi="黑体" w:eastAsia="黑体" w:cstheme="minorBidi"/>
          <w:b w:val="0"/>
          <w:bCs w:val="0"/>
        </w:rPr>
      </w:pPr>
    </w:p>
    <w:p w14:paraId="755126DA">
      <w:pPr>
        <w:bidi w:val="0"/>
        <w:outlineLvl w:val="0"/>
        <w:rPr>
          <w:rStyle w:val="29"/>
          <w:rFonts w:hint="eastAsia" w:ascii="黑体" w:hAnsi="黑体" w:eastAsia="黑体" w:cstheme="minorBidi"/>
          <w:b w:val="0"/>
          <w:bCs w:val="0"/>
        </w:rPr>
      </w:pPr>
    </w:p>
    <w:p w14:paraId="01669A45">
      <w:pPr>
        <w:bidi w:val="0"/>
        <w:jc w:val="center"/>
        <w:outlineLvl w:val="0"/>
        <w:rPr>
          <w:rFonts w:ascii="黑体" w:eastAsia="黑体"/>
          <w:sz w:val="32"/>
          <w:szCs w:val="32"/>
        </w:rPr>
      </w:pPr>
      <w:r>
        <w:rPr>
          <w:rStyle w:val="29"/>
          <w:rFonts w:hint="eastAsia" w:ascii="黑体" w:hAnsi="黑体" w:eastAsia="黑体" w:cstheme="minorBidi"/>
          <w:b w:val="0"/>
          <w:bCs w:val="0"/>
        </w:rPr>
        <w:t>第一部分 单位概况</w:t>
      </w:r>
      <w:bookmarkEnd w:id="16"/>
    </w:p>
    <w:p w14:paraId="7368BA5D">
      <w:pPr>
        <w:pStyle w:val="6"/>
        <w:numPr>
          <w:ilvl w:val="0"/>
          <w:numId w:val="0"/>
        </w:numPr>
        <w:ind w:firstLine="640" w:firstLineChars="200"/>
        <w:rPr>
          <w:rStyle w:val="30"/>
          <w:rFonts w:ascii="黑体" w:hAnsi="黑体" w:eastAsia="黑体"/>
          <w:b w:val="0"/>
          <w:bCs w:val="0"/>
        </w:rPr>
      </w:pPr>
      <w:bookmarkStart w:id="17" w:name="_Toc28807"/>
      <w:bookmarkStart w:id="18" w:name="_Toc15377197"/>
      <w:bookmarkStart w:id="19" w:name="_Toc15396600"/>
      <w:r>
        <w:rPr>
          <w:rStyle w:val="30"/>
          <w:rFonts w:hint="eastAsia" w:ascii="黑体" w:hAnsi="黑体" w:eastAsia="黑体"/>
          <w:b w:val="0"/>
          <w:bCs w:val="0"/>
          <w:lang w:eastAsia="zh-CN"/>
        </w:rPr>
        <w:t>一、</w:t>
      </w:r>
      <w:r>
        <w:rPr>
          <w:rStyle w:val="30"/>
          <w:rFonts w:hint="eastAsia" w:ascii="黑体" w:hAnsi="黑体" w:eastAsia="黑体"/>
          <w:b w:val="0"/>
          <w:bCs w:val="0"/>
        </w:rPr>
        <w:t>主要职责</w:t>
      </w:r>
      <w:bookmarkEnd w:id="17"/>
    </w:p>
    <w:p w14:paraId="2A1B4409">
      <w:pPr>
        <w:spacing w:beforeLines="0" w:afterLines="0"/>
        <w:ind w:firstLine="640" w:firstLineChars="200"/>
        <w:jc w:val="both"/>
        <w:rPr>
          <w:rFonts w:hint="eastAsia" w:ascii="仿宋" w:hAnsi="仿宋" w:eastAsia="仿宋"/>
          <w:color w:val="auto"/>
          <w:kern w:val="2"/>
          <w:sz w:val="32"/>
          <w:szCs w:val="24"/>
          <w:lang w:val="en-US"/>
        </w:rPr>
      </w:pPr>
      <w:r>
        <w:rPr>
          <w:rFonts w:hint="eastAsia" w:ascii="仿宋" w:hAnsi="仿宋" w:eastAsia="仿宋" w:cs="仿宋"/>
          <w:color w:val="auto"/>
          <w:kern w:val="2"/>
          <w:sz w:val="32"/>
          <w:szCs w:val="32"/>
          <w:lang w:val="zh-CN" w:eastAsia="zh-CN"/>
        </w:rPr>
        <w:t xml:space="preserve">五通桥区综合行政执法局负责集中行使除公安、税务、农业农村、应急管理、保密部门和生态环境部分领域以外的本级行政部门的行政处罚权和相应的行政检查权、行政强制权。行使发展和改革、自然资源、经济和信息化、教育管理、民政管理、司法、财政、人力资源和社会保障、住房和城乡建设、城市管理、交通运输、水务、文化体育和旅游、卫生健康、退役军人事务、审计、市场监督管理、统计、医疗保障、商务和经济合作、残疾人权益保护、民族宗教、网信、档案等领域所有的行政处罚权和相应的行政检查权、行政强制权。   </w:t>
      </w:r>
      <w:r>
        <w:rPr>
          <w:rFonts w:hint="eastAsia" w:ascii="仿宋" w:hAnsi="仿宋" w:eastAsia="仿宋" w:cs="仿宋"/>
          <w:color w:val="auto"/>
          <w:kern w:val="2"/>
          <w:sz w:val="32"/>
          <w:szCs w:val="32"/>
          <w:lang w:val="zh-CN"/>
        </w:rPr>
        <w:t xml:space="preserve">       </w:t>
      </w:r>
      <w:r>
        <w:rPr>
          <w:rFonts w:hint="eastAsia" w:ascii="仿宋" w:hAnsi="仿宋" w:eastAsia="仿宋"/>
          <w:color w:val="auto"/>
          <w:kern w:val="2"/>
          <w:sz w:val="32"/>
          <w:szCs w:val="24"/>
          <w:lang w:val="en-US"/>
        </w:rPr>
        <w:t xml:space="preserve">  </w:t>
      </w:r>
    </w:p>
    <w:p w14:paraId="3C0D0723">
      <w:pPr>
        <w:pStyle w:val="6"/>
        <w:ind w:firstLine="640" w:firstLineChars="200"/>
        <w:rPr>
          <w:rFonts w:hint="eastAsia" w:ascii="黑体" w:hAnsi="黑体" w:eastAsia="黑体"/>
          <w:b w:val="0"/>
        </w:rPr>
      </w:pPr>
      <w:bookmarkStart w:id="20" w:name="_Toc1725"/>
      <w:r>
        <w:rPr>
          <w:rFonts w:hint="eastAsia" w:ascii="黑体" w:hAnsi="黑体" w:eastAsia="黑体"/>
          <w:b w:val="0"/>
        </w:rPr>
        <w:t>二、机构设置</w:t>
      </w:r>
      <w:bookmarkEnd w:id="20"/>
    </w:p>
    <w:p w14:paraId="6F690172">
      <w:pPr>
        <w:spacing w:beforeLines="0" w:afterLines="0"/>
        <w:ind w:firstLine="640" w:firstLineChars="200"/>
        <w:jc w:val="both"/>
        <w:rPr>
          <w:rFonts w:hint="eastAsia" w:ascii="仿宋" w:hAnsi="仿宋" w:eastAsia="仿宋" w:cs="仿宋"/>
          <w:color w:val="auto"/>
          <w:kern w:val="2"/>
          <w:sz w:val="32"/>
          <w:szCs w:val="32"/>
          <w:lang w:val="en-US"/>
        </w:rPr>
      </w:pPr>
      <w:r>
        <w:rPr>
          <w:rFonts w:hint="eastAsia" w:ascii="仿宋" w:hAnsi="仿宋" w:eastAsia="仿宋" w:cs="仿宋"/>
          <w:color w:val="auto"/>
          <w:kern w:val="2"/>
          <w:sz w:val="32"/>
          <w:szCs w:val="32"/>
          <w:lang w:val="zh-CN"/>
        </w:rPr>
        <w:t>五通桥区城市管理监察大队</w:t>
      </w:r>
      <w:r>
        <w:rPr>
          <w:rFonts w:hint="eastAsia" w:ascii="仿宋" w:hAnsi="仿宋" w:eastAsia="仿宋" w:cs="仿宋"/>
          <w:color w:val="auto"/>
          <w:kern w:val="2"/>
          <w:sz w:val="32"/>
          <w:szCs w:val="32"/>
          <w:lang w:val="en-US"/>
        </w:rPr>
        <w:t>属二级</w:t>
      </w:r>
      <w:r>
        <w:rPr>
          <w:rFonts w:hint="eastAsia" w:ascii="仿宋" w:hAnsi="仿宋" w:eastAsia="仿宋" w:cs="仿宋"/>
          <w:color w:val="auto"/>
          <w:kern w:val="2"/>
          <w:sz w:val="32"/>
          <w:szCs w:val="32"/>
          <w:lang w:val="en-US" w:eastAsia="zh-CN"/>
        </w:rPr>
        <w:t>预算</w:t>
      </w:r>
      <w:r>
        <w:rPr>
          <w:rFonts w:hint="eastAsia" w:ascii="仿宋" w:hAnsi="仿宋" w:eastAsia="仿宋" w:cs="仿宋"/>
          <w:color w:val="auto"/>
          <w:kern w:val="2"/>
          <w:sz w:val="32"/>
          <w:szCs w:val="32"/>
          <w:lang w:val="en-US"/>
        </w:rPr>
        <w:t>单位，其中行政单位</w:t>
      </w:r>
      <w:r>
        <w:rPr>
          <w:rFonts w:hint="eastAsia" w:ascii="仿宋" w:hAnsi="仿宋" w:eastAsia="仿宋" w:cs="仿宋"/>
          <w:color w:val="auto"/>
          <w:kern w:val="2"/>
          <w:sz w:val="32"/>
          <w:szCs w:val="32"/>
          <w:lang w:val="en-US" w:eastAsia="zh-CN"/>
        </w:rPr>
        <w:t>0</w:t>
      </w:r>
      <w:r>
        <w:rPr>
          <w:rFonts w:hint="eastAsia" w:ascii="仿宋" w:hAnsi="仿宋" w:eastAsia="仿宋" w:cs="仿宋"/>
          <w:color w:val="auto"/>
          <w:kern w:val="2"/>
          <w:sz w:val="32"/>
          <w:szCs w:val="32"/>
          <w:lang w:val="en-US"/>
        </w:rPr>
        <w:t>个，参照公务员法管理的事业单位</w:t>
      </w:r>
      <w:r>
        <w:rPr>
          <w:rFonts w:hint="eastAsia" w:ascii="仿宋" w:hAnsi="仿宋" w:eastAsia="仿宋" w:cs="仿宋"/>
          <w:color w:val="auto"/>
          <w:kern w:val="2"/>
          <w:sz w:val="32"/>
          <w:szCs w:val="32"/>
          <w:lang w:val="en-US" w:eastAsia="zh-CN"/>
        </w:rPr>
        <w:t>1</w:t>
      </w:r>
      <w:r>
        <w:rPr>
          <w:rFonts w:hint="eastAsia" w:ascii="仿宋" w:hAnsi="仿宋" w:eastAsia="仿宋" w:cs="仿宋"/>
          <w:color w:val="auto"/>
          <w:kern w:val="2"/>
          <w:sz w:val="32"/>
          <w:szCs w:val="32"/>
          <w:lang w:val="en-US"/>
        </w:rPr>
        <w:t>个，其他事业单位</w:t>
      </w:r>
      <w:r>
        <w:rPr>
          <w:rFonts w:hint="eastAsia" w:ascii="仿宋" w:hAnsi="仿宋" w:eastAsia="仿宋" w:cs="仿宋"/>
          <w:color w:val="auto"/>
          <w:kern w:val="2"/>
          <w:sz w:val="32"/>
          <w:szCs w:val="32"/>
          <w:lang w:val="en-US" w:eastAsia="zh-CN"/>
        </w:rPr>
        <w:t>0</w:t>
      </w:r>
      <w:r>
        <w:rPr>
          <w:rFonts w:hint="eastAsia" w:ascii="仿宋" w:hAnsi="仿宋" w:eastAsia="仿宋" w:cs="仿宋"/>
          <w:color w:val="auto"/>
          <w:kern w:val="2"/>
          <w:sz w:val="32"/>
          <w:szCs w:val="32"/>
          <w:lang w:val="en-US"/>
        </w:rPr>
        <w:t>个。</w:t>
      </w:r>
    </w:p>
    <w:p w14:paraId="0A1FF2E6">
      <w:pPr>
        <w:pStyle w:val="4"/>
        <w:adjustRightInd w:val="0"/>
        <w:snapToGrid w:val="0"/>
        <w:spacing w:before="93" w:line="600" w:lineRule="exact"/>
        <w:ind w:firstLine="672" w:firstLineChars="210"/>
        <w:rPr>
          <w:rFonts w:hint="eastAsia" w:ascii="仿宋" w:hAnsi="仿宋" w:eastAsia="仿宋" w:cs="仿宋"/>
          <w:color w:val="000000"/>
          <w:sz w:val="32"/>
          <w:szCs w:val="32"/>
          <w:highlight w:val="none"/>
          <w:lang w:eastAsia="zh-CN"/>
        </w:rPr>
      </w:pPr>
      <w:r>
        <w:rPr>
          <w:rFonts w:hint="eastAsia" w:ascii="仿宋" w:hAnsi="仿宋" w:eastAsia="仿宋" w:cs="仿宋"/>
          <w:color w:val="auto"/>
          <w:kern w:val="2"/>
          <w:sz w:val="32"/>
          <w:szCs w:val="32"/>
          <w:lang w:val="zh-CN"/>
        </w:rPr>
        <w:t>五通桥区城市管理监察大队</w:t>
      </w:r>
      <w:r>
        <w:rPr>
          <w:rFonts w:hint="eastAsia" w:ascii="仿宋" w:hAnsi="仿宋" w:eastAsia="仿宋" w:cs="仿宋"/>
          <w:color w:val="000000"/>
          <w:kern w:val="2"/>
          <w:sz w:val="32"/>
          <w:szCs w:val="32"/>
          <w:lang w:val="zh-CN"/>
        </w:rPr>
        <w:t>2024年度部门决算编制范围的二级预算单位包括：</w:t>
      </w:r>
      <w:r>
        <w:rPr>
          <w:rFonts w:hint="eastAsia" w:ascii="仿宋" w:hAnsi="仿宋" w:eastAsia="仿宋" w:cs="仿宋"/>
          <w:color w:val="auto"/>
          <w:kern w:val="2"/>
          <w:sz w:val="32"/>
          <w:szCs w:val="32"/>
          <w:lang w:val="zh-CN"/>
        </w:rPr>
        <w:t>五通桥区城市管理监察大队。</w:t>
      </w:r>
    </w:p>
    <w:p w14:paraId="729CFCE6">
      <w:pPr>
        <w:rPr>
          <w:rFonts w:hint="eastAsia" w:ascii="仿宋" w:hAnsi="仿宋" w:eastAsia="仿宋" w:cs="仿宋"/>
          <w:sz w:val="32"/>
          <w:szCs w:val="32"/>
        </w:rPr>
      </w:pPr>
    </w:p>
    <w:bookmarkEnd w:id="18"/>
    <w:bookmarkEnd w:id="19"/>
    <w:p w14:paraId="2784AED8">
      <w:pPr>
        <w:widowControl/>
        <w:jc w:val="left"/>
        <w:rPr>
          <w:rFonts w:ascii="仿宋" w:hAnsi="仿宋" w:eastAsia="仿宋"/>
          <w:kern w:val="0"/>
          <w:sz w:val="32"/>
          <w:szCs w:val="32"/>
        </w:rPr>
      </w:pPr>
      <w:r>
        <w:rPr>
          <w:rFonts w:ascii="仿宋" w:hAnsi="仿宋" w:eastAsia="仿宋"/>
          <w:sz w:val="32"/>
          <w:szCs w:val="32"/>
        </w:rPr>
        <w:br w:type="page"/>
      </w:r>
    </w:p>
    <w:p w14:paraId="16DC60A7">
      <w:pPr>
        <w:pStyle w:val="5"/>
        <w:ind w:right="440"/>
        <w:jc w:val="center"/>
        <w:rPr>
          <w:rStyle w:val="29"/>
          <w:rFonts w:ascii="黑体" w:hAnsi="黑体" w:eastAsia="黑体"/>
          <w:b w:val="0"/>
          <w:bCs/>
        </w:rPr>
      </w:pPr>
      <w:bookmarkStart w:id="21" w:name="_Toc30199"/>
      <w:bookmarkStart w:id="22" w:name="_Toc15396602"/>
      <w:bookmarkStart w:id="23" w:name="_Toc15377204"/>
      <w:r>
        <w:rPr>
          <w:rFonts w:hint="eastAsia" w:ascii="黑体" w:hAnsi="黑体" w:eastAsia="黑体"/>
          <w:b w:val="0"/>
        </w:rPr>
        <w:t xml:space="preserve">第二部分 </w:t>
      </w:r>
      <w:r>
        <w:rPr>
          <w:rFonts w:hint="eastAsia" w:ascii="黑体" w:hAnsi="黑体" w:eastAsia="黑体"/>
          <w:b w:val="0"/>
          <w:lang w:eastAsia="zh-CN"/>
        </w:rPr>
        <w:t>2024</w:t>
      </w:r>
      <w:r>
        <w:rPr>
          <w:rFonts w:hint="eastAsia" w:ascii="黑体" w:hAnsi="黑体" w:eastAsia="黑体"/>
          <w:b w:val="0"/>
        </w:rPr>
        <w:t>年度</w:t>
      </w:r>
      <w:r>
        <w:rPr>
          <w:rStyle w:val="29"/>
          <w:rFonts w:hint="eastAsia" w:ascii="黑体" w:hAnsi="黑体" w:eastAsia="黑体"/>
          <w:b w:val="0"/>
          <w:bCs/>
        </w:rPr>
        <w:t>单位决算情况说明</w:t>
      </w:r>
      <w:bookmarkEnd w:id="21"/>
      <w:bookmarkEnd w:id="22"/>
      <w:bookmarkEnd w:id="23"/>
    </w:p>
    <w:p w14:paraId="59C335F1"/>
    <w:p w14:paraId="45A6261E">
      <w:pPr>
        <w:pStyle w:val="28"/>
        <w:numPr>
          <w:ilvl w:val="0"/>
          <w:numId w:val="1"/>
        </w:numPr>
        <w:spacing w:line="600" w:lineRule="exact"/>
        <w:ind w:firstLineChars="0"/>
        <w:outlineLvl w:val="1"/>
        <w:rPr>
          <w:rStyle w:val="30"/>
          <w:rFonts w:ascii="黑体" w:hAnsi="黑体" w:eastAsia="黑体"/>
          <w:b w:val="0"/>
        </w:rPr>
      </w:pPr>
      <w:bookmarkStart w:id="24" w:name="_Toc11369"/>
      <w:bookmarkStart w:id="25" w:name="_Toc15396603"/>
      <w:bookmarkStart w:id="26" w:name="_Toc15377205"/>
      <w:r>
        <w:rPr>
          <w:rFonts w:hint="eastAsia" w:ascii="黑体" w:hAnsi="黑体" w:eastAsia="黑体"/>
          <w:sz w:val="32"/>
          <w:szCs w:val="32"/>
        </w:rPr>
        <w:t>收</w:t>
      </w:r>
      <w:r>
        <w:rPr>
          <w:rStyle w:val="30"/>
          <w:rFonts w:hint="eastAsia" w:ascii="黑体" w:hAnsi="黑体" w:eastAsia="黑体"/>
          <w:b w:val="0"/>
        </w:rPr>
        <w:t>入支出决算总体情况说明</w:t>
      </w:r>
      <w:bookmarkEnd w:id="24"/>
      <w:bookmarkEnd w:id="25"/>
      <w:bookmarkEnd w:id="26"/>
    </w:p>
    <w:p w14:paraId="5B83BBF4">
      <w:pPr>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2024</w:t>
      </w:r>
      <w:r>
        <w:rPr>
          <w:rFonts w:hint="eastAsia" w:ascii="仿宋" w:hAnsi="仿宋" w:eastAsia="仿宋" w:cs="仿宋"/>
          <w:sz w:val="32"/>
          <w:szCs w:val="32"/>
        </w:rPr>
        <w:t>年度收、支总计均为1167.48万元。与</w:t>
      </w:r>
      <w:r>
        <w:rPr>
          <w:rFonts w:hint="eastAsia" w:ascii="仿宋" w:hAnsi="仿宋" w:eastAsia="仿宋" w:cs="仿宋"/>
          <w:sz w:val="32"/>
          <w:szCs w:val="32"/>
          <w:lang w:eastAsia="zh-CN"/>
        </w:rPr>
        <w:t>2023</w:t>
      </w:r>
      <w:r>
        <w:rPr>
          <w:rFonts w:hint="eastAsia" w:ascii="仿宋" w:hAnsi="仿宋" w:eastAsia="仿宋" w:cs="仿宋"/>
          <w:sz w:val="32"/>
          <w:szCs w:val="32"/>
        </w:rPr>
        <w:t>年度891.85</w:t>
      </w:r>
      <w:r>
        <w:rPr>
          <w:rFonts w:hint="eastAsia" w:ascii="仿宋" w:hAnsi="仿宋" w:eastAsia="仿宋" w:cs="仿宋"/>
          <w:sz w:val="32"/>
          <w:szCs w:val="32"/>
          <w:lang w:eastAsia="zh-CN"/>
        </w:rPr>
        <w:t>万元</w:t>
      </w:r>
      <w:r>
        <w:rPr>
          <w:rFonts w:hint="eastAsia" w:ascii="仿宋" w:hAnsi="仿宋" w:eastAsia="仿宋" w:cs="仿宋"/>
          <w:sz w:val="32"/>
          <w:szCs w:val="32"/>
        </w:rPr>
        <w:t>相比，收、支总计各增加</w:t>
      </w:r>
      <w:r>
        <w:rPr>
          <w:rFonts w:hint="eastAsia" w:ascii="仿宋" w:hAnsi="仿宋" w:eastAsia="仿宋" w:cs="仿宋"/>
          <w:sz w:val="32"/>
          <w:szCs w:val="32"/>
          <w:lang w:val="en-US" w:eastAsia="zh-CN"/>
        </w:rPr>
        <w:t>275.63</w:t>
      </w:r>
      <w:r>
        <w:rPr>
          <w:rFonts w:hint="eastAsia" w:ascii="仿宋" w:hAnsi="仿宋" w:eastAsia="仿宋" w:cs="仿宋"/>
          <w:sz w:val="32"/>
          <w:szCs w:val="32"/>
        </w:rPr>
        <w:t>万元，增长</w:t>
      </w:r>
      <w:r>
        <w:rPr>
          <w:rFonts w:hint="eastAsia" w:ascii="仿宋" w:hAnsi="仿宋" w:eastAsia="仿宋" w:cs="仿宋"/>
          <w:sz w:val="32"/>
          <w:szCs w:val="32"/>
          <w:lang w:val="en-US" w:eastAsia="zh-CN"/>
        </w:rPr>
        <w:t>30.9</w:t>
      </w:r>
      <w:r>
        <w:rPr>
          <w:rFonts w:hint="eastAsia" w:ascii="仿宋" w:hAnsi="仿宋" w:eastAsia="仿宋" w:cs="仿宋"/>
          <w:sz w:val="32"/>
          <w:szCs w:val="32"/>
        </w:rPr>
        <w:t>%。主要变动原因是一般公共预算财政拨款收入</w:t>
      </w:r>
      <w:r>
        <w:rPr>
          <w:rFonts w:hint="eastAsia" w:ascii="仿宋" w:hAnsi="仿宋" w:eastAsia="仿宋" w:cs="仿宋"/>
          <w:sz w:val="32"/>
          <w:szCs w:val="32"/>
          <w:lang w:eastAsia="zh-CN"/>
        </w:rPr>
        <w:t>增加</w:t>
      </w:r>
      <w:r>
        <w:rPr>
          <w:rFonts w:hint="eastAsia" w:ascii="仿宋" w:hAnsi="仿宋" w:eastAsia="仿宋" w:cs="仿宋"/>
          <w:sz w:val="32"/>
          <w:szCs w:val="32"/>
          <w:lang w:val="en-US" w:eastAsia="zh-CN"/>
        </w:rPr>
        <w:t>275.63万元；</w:t>
      </w:r>
      <w:r>
        <w:rPr>
          <w:rFonts w:hint="eastAsia" w:ascii="仿宋" w:hAnsi="仿宋" w:eastAsia="仿宋" w:cs="仿宋"/>
          <w:color w:val="auto"/>
          <w:sz w:val="32"/>
          <w:szCs w:val="32"/>
        </w:rPr>
        <w:t>社会保障和就业支出</w:t>
      </w:r>
      <w:r>
        <w:rPr>
          <w:rFonts w:hint="eastAsia" w:ascii="仿宋" w:hAnsi="仿宋" w:eastAsia="仿宋" w:cs="仿宋"/>
          <w:color w:val="auto"/>
          <w:sz w:val="32"/>
          <w:szCs w:val="32"/>
          <w:lang w:eastAsia="zh-CN"/>
        </w:rPr>
        <w:t>增加34.53万元、卫生健康支出增加8.7</w:t>
      </w: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lang w:eastAsia="zh-CN"/>
        </w:rPr>
        <w:t>万元、城乡社区支出增加215.4</w:t>
      </w:r>
      <w:r>
        <w:rPr>
          <w:rFonts w:hint="eastAsia" w:ascii="仿宋" w:hAnsi="仿宋" w:eastAsia="仿宋" w:cs="仿宋"/>
          <w:color w:val="auto"/>
          <w:sz w:val="32"/>
          <w:szCs w:val="32"/>
          <w:lang w:val="en-US" w:eastAsia="zh-CN"/>
        </w:rPr>
        <w:t>8</w:t>
      </w:r>
      <w:r>
        <w:rPr>
          <w:rFonts w:hint="eastAsia" w:ascii="仿宋" w:hAnsi="仿宋" w:eastAsia="仿宋" w:cs="仿宋"/>
          <w:color w:val="auto"/>
          <w:sz w:val="32"/>
          <w:szCs w:val="32"/>
          <w:lang w:eastAsia="zh-CN"/>
        </w:rPr>
        <w:t>万元、住房保障支出增加16.9万元所致。</w:t>
      </w:r>
    </w:p>
    <w:p w14:paraId="01B69E98">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图</w:t>
      </w:r>
      <w:r>
        <w:rPr>
          <w:rFonts w:ascii="仿宋" w:hAnsi="仿宋" w:eastAsia="仿宋"/>
          <w:sz w:val="32"/>
          <w:szCs w:val="32"/>
        </w:rPr>
        <w:t>1</w:t>
      </w:r>
      <w:r>
        <w:rPr>
          <w:rFonts w:hint="eastAsia" w:ascii="仿宋" w:hAnsi="仿宋" w:eastAsia="仿宋"/>
          <w:sz w:val="32"/>
          <w:szCs w:val="32"/>
        </w:rPr>
        <w:t>：收、支决算总计变动情况图</w:t>
      </w:r>
    </w:p>
    <w:p w14:paraId="66037A66">
      <w:pPr>
        <w:pStyle w:val="2"/>
        <w:rPr>
          <w:rFonts w:hint="eastAsia"/>
        </w:rPr>
      </w:pPr>
    </w:p>
    <w:p w14:paraId="29B522E4">
      <w:pPr>
        <w:pStyle w:val="2"/>
        <w:rPr>
          <w:rFonts w:ascii="仿宋_GB2312" w:eastAsia="仿宋_GB2312"/>
          <w:sz w:val="32"/>
          <w:szCs w:val="32"/>
        </w:rPr>
      </w:pPr>
      <w:r>
        <w:rPr>
          <w:rFonts w:hint="eastAsia" w:eastAsia="仿宋"/>
          <w:lang w:eastAsia="zh-CN"/>
        </w:rPr>
        <w:drawing>
          <wp:inline distT="0" distB="0" distL="114300" distR="114300">
            <wp:extent cx="4584065" cy="2889250"/>
            <wp:effectExtent l="0" t="0" r="6985" b="6350"/>
            <wp:docPr id="9" name="图片 9"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图片1"/>
                    <pic:cNvPicPr>
                      <a:picLocks noChangeAspect="1"/>
                    </pic:cNvPicPr>
                  </pic:nvPicPr>
                  <pic:blipFill>
                    <a:blip r:embed="rId8"/>
                    <a:stretch>
                      <a:fillRect/>
                    </a:stretch>
                  </pic:blipFill>
                  <pic:spPr>
                    <a:xfrm>
                      <a:off x="0" y="0"/>
                      <a:ext cx="4584065" cy="2889250"/>
                    </a:xfrm>
                    <a:prstGeom prst="rect">
                      <a:avLst/>
                    </a:prstGeom>
                  </pic:spPr>
                </pic:pic>
              </a:graphicData>
            </a:graphic>
          </wp:inline>
        </w:drawing>
      </w:r>
    </w:p>
    <w:p w14:paraId="0EFA87E9">
      <w:pPr>
        <w:pStyle w:val="28"/>
        <w:numPr>
          <w:ilvl w:val="0"/>
          <w:numId w:val="1"/>
        </w:numPr>
        <w:spacing w:line="600" w:lineRule="exact"/>
        <w:ind w:firstLineChars="0"/>
        <w:outlineLvl w:val="1"/>
        <w:rPr>
          <w:rStyle w:val="30"/>
          <w:rFonts w:ascii="黑体" w:hAnsi="黑体" w:eastAsia="黑体"/>
          <w:b w:val="0"/>
        </w:rPr>
      </w:pPr>
      <w:bookmarkStart w:id="27" w:name="_Toc15377206"/>
      <w:bookmarkStart w:id="28" w:name="_Toc15396604"/>
      <w:bookmarkStart w:id="29" w:name="_Toc28580"/>
      <w:r>
        <w:rPr>
          <w:rFonts w:hint="eastAsia" w:ascii="黑体" w:hAnsi="黑体" w:eastAsia="黑体"/>
          <w:sz w:val="32"/>
          <w:szCs w:val="32"/>
        </w:rPr>
        <w:t>收</w:t>
      </w:r>
      <w:r>
        <w:rPr>
          <w:rStyle w:val="30"/>
          <w:rFonts w:hint="eastAsia" w:ascii="黑体" w:hAnsi="黑体" w:eastAsia="黑体"/>
          <w:b w:val="0"/>
        </w:rPr>
        <w:t>入决算情况说明</w:t>
      </w:r>
      <w:bookmarkEnd w:id="27"/>
      <w:bookmarkEnd w:id="28"/>
      <w:bookmarkEnd w:id="29"/>
    </w:p>
    <w:p w14:paraId="4568BC62">
      <w:pPr>
        <w:spacing w:line="600" w:lineRule="exact"/>
        <w:ind w:firstLine="640" w:firstLineChars="200"/>
        <w:outlineLvl w:val="1"/>
        <w:rPr>
          <w:rFonts w:hint="eastAsia" w:ascii="仿宋" w:hAnsi="仿宋" w:eastAsia="仿宋" w:cs="仿宋"/>
          <w:b w:val="0"/>
          <w:bCs w:val="0"/>
          <w:sz w:val="32"/>
          <w:szCs w:val="32"/>
        </w:rPr>
      </w:pPr>
      <w:bookmarkStart w:id="30" w:name="_Toc22897"/>
      <w:r>
        <w:rPr>
          <w:rFonts w:hint="eastAsia" w:ascii="仿宋" w:hAnsi="仿宋" w:eastAsia="仿宋" w:cs="仿宋"/>
          <w:b w:val="0"/>
          <w:bCs w:val="0"/>
          <w:sz w:val="32"/>
          <w:szCs w:val="32"/>
          <w:lang w:eastAsia="zh-CN"/>
        </w:rPr>
        <w:t>2024</w:t>
      </w:r>
      <w:r>
        <w:rPr>
          <w:rFonts w:hint="eastAsia" w:ascii="仿宋" w:hAnsi="仿宋" w:eastAsia="仿宋" w:cs="仿宋"/>
          <w:b w:val="0"/>
          <w:bCs w:val="0"/>
          <w:sz w:val="32"/>
          <w:szCs w:val="32"/>
        </w:rPr>
        <w:t>年度本年收入合计1167.48万元，其中：一般公共预算财政拨款收入1167.48万元，占100%</w:t>
      </w:r>
      <w:r>
        <w:rPr>
          <w:rFonts w:hint="eastAsia" w:ascii="仿宋" w:hAnsi="仿宋" w:eastAsia="仿宋" w:cs="仿宋"/>
          <w:b w:val="0"/>
          <w:bCs w:val="0"/>
          <w:sz w:val="32"/>
          <w:szCs w:val="32"/>
          <w:lang w:eastAsia="zh-CN"/>
        </w:rPr>
        <w:t>。</w:t>
      </w:r>
      <w:bookmarkEnd w:id="30"/>
    </w:p>
    <w:p w14:paraId="638C4EFA">
      <w:pPr>
        <w:spacing w:line="600" w:lineRule="exact"/>
        <w:ind w:firstLine="640" w:firstLineChars="200"/>
        <w:rPr>
          <w:rFonts w:hint="eastAsia" w:ascii="仿宋" w:hAnsi="仿宋" w:eastAsia="仿宋"/>
          <w:sz w:val="32"/>
          <w:szCs w:val="32"/>
        </w:rPr>
      </w:pPr>
    </w:p>
    <w:p w14:paraId="6151D4B1">
      <w:pPr>
        <w:spacing w:line="600" w:lineRule="exact"/>
        <w:ind w:firstLine="640" w:firstLineChars="200"/>
        <w:rPr>
          <w:rFonts w:ascii="仿宋" w:hAnsi="仿宋" w:eastAsia="仿宋"/>
          <w:sz w:val="32"/>
          <w:szCs w:val="32"/>
        </w:rPr>
      </w:pPr>
      <w:r>
        <w:rPr>
          <w:rFonts w:hint="eastAsia" w:ascii="仿宋" w:hAnsi="仿宋" w:eastAsia="仿宋"/>
          <w:sz w:val="32"/>
          <w:szCs w:val="32"/>
        </w:rPr>
        <w:t>图2：收入决算结构图</w:t>
      </w:r>
    </w:p>
    <w:p w14:paraId="55C43946">
      <w:pPr>
        <w:spacing w:line="24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drawing>
          <wp:inline distT="0" distB="0" distL="114300" distR="114300">
            <wp:extent cx="4864735" cy="3029585"/>
            <wp:effectExtent l="0" t="0" r="12065" b="18415"/>
            <wp:docPr id="10" name="图片 10"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图片2"/>
                    <pic:cNvPicPr>
                      <a:picLocks noChangeAspect="1"/>
                    </pic:cNvPicPr>
                  </pic:nvPicPr>
                  <pic:blipFill>
                    <a:blip r:embed="rId9"/>
                    <a:stretch>
                      <a:fillRect/>
                    </a:stretch>
                  </pic:blipFill>
                  <pic:spPr>
                    <a:xfrm>
                      <a:off x="0" y="0"/>
                      <a:ext cx="4864735" cy="3029585"/>
                    </a:xfrm>
                    <a:prstGeom prst="rect">
                      <a:avLst/>
                    </a:prstGeom>
                  </pic:spPr>
                </pic:pic>
              </a:graphicData>
            </a:graphic>
          </wp:inline>
        </w:drawing>
      </w:r>
    </w:p>
    <w:p w14:paraId="18677A23">
      <w:pPr>
        <w:pStyle w:val="28"/>
        <w:numPr>
          <w:ilvl w:val="0"/>
          <w:numId w:val="1"/>
        </w:numPr>
        <w:spacing w:line="600" w:lineRule="exact"/>
        <w:ind w:firstLineChars="0"/>
        <w:outlineLvl w:val="1"/>
        <w:rPr>
          <w:rStyle w:val="30"/>
          <w:rFonts w:ascii="黑体" w:hAnsi="黑体" w:eastAsia="黑体"/>
          <w:b w:val="0"/>
        </w:rPr>
      </w:pPr>
      <w:bookmarkStart w:id="31" w:name="_Toc3068"/>
      <w:bookmarkStart w:id="32" w:name="_Toc15377207"/>
      <w:bookmarkStart w:id="33" w:name="_Toc15396605"/>
      <w:r>
        <w:rPr>
          <w:rFonts w:hint="eastAsia" w:ascii="黑体" w:hAnsi="黑体" w:eastAsia="黑体"/>
          <w:sz w:val="32"/>
          <w:szCs w:val="32"/>
        </w:rPr>
        <w:t>支</w:t>
      </w:r>
      <w:r>
        <w:rPr>
          <w:rStyle w:val="30"/>
          <w:rFonts w:hint="eastAsia" w:ascii="黑体" w:hAnsi="黑体" w:eastAsia="黑体"/>
          <w:b w:val="0"/>
        </w:rPr>
        <w:t>出决算情况说明</w:t>
      </w:r>
      <w:bookmarkEnd w:id="31"/>
      <w:bookmarkEnd w:id="32"/>
      <w:bookmarkEnd w:id="33"/>
    </w:p>
    <w:p w14:paraId="599E40BA">
      <w:pPr>
        <w:spacing w:line="600" w:lineRule="exact"/>
        <w:ind w:firstLine="640" w:firstLineChars="200"/>
        <w:outlineLvl w:val="1"/>
        <w:rPr>
          <w:rFonts w:ascii="仿宋" w:hAnsi="仿宋" w:eastAsia="仿宋"/>
          <w:b w:val="0"/>
          <w:bCs w:val="0"/>
          <w:sz w:val="32"/>
          <w:szCs w:val="32"/>
        </w:rPr>
      </w:pPr>
      <w:bookmarkStart w:id="34" w:name="_Toc17722"/>
      <w:r>
        <w:rPr>
          <w:rFonts w:hint="eastAsia" w:ascii="仿宋" w:hAnsi="仿宋" w:eastAsia="仿宋"/>
          <w:b w:val="0"/>
          <w:bCs w:val="0"/>
          <w:sz w:val="32"/>
          <w:szCs w:val="32"/>
          <w:lang w:eastAsia="zh-CN"/>
        </w:rPr>
        <w:t>2024</w:t>
      </w:r>
      <w:r>
        <w:rPr>
          <w:rFonts w:hint="eastAsia" w:ascii="仿宋" w:hAnsi="仿宋" w:eastAsia="仿宋"/>
          <w:b w:val="0"/>
          <w:bCs w:val="0"/>
          <w:sz w:val="32"/>
          <w:szCs w:val="32"/>
        </w:rPr>
        <w:t>年度本年支出合计1167.48万元，其中：基本支出1167.48万元，占</w:t>
      </w:r>
      <w:r>
        <w:rPr>
          <w:rFonts w:ascii="仿宋" w:hAnsi="仿宋" w:eastAsia="仿宋"/>
          <w:b w:val="0"/>
          <w:bCs w:val="0"/>
          <w:sz w:val="32"/>
          <w:szCs w:val="32"/>
        </w:rPr>
        <w:t>100%</w:t>
      </w:r>
      <w:r>
        <w:rPr>
          <w:rFonts w:hint="eastAsia" w:ascii="仿宋" w:hAnsi="仿宋" w:eastAsia="仿宋"/>
          <w:b w:val="0"/>
          <w:bCs w:val="0"/>
          <w:sz w:val="32"/>
          <w:szCs w:val="32"/>
        </w:rPr>
        <w:t>；项目支出</w:t>
      </w:r>
      <w:r>
        <w:rPr>
          <w:rFonts w:ascii="仿宋" w:hAnsi="仿宋" w:eastAsia="仿宋"/>
          <w:b w:val="0"/>
          <w:bCs w:val="0"/>
          <w:sz w:val="32"/>
          <w:szCs w:val="32"/>
        </w:rPr>
        <w:t>0</w:t>
      </w:r>
      <w:r>
        <w:rPr>
          <w:rFonts w:hint="eastAsia" w:ascii="仿宋" w:hAnsi="仿宋" w:eastAsia="仿宋"/>
          <w:b w:val="0"/>
          <w:bCs w:val="0"/>
          <w:sz w:val="32"/>
          <w:szCs w:val="32"/>
        </w:rPr>
        <w:t>万元，占</w:t>
      </w:r>
      <w:r>
        <w:rPr>
          <w:rFonts w:ascii="仿宋" w:hAnsi="仿宋" w:eastAsia="仿宋"/>
          <w:b w:val="0"/>
          <w:bCs w:val="0"/>
          <w:sz w:val="32"/>
          <w:szCs w:val="32"/>
        </w:rPr>
        <w:t>0%</w:t>
      </w:r>
      <w:r>
        <w:rPr>
          <w:rFonts w:hint="eastAsia" w:ascii="仿宋" w:hAnsi="仿宋" w:eastAsia="仿宋"/>
          <w:b w:val="0"/>
          <w:bCs w:val="0"/>
          <w:sz w:val="32"/>
          <w:szCs w:val="32"/>
        </w:rPr>
        <w:t>；</w:t>
      </w:r>
      <w:bookmarkEnd w:id="34"/>
    </w:p>
    <w:p w14:paraId="1F995ADD">
      <w:pPr>
        <w:spacing w:line="600" w:lineRule="exact"/>
        <w:ind w:firstLine="640" w:firstLineChars="200"/>
        <w:rPr>
          <w:rFonts w:ascii="仿宋" w:hAnsi="仿宋" w:eastAsia="仿宋"/>
          <w:sz w:val="32"/>
          <w:szCs w:val="32"/>
        </w:rPr>
      </w:pPr>
      <w:r>
        <w:rPr>
          <w:rFonts w:hint="eastAsia" w:ascii="仿宋" w:hAnsi="仿宋" w:eastAsia="仿宋"/>
          <w:sz w:val="32"/>
          <w:szCs w:val="32"/>
        </w:rPr>
        <w:t>图3：支出决算结构图</w:t>
      </w:r>
    </w:p>
    <w:p w14:paraId="7DD470B4">
      <w:pPr>
        <w:spacing w:line="24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drawing>
          <wp:inline distT="0" distB="0" distL="114300" distR="114300">
            <wp:extent cx="4584065" cy="2889250"/>
            <wp:effectExtent l="0" t="0" r="6985" b="6350"/>
            <wp:docPr id="11" name="图片 11" descr="图片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图片3"/>
                    <pic:cNvPicPr>
                      <a:picLocks noChangeAspect="1"/>
                    </pic:cNvPicPr>
                  </pic:nvPicPr>
                  <pic:blipFill>
                    <a:blip r:embed="rId10"/>
                    <a:stretch>
                      <a:fillRect/>
                    </a:stretch>
                  </pic:blipFill>
                  <pic:spPr>
                    <a:xfrm>
                      <a:off x="0" y="0"/>
                      <a:ext cx="4584065" cy="2889250"/>
                    </a:xfrm>
                    <a:prstGeom prst="rect">
                      <a:avLst/>
                    </a:prstGeom>
                  </pic:spPr>
                </pic:pic>
              </a:graphicData>
            </a:graphic>
          </wp:inline>
        </w:drawing>
      </w:r>
    </w:p>
    <w:p w14:paraId="4B4315C2">
      <w:pPr>
        <w:spacing w:line="600" w:lineRule="exact"/>
        <w:ind w:firstLine="640" w:firstLineChars="200"/>
        <w:outlineLvl w:val="1"/>
        <w:rPr>
          <w:rFonts w:hint="eastAsia" w:ascii="黑体" w:hAnsi="黑体" w:eastAsia="黑体"/>
          <w:sz w:val="32"/>
          <w:szCs w:val="32"/>
        </w:rPr>
      </w:pPr>
      <w:bookmarkStart w:id="35" w:name="_Toc15377208"/>
      <w:bookmarkStart w:id="36" w:name="_Toc15396606"/>
      <w:bookmarkStart w:id="37" w:name="_Toc1235"/>
    </w:p>
    <w:p w14:paraId="2C1450CC">
      <w:pPr>
        <w:spacing w:line="600" w:lineRule="exact"/>
        <w:ind w:firstLine="640" w:firstLineChars="200"/>
        <w:outlineLvl w:val="1"/>
        <w:rPr>
          <w:rStyle w:val="30"/>
          <w:rFonts w:ascii="黑体" w:hAnsi="黑体" w:eastAsia="黑体"/>
          <w:b w:val="0"/>
        </w:rPr>
      </w:pPr>
      <w:r>
        <w:rPr>
          <w:rFonts w:hint="eastAsia" w:ascii="黑体" w:hAnsi="黑体" w:eastAsia="黑体"/>
          <w:sz w:val="32"/>
          <w:szCs w:val="32"/>
        </w:rPr>
        <w:t>四、财</w:t>
      </w:r>
      <w:r>
        <w:rPr>
          <w:rStyle w:val="30"/>
          <w:rFonts w:hint="eastAsia" w:ascii="黑体" w:hAnsi="黑体" w:eastAsia="黑体"/>
          <w:b w:val="0"/>
        </w:rPr>
        <w:t>政拨款收入支出决算总体情况说明</w:t>
      </w:r>
      <w:bookmarkEnd w:id="35"/>
      <w:bookmarkEnd w:id="36"/>
      <w:bookmarkEnd w:id="37"/>
    </w:p>
    <w:p w14:paraId="628C67C3">
      <w:pPr>
        <w:spacing w:line="600" w:lineRule="exact"/>
        <w:ind w:firstLine="640" w:firstLineChars="200"/>
        <w:rPr>
          <w:rFonts w:hint="eastAsia" w:ascii="仿宋" w:hAnsi="仿宋" w:eastAsia="仿宋"/>
          <w:b w:val="0"/>
          <w:bCs w:val="0"/>
          <w:sz w:val="32"/>
          <w:szCs w:val="32"/>
        </w:rPr>
      </w:pPr>
      <w:r>
        <w:rPr>
          <w:rFonts w:hint="eastAsia" w:ascii="仿宋" w:hAnsi="仿宋" w:eastAsia="仿宋"/>
          <w:b w:val="0"/>
          <w:bCs w:val="0"/>
          <w:sz w:val="32"/>
          <w:szCs w:val="32"/>
          <w:lang w:eastAsia="zh-CN"/>
        </w:rPr>
        <w:t>2024</w:t>
      </w:r>
      <w:r>
        <w:rPr>
          <w:rFonts w:hint="eastAsia" w:ascii="仿宋" w:hAnsi="仿宋" w:eastAsia="仿宋"/>
          <w:b w:val="0"/>
          <w:bCs w:val="0"/>
          <w:sz w:val="32"/>
          <w:szCs w:val="32"/>
        </w:rPr>
        <w:t>年度财政拨款收、支总计均为1167.48万元。一般公共预算财政拨款收入</w:t>
      </w:r>
      <w:r>
        <w:rPr>
          <w:rFonts w:hint="eastAsia" w:ascii="仿宋" w:hAnsi="仿宋" w:eastAsia="仿宋"/>
          <w:b w:val="0"/>
          <w:bCs w:val="0"/>
          <w:sz w:val="32"/>
          <w:szCs w:val="32"/>
          <w:lang w:eastAsia="zh-CN"/>
        </w:rPr>
        <w:t>增加</w:t>
      </w:r>
      <w:r>
        <w:rPr>
          <w:rFonts w:hint="eastAsia" w:ascii="仿宋" w:hAnsi="仿宋" w:eastAsia="仿宋"/>
          <w:b w:val="0"/>
          <w:bCs w:val="0"/>
          <w:sz w:val="32"/>
          <w:szCs w:val="32"/>
          <w:lang w:val="en-US" w:eastAsia="zh-CN"/>
        </w:rPr>
        <w:t>275.63万元；</w:t>
      </w:r>
      <w:r>
        <w:rPr>
          <w:rFonts w:hint="eastAsia" w:ascii="仿宋" w:hAnsi="仿宋" w:eastAsia="仿宋"/>
          <w:b w:val="0"/>
          <w:bCs w:val="0"/>
          <w:sz w:val="32"/>
          <w:szCs w:val="32"/>
        </w:rPr>
        <w:t>与</w:t>
      </w:r>
      <w:r>
        <w:rPr>
          <w:rFonts w:hint="eastAsia" w:ascii="仿宋" w:hAnsi="仿宋" w:eastAsia="仿宋"/>
          <w:b w:val="0"/>
          <w:bCs w:val="0"/>
          <w:sz w:val="32"/>
          <w:szCs w:val="32"/>
          <w:lang w:eastAsia="zh-CN"/>
        </w:rPr>
        <w:t>2023</w:t>
      </w:r>
      <w:r>
        <w:rPr>
          <w:rFonts w:hint="eastAsia" w:ascii="仿宋" w:hAnsi="仿宋" w:eastAsia="仿宋"/>
          <w:b w:val="0"/>
          <w:bCs w:val="0"/>
          <w:sz w:val="32"/>
          <w:szCs w:val="32"/>
        </w:rPr>
        <w:t>年度891.85</w:t>
      </w:r>
      <w:r>
        <w:rPr>
          <w:rFonts w:hint="eastAsia" w:ascii="仿宋" w:hAnsi="仿宋" w:eastAsia="仿宋"/>
          <w:b w:val="0"/>
          <w:bCs w:val="0"/>
          <w:sz w:val="32"/>
          <w:szCs w:val="32"/>
          <w:lang w:eastAsia="zh-CN"/>
        </w:rPr>
        <w:t>万元</w:t>
      </w:r>
      <w:r>
        <w:rPr>
          <w:rFonts w:hint="eastAsia" w:ascii="仿宋" w:hAnsi="仿宋" w:eastAsia="仿宋"/>
          <w:b w:val="0"/>
          <w:bCs w:val="0"/>
          <w:sz w:val="32"/>
          <w:szCs w:val="32"/>
        </w:rPr>
        <w:t>相比，收、支总计各增加</w:t>
      </w:r>
      <w:r>
        <w:rPr>
          <w:rFonts w:hint="eastAsia" w:ascii="仿宋" w:hAnsi="仿宋" w:eastAsia="仿宋"/>
          <w:b w:val="0"/>
          <w:bCs w:val="0"/>
          <w:sz w:val="32"/>
          <w:szCs w:val="32"/>
          <w:lang w:val="en-US" w:eastAsia="zh-CN"/>
        </w:rPr>
        <w:t>275.63</w:t>
      </w:r>
      <w:r>
        <w:rPr>
          <w:rFonts w:hint="eastAsia" w:ascii="仿宋" w:hAnsi="仿宋" w:eastAsia="仿宋"/>
          <w:b w:val="0"/>
          <w:bCs w:val="0"/>
          <w:sz w:val="32"/>
          <w:szCs w:val="32"/>
        </w:rPr>
        <w:t>万元，增长</w:t>
      </w:r>
      <w:r>
        <w:rPr>
          <w:rFonts w:hint="eastAsia" w:ascii="仿宋" w:hAnsi="仿宋" w:eastAsia="仿宋"/>
          <w:b w:val="0"/>
          <w:bCs w:val="0"/>
          <w:sz w:val="32"/>
          <w:szCs w:val="32"/>
          <w:lang w:val="en-US" w:eastAsia="zh-CN"/>
        </w:rPr>
        <w:t>30.9</w:t>
      </w:r>
      <w:r>
        <w:rPr>
          <w:rFonts w:ascii="仿宋" w:hAnsi="仿宋" w:eastAsia="仿宋"/>
          <w:b w:val="0"/>
          <w:bCs w:val="0"/>
          <w:sz w:val="32"/>
          <w:szCs w:val="32"/>
        </w:rPr>
        <w:t>%</w:t>
      </w:r>
      <w:r>
        <w:rPr>
          <w:rFonts w:hint="eastAsia" w:ascii="仿宋" w:hAnsi="仿宋" w:eastAsia="仿宋"/>
          <w:b w:val="0"/>
          <w:bCs w:val="0"/>
          <w:sz w:val="32"/>
          <w:szCs w:val="32"/>
        </w:rPr>
        <w:t>。主要变动原因是一般公共预算财政拨款收入</w:t>
      </w:r>
      <w:r>
        <w:rPr>
          <w:rFonts w:hint="eastAsia" w:ascii="仿宋" w:hAnsi="仿宋" w:eastAsia="仿宋"/>
          <w:b w:val="0"/>
          <w:bCs w:val="0"/>
          <w:sz w:val="32"/>
          <w:szCs w:val="32"/>
          <w:lang w:eastAsia="zh-CN"/>
        </w:rPr>
        <w:t>增加</w:t>
      </w:r>
      <w:r>
        <w:rPr>
          <w:rFonts w:hint="eastAsia" w:ascii="仿宋" w:hAnsi="仿宋" w:eastAsia="仿宋"/>
          <w:b w:val="0"/>
          <w:bCs w:val="0"/>
          <w:sz w:val="32"/>
          <w:szCs w:val="32"/>
          <w:lang w:val="en-US" w:eastAsia="zh-CN"/>
        </w:rPr>
        <w:t>275.63万元；</w:t>
      </w:r>
      <w:r>
        <w:rPr>
          <w:rFonts w:hint="eastAsia" w:ascii="仿宋" w:hAnsi="仿宋" w:eastAsia="仿宋"/>
          <w:b w:val="0"/>
          <w:bCs w:val="0"/>
          <w:sz w:val="32"/>
          <w:szCs w:val="32"/>
        </w:rPr>
        <w:t>社会保障和就业支出增加34.53万元、卫生健康支出增加8.72万元、城乡社区支出增加215.48万元、住房保障支出增加16.9万元所致。</w:t>
      </w:r>
    </w:p>
    <w:p w14:paraId="43830134">
      <w:pPr>
        <w:spacing w:line="600" w:lineRule="exact"/>
        <w:ind w:firstLine="640" w:firstLineChars="200"/>
        <w:rPr>
          <w:rFonts w:ascii="仿宋" w:hAnsi="仿宋" w:eastAsia="仿宋"/>
          <w:sz w:val="32"/>
          <w:szCs w:val="32"/>
        </w:rPr>
      </w:pPr>
      <w:r>
        <w:rPr>
          <w:rFonts w:hint="eastAsia" w:ascii="仿宋" w:hAnsi="仿宋" w:eastAsia="仿宋"/>
          <w:sz w:val="32"/>
          <w:szCs w:val="32"/>
        </w:rPr>
        <w:t>图4：财政拨款收、支决算总计变动情况</w:t>
      </w:r>
    </w:p>
    <w:p w14:paraId="49DA48F6">
      <w:pPr>
        <w:spacing w:line="240" w:lineRule="auto"/>
        <w:ind w:firstLine="640"/>
        <w:rPr>
          <w:rFonts w:hint="eastAsia" w:ascii="黑体" w:hAnsi="黑体" w:eastAsia="黑体"/>
          <w:sz w:val="32"/>
          <w:szCs w:val="32"/>
        </w:rPr>
      </w:pPr>
      <w:r>
        <w:rPr>
          <w:rFonts w:hint="eastAsia" w:ascii="仿宋" w:hAnsi="仿宋" w:eastAsia="仿宋"/>
          <w:b/>
          <w:sz w:val="32"/>
          <w:szCs w:val="32"/>
          <w:lang w:eastAsia="zh-CN"/>
        </w:rPr>
        <w:drawing>
          <wp:inline distT="0" distB="0" distL="114300" distR="114300">
            <wp:extent cx="4584065" cy="2755265"/>
            <wp:effectExtent l="0" t="0" r="6985" b="6985"/>
            <wp:docPr id="12" name="图片 12" descr="图片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图片4"/>
                    <pic:cNvPicPr>
                      <a:picLocks noChangeAspect="1"/>
                    </pic:cNvPicPr>
                  </pic:nvPicPr>
                  <pic:blipFill>
                    <a:blip r:embed="rId11"/>
                    <a:stretch>
                      <a:fillRect/>
                    </a:stretch>
                  </pic:blipFill>
                  <pic:spPr>
                    <a:xfrm>
                      <a:off x="0" y="0"/>
                      <a:ext cx="4584065" cy="2755265"/>
                    </a:xfrm>
                    <a:prstGeom prst="rect">
                      <a:avLst/>
                    </a:prstGeom>
                  </pic:spPr>
                </pic:pic>
              </a:graphicData>
            </a:graphic>
          </wp:inline>
        </w:drawing>
      </w:r>
      <w:bookmarkStart w:id="38" w:name="_Toc10813"/>
      <w:bookmarkStart w:id="39" w:name="_Toc15377209"/>
      <w:bookmarkStart w:id="40" w:name="_Toc15396607"/>
    </w:p>
    <w:p w14:paraId="5DD9F12A">
      <w:pPr>
        <w:spacing w:line="600" w:lineRule="exact"/>
        <w:ind w:firstLine="640" w:firstLineChars="200"/>
        <w:outlineLvl w:val="1"/>
        <w:rPr>
          <w:rFonts w:hint="eastAsia" w:ascii="黑体" w:hAnsi="黑体" w:eastAsia="黑体"/>
          <w:sz w:val="32"/>
          <w:szCs w:val="32"/>
        </w:rPr>
      </w:pPr>
    </w:p>
    <w:p w14:paraId="52A5E019">
      <w:pPr>
        <w:spacing w:line="600" w:lineRule="exact"/>
        <w:ind w:firstLine="640" w:firstLineChars="200"/>
        <w:outlineLvl w:val="1"/>
        <w:rPr>
          <w:rStyle w:val="30"/>
          <w:rFonts w:ascii="黑体" w:hAnsi="黑体" w:eastAsia="黑体"/>
          <w:b w:val="0"/>
        </w:rPr>
      </w:pPr>
      <w:r>
        <w:rPr>
          <w:rFonts w:hint="eastAsia" w:ascii="黑体" w:hAnsi="黑体" w:eastAsia="黑体"/>
          <w:sz w:val="32"/>
          <w:szCs w:val="32"/>
        </w:rPr>
        <w:t>五、</w:t>
      </w:r>
      <w:r>
        <w:rPr>
          <w:rFonts w:hint="eastAsia" w:ascii="黑体" w:hAnsi="黑体" w:eastAsia="黑体"/>
          <w:b/>
          <w:sz w:val="32"/>
          <w:szCs w:val="32"/>
        </w:rPr>
        <w:t>一</w:t>
      </w:r>
      <w:r>
        <w:rPr>
          <w:rStyle w:val="30"/>
          <w:rFonts w:hint="eastAsia" w:ascii="黑体" w:hAnsi="黑体" w:eastAsia="黑体"/>
          <w:b w:val="0"/>
        </w:rPr>
        <w:t>般公共预算财政拨款支出决算情况说明</w:t>
      </w:r>
      <w:bookmarkEnd w:id="38"/>
      <w:bookmarkEnd w:id="39"/>
      <w:bookmarkEnd w:id="40"/>
    </w:p>
    <w:p w14:paraId="6BC57335">
      <w:pPr>
        <w:spacing w:line="600" w:lineRule="exact"/>
        <w:ind w:firstLine="643" w:firstLineChars="200"/>
        <w:outlineLvl w:val="2"/>
        <w:rPr>
          <w:rFonts w:ascii="仿宋" w:hAnsi="仿宋" w:eastAsia="仿宋"/>
          <w:b/>
          <w:sz w:val="32"/>
          <w:szCs w:val="32"/>
        </w:rPr>
      </w:pPr>
      <w:bookmarkStart w:id="41" w:name="_Toc15377210"/>
      <w:r>
        <w:rPr>
          <w:rFonts w:hint="eastAsia" w:ascii="仿宋" w:hAnsi="仿宋" w:eastAsia="仿宋"/>
          <w:b/>
          <w:sz w:val="32"/>
          <w:szCs w:val="32"/>
        </w:rPr>
        <w:t>（一）一般公共预算财政拨款支出决算总体情况</w:t>
      </w:r>
      <w:bookmarkEnd w:id="41"/>
    </w:p>
    <w:p w14:paraId="292A7EF4">
      <w:pPr>
        <w:spacing w:line="600" w:lineRule="exact"/>
        <w:ind w:firstLine="640" w:firstLineChars="200"/>
        <w:rPr>
          <w:rFonts w:hint="eastAsia" w:ascii="仿宋" w:hAnsi="仿宋" w:eastAsia="仿宋"/>
          <w:b w:val="0"/>
          <w:bCs w:val="0"/>
          <w:sz w:val="32"/>
          <w:szCs w:val="32"/>
        </w:rPr>
      </w:pPr>
      <w:r>
        <w:rPr>
          <w:rFonts w:hint="eastAsia" w:ascii="仿宋" w:hAnsi="仿宋" w:eastAsia="仿宋"/>
          <w:b w:val="0"/>
          <w:bCs w:val="0"/>
          <w:sz w:val="32"/>
          <w:szCs w:val="32"/>
          <w:lang w:eastAsia="zh-CN"/>
        </w:rPr>
        <w:t>2024</w:t>
      </w:r>
      <w:r>
        <w:rPr>
          <w:rFonts w:hint="eastAsia" w:ascii="仿宋" w:hAnsi="仿宋" w:eastAsia="仿宋"/>
          <w:b w:val="0"/>
          <w:bCs w:val="0"/>
          <w:sz w:val="32"/>
          <w:szCs w:val="32"/>
        </w:rPr>
        <w:t>年度一般公共预算财政拨款支出1167.48万元，占本年支出合计的</w:t>
      </w:r>
      <w:r>
        <w:rPr>
          <w:rFonts w:ascii="仿宋" w:hAnsi="仿宋" w:eastAsia="仿宋"/>
          <w:b w:val="0"/>
          <w:bCs w:val="0"/>
          <w:sz w:val="32"/>
          <w:szCs w:val="32"/>
        </w:rPr>
        <w:t>100%</w:t>
      </w:r>
      <w:r>
        <w:rPr>
          <w:rFonts w:hint="eastAsia" w:ascii="仿宋" w:hAnsi="仿宋" w:eastAsia="仿宋"/>
          <w:b w:val="0"/>
          <w:bCs w:val="0"/>
          <w:sz w:val="32"/>
          <w:szCs w:val="32"/>
        </w:rPr>
        <w:t>。与</w:t>
      </w:r>
      <w:r>
        <w:rPr>
          <w:rFonts w:hint="eastAsia" w:ascii="仿宋" w:hAnsi="仿宋" w:eastAsia="仿宋"/>
          <w:b w:val="0"/>
          <w:bCs w:val="0"/>
          <w:sz w:val="32"/>
          <w:szCs w:val="32"/>
          <w:lang w:eastAsia="zh-CN"/>
        </w:rPr>
        <w:t>2023</w:t>
      </w:r>
      <w:r>
        <w:rPr>
          <w:rFonts w:hint="eastAsia" w:ascii="仿宋" w:hAnsi="仿宋" w:eastAsia="仿宋"/>
          <w:b w:val="0"/>
          <w:bCs w:val="0"/>
          <w:sz w:val="32"/>
          <w:szCs w:val="32"/>
        </w:rPr>
        <w:t>年度891.85</w:t>
      </w:r>
      <w:r>
        <w:rPr>
          <w:rFonts w:hint="eastAsia" w:ascii="仿宋" w:hAnsi="仿宋" w:eastAsia="仿宋"/>
          <w:b w:val="0"/>
          <w:bCs w:val="0"/>
          <w:sz w:val="32"/>
          <w:szCs w:val="32"/>
          <w:lang w:eastAsia="zh-CN"/>
        </w:rPr>
        <w:t>万元</w:t>
      </w:r>
      <w:r>
        <w:rPr>
          <w:rFonts w:hint="eastAsia" w:ascii="仿宋" w:hAnsi="仿宋" w:eastAsia="仿宋"/>
          <w:b w:val="0"/>
          <w:bCs w:val="0"/>
          <w:sz w:val="32"/>
          <w:szCs w:val="32"/>
        </w:rPr>
        <w:t>相比，收、支总计各增加</w:t>
      </w:r>
      <w:r>
        <w:rPr>
          <w:rFonts w:hint="eastAsia" w:ascii="仿宋" w:hAnsi="仿宋" w:eastAsia="仿宋"/>
          <w:b w:val="0"/>
          <w:bCs w:val="0"/>
          <w:sz w:val="32"/>
          <w:szCs w:val="32"/>
          <w:lang w:val="en-US" w:eastAsia="zh-CN"/>
        </w:rPr>
        <w:t>275.63</w:t>
      </w:r>
      <w:r>
        <w:rPr>
          <w:rFonts w:hint="eastAsia" w:ascii="仿宋" w:hAnsi="仿宋" w:eastAsia="仿宋"/>
          <w:b w:val="0"/>
          <w:bCs w:val="0"/>
          <w:sz w:val="32"/>
          <w:szCs w:val="32"/>
        </w:rPr>
        <w:t>万元，增长</w:t>
      </w:r>
      <w:r>
        <w:rPr>
          <w:rFonts w:hint="eastAsia" w:ascii="仿宋" w:hAnsi="仿宋" w:eastAsia="仿宋"/>
          <w:b w:val="0"/>
          <w:bCs w:val="0"/>
          <w:sz w:val="32"/>
          <w:szCs w:val="32"/>
          <w:lang w:val="en-US" w:eastAsia="zh-CN"/>
        </w:rPr>
        <w:t>30.9</w:t>
      </w:r>
      <w:r>
        <w:rPr>
          <w:rFonts w:ascii="仿宋" w:hAnsi="仿宋" w:eastAsia="仿宋"/>
          <w:b w:val="0"/>
          <w:bCs w:val="0"/>
          <w:sz w:val="32"/>
          <w:szCs w:val="32"/>
        </w:rPr>
        <w:t>%</w:t>
      </w:r>
      <w:r>
        <w:rPr>
          <w:rFonts w:hint="eastAsia" w:ascii="仿宋" w:hAnsi="仿宋" w:eastAsia="仿宋"/>
          <w:b w:val="0"/>
          <w:bCs w:val="0"/>
          <w:sz w:val="32"/>
          <w:szCs w:val="32"/>
        </w:rPr>
        <w:t>。主要变动原因是一般公共预算财政拨款收入</w:t>
      </w:r>
      <w:r>
        <w:rPr>
          <w:rFonts w:hint="eastAsia" w:ascii="仿宋" w:hAnsi="仿宋" w:eastAsia="仿宋"/>
          <w:b w:val="0"/>
          <w:bCs w:val="0"/>
          <w:sz w:val="32"/>
          <w:szCs w:val="32"/>
          <w:lang w:eastAsia="zh-CN"/>
        </w:rPr>
        <w:t>增加</w:t>
      </w:r>
      <w:r>
        <w:rPr>
          <w:rFonts w:hint="eastAsia" w:ascii="仿宋" w:hAnsi="仿宋" w:eastAsia="仿宋"/>
          <w:b w:val="0"/>
          <w:bCs w:val="0"/>
          <w:sz w:val="32"/>
          <w:szCs w:val="32"/>
          <w:lang w:val="en-US" w:eastAsia="zh-CN"/>
        </w:rPr>
        <w:t>275.63万元；</w:t>
      </w:r>
      <w:r>
        <w:rPr>
          <w:rFonts w:hint="eastAsia" w:ascii="仿宋" w:hAnsi="仿宋" w:eastAsia="仿宋"/>
          <w:b w:val="0"/>
          <w:bCs w:val="0"/>
          <w:sz w:val="32"/>
          <w:szCs w:val="32"/>
        </w:rPr>
        <w:t>社会保障和就业支出增加34.53万元、卫生健康支出增加8.72万元、城乡社区支出增加215.48万元、住房保障支出增加16.9万元所致。</w:t>
      </w:r>
    </w:p>
    <w:p w14:paraId="78FFCAF6">
      <w:pPr>
        <w:spacing w:line="600" w:lineRule="exact"/>
        <w:ind w:firstLine="320" w:firstLineChars="100"/>
        <w:rPr>
          <w:rFonts w:hint="eastAsia" w:ascii="仿宋" w:hAnsi="仿宋" w:eastAsia="仿宋"/>
          <w:color w:val="auto"/>
          <w:sz w:val="32"/>
          <w:szCs w:val="32"/>
        </w:rPr>
      </w:pPr>
      <w:r>
        <w:rPr>
          <w:rFonts w:hint="eastAsia" w:ascii="仿宋" w:hAnsi="仿宋" w:eastAsia="仿宋"/>
          <w:color w:val="auto"/>
          <w:sz w:val="32"/>
          <w:szCs w:val="32"/>
        </w:rPr>
        <w:t>图5：一般公共预算财政拨款支出决算变动情况</w:t>
      </w:r>
    </w:p>
    <w:p w14:paraId="48061F95">
      <w:pPr>
        <w:pStyle w:val="2"/>
        <w:ind w:left="0" w:leftChars="0" w:firstLine="0" w:firstLineChars="0"/>
        <w:rPr>
          <w:rFonts w:hint="eastAsia" w:ascii="仿宋" w:hAnsi="仿宋" w:eastAsia="仿宋"/>
          <w:sz w:val="32"/>
          <w:szCs w:val="32"/>
          <w:lang w:eastAsia="zh-CN"/>
        </w:rPr>
      </w:pPr>
      <w:r>
        <w:rPr>
          <w:rFonts w:hint="eastAsia" w:eastAsia="仿宋"/>
          <w:lang w:eastAsia="zh-CN"/>
        </w:rPr>
        <w:drawing>
          <wp:anchor distT="0" distB="0" distL="114300" distR="114300" simplePos="0" relativeHeight="251659264" behindDoc="1" locked="0" layoutInCell="1" allowOverlap="1">
            <wp:simplePos x="0" y="0"/>
            <wp:positionH relativeFrom="column">
              <wp:posOffset>537845</wp:posOffset>
            </wp:positionH>
            <wp:positionV relativeFrom="paragraph">
              <wp:posOffset>46990</wp:posOffset>
            </wp:positionV>
            <wp:extent cx="4493895" cy="3178810"/>
            <wp:effectExtent l="4445" t="4445" r="16510" b="17145"/>
            <wp:wrapTight wrapText="bothSides">
              <wp:wrapPolygon>
                <wp:start x="-21" y="-30"/>
                <wp:lineTo x="-21" y="21458"/>
                <wp:lineTo x="21496" y="21458"/>
                <wp:lineTo x="21496" y="-30"/>
                <wp:lineTo x="-21" y="-30"/>
              </wp:wrapPolygon>
            </wp:wrapTight>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p w14:paraId="795C3868">
      <w:pPr>
        <w:spacing w:line="600" w:lineRule="exact"/>
        <w:ind w:firstLine="643" w:firstLineChars="200"/>
        <w:outlineLvl w:val="2"/>
        <w:rPr>
          <w:rFonts w:hint="eastAsia" w:ascii="仿宋" w:hAnsi="仿宋" w:eastAsia="仿宋"/>
          <w:b/>
          <w:sz w:val="32"/>
          <w:szCs w:val="32"/>
          <w:highlight w:val="none"/>
        </w:rPr>
      </w:pPr>
      <w:bookmarkStart w:id="42" w:name="_Toc15377211"/>
    </w:p>
    <w:p w14:paraId="76F250B9">
      <w:pPr>
        <w:spacing w:line="600" w:lineRule="exact"/>
        <w:ind w:firstLine="643" w:firstLineChars="200"/>
        <w:outlineLvl w:val="2"/>
        <w:rPr>
          <w:rFonts w:hint="eastAsia" w:ascii="仿宋" w:hAnsi="仿宋" w:eastAsia="仿宋"/>
          <w:b/>
          <w:sz w:val="32"/>
          <w:szCs w:val="32"/>
          <w:highlight w:val="none"/>
        </w:rPr>
      </w:pPr>
    </w:p>
    <w:p w14:paraId="529A49BA">
      <w:pPr>
        <w:spacing w:line="600" w:lineRule="exact"/>
        <w:ind w:firstLine="643" w:firstLineChars="200"/>
        <w:outlineLvl w:val="2"/>
        <w:rPr>
          <w:rFonts w:hint="eastAsia" w:ascii="仿宋" w:hAnsi="仿宋" w:eastAsia="仿宋"/>
          <w:b/>
          <w:sz w:val="32"/>
          <w:szCs w:val="32"/>
          <w:highlight w:val="none"/>
        </w:rPr>
      </w:pPr>
    </w:p>
    <w:p w14:paraId="027FF5E6">
      <w:pPr>
        <w:spacing w:line="600" w:lineRule="exact"/>
        <w:ind w:firstLine="643" w:firstLineChars="200"/>
        <w:outlineLvl w:val="2"/>
        <w:rPr>
          <w:rFonts w:hint="eastAsia" w:ascii="仿宋" w:hAnsi="仿宋" w:eastAsia="仿宋"/>
          <w:b/>
          <w:sz w:val="32"/>
          <w:szCs w:val="32"/>
          <w:highlight w:val="none"/>
        </w:rPr>
      </w:pPr>
    </w:p>
    <w:p w14:paraId="4EB21B0C">
      <w:pPr>
        <w:spacing w:line="600" w:lineRule="exact"/>
        <w:ind w:firstLine="643" w:firstLineChars="200"/>
        <w:outlineLvl w:val="2"/>
        <w:rPr>
          <w:rFonts w:hint="eastAsia" w:ascii="仿宋" w:hAnsi="仿宋" w:eastAsia="仿宋"/>
          <w:b/>
          <w:sz w:val="32"/>
          <w:szCs w:val="32"/>
          <w:highlight w:val="none"/>
        </w:rPr>
      </w:pPr>
    </w:p>
    <w:p w14:paraId="51553203">
      <w:pPr>
        <w:spacing w:line="600" w:lineRule="exact"/>
        <w:ind w:firstLine="643" w:firstLineChars="200"/>
        <w:outlineLvl w:val="2"/>
        <w:rPr>
          <w:rFonts w:hint="eastAsia" w:ascii="仿宋" w:hAnsi="仿宋" w:eastAsia="仿宋"/>
          <w:b/>
          <w:sz w:val="32"/>
          <w:szCs w:val="32"/>
          <w:highlight w:val="none"/>
        </w:rPr>
      </w:pPr>
    </w:p>
    <w:p w14:paraId="11409F58">
      <w:pPr>
        <w:spacing w:line="600" w:lineRule="exact"/>
        <w:ind w:firstLine="643" w:firstLineChars="200"/>
        <w:outlineLvl w:val="2"/>
        <w:rPr>
          <w:rFonts w:hint="eastAsia" w:ascii="仿宋" w:hAnsi="仿宋" w:eastAsia="仿宋"/>
          <w:b/>
          <w:sz w:val="32"/>
          <w:szCs w:val="32"/>
          <w:highlight w:val="none"/>
        </w:rPr>
      </w:pPr>
    </w:p>
    <w:p w14:paraId="2EA014B2">
      <w:pPr>
        <w:spacing w:line="600" w:lineRule="exact"/>
        <w:ind w:firstLine="643" w:firstLineChars="200"/>
        <w:outlineLvl w:val="2"/>
        <w:rPr>
          <w:rFonts w:ascii="仿宋" w:hAnsi="仿宋" w:eastAsia="仿宋"/>
          <w:b/>
          <w:sz w:val="32"/>
          <w:szCs w:val="32"/>
          <w:highlight w:val="none"/>
        </w:rPr>
      </w:pPr>
      <w:r>
        <w:rPr>
          <w:rFonts w:hint="eastAsia" w:ascii="仿宋" w:hAnsi="仿宋" w:eastAsia="仿宋"/>
          <w:b/>
          <w:sz w:val="32"/>
          <w:szCs w:val="32"/>
          <w:highlight w:val="none"/>
        </w:rPr>
        <w:t>（二）一般公共预算财政拨款支出决算结构情况</w:t>
      </w:r>
      <w:bookmarkEnd w:id="42"/>
    </w:p>
    <w:p w14:paraId="35612DBD">
      <w:pPr>
        <w:spacing w:line="600" w:lineRule="exact"/>
        <w:ind w:firstLine="640"/>
        <w:rPr>
          <w:rFonts w:hint="eastAsia" w:ascii="仿宋" w:hAnsi="仿宋" w:eastAsia="仿宋" w:cs="仿宋"/>
          <w:b w:val="0"/>
          <w:bCs w:val="0"/>
          <w:sz w:val="32"/>
          <w:szCs w:val="32"/>
          <w:highlight w:val="none"/>
        </w:rPr>
      </w:pPr>
      <w:r>
        <w:rPr>
          <w:rFonts w:hint="eastAsia" w:ascii="仿宋" w:hAnsi="仿宋" w:eastAsia="仿宋" w:cs="仿宋"/>
          <w:b w:val="0"/>
          <w:bCs w:val="0"/>
          <w:sz w:val="32"/>
          <w:szCs w:val="32"/>
          <w:highlight w:val="none"/>
          <w:lang w:eastAsia="zh-CN"/>
        </w:rPr>
        <w:t>2024</w:t>
      </w:r>
      <w:r>
        <w:rPr>
          <w:rFonts w:hint="eastAsia" w:ascii="仿宋" w:hAnsi="仿宋" w:eastAsia="仿宋" w:cs="仿宋"/>
          <w:b w:val="0"/>
          <w:bCs w:val="0"/>
          <w:sz w:val="32"/>
          <w:szCs w:val="32"/>
          <w:highlight w:val="none"/>
        </w:rPr>
        <w:t>年度一般公共预算财政拨款支出1167.48万元，主要用于以下方面:社会保障和就业支出</w:t>
      </w:r>
      <w:r>
        <w:rPr>
          <w:rFonts w:hint="eastAsia" w:ascii="仿宋" w:hAnsi="仿宋" w:eastAsia="仿宋" w:cs="仿宋"/>
          <w:b w:val="0"/>
          <w:bCs w:val="0"/>
          <w:sz w:val="32"/>
          <w:szCs w:val="32"/>
          <w:highlight w:val="none"/>
          <w:lang w:val="en-US" w:eastAsia="zh-CN"/>
        </w:rPr>
        <w:t>106.81</w:t>
      </w:r>
      <w:r>
        <w:rPr>
          <w:rFonts w:hint="eastAsia" w:ascii="仿宋" w:hAnsi="仿宋" w:eastAsia="仿宋" w:cs="仿宋"/>
          <w:b w:val="0"/>
          <w:bCs w:val="0"/>
          <w:sz w:val="32"/>
          <w:szCs w:val="32"/>
          <w:highlight w:val="none"/>
        </w:rPr>
        <w:t>万元，</w:t>
      </w:r>
      <w:r>
        <w:rPr>
          <w:rFonts w:hint="eastAsia" w:ascii="仿宋" w:hAnsi="仿宋" w:eastAsia="仿宋" w:cs="仿宋"/>
          <w:b w:val="0"/>
          <w:bCs w:val="0"/>
          <w:color w:val="auto"/>
          <w:sz w:val="32"/>
          <w:szCs w:val="32"/>
          <w:highlight w:val="none"/>
        </w:rPr>
        <w:t>占</w:t>
      </w:r>
      <w:r>
        <w:rPr>
          <w:rFonts w:hint="eastAsia" w:ascii="仿宋" w:hAnsi="仿宋" w:eastAsia="仿宋" w:cs="仿宋"/>
          <w:b w:val="0"/>
          <w:bCs w:val="0"/>
          <w:color w:val="auto"/>
          <w:sz w:val="32"/>
          <w:szCs w:val="32"/>
          <w:highlight w:val="none"/>
          <w:lang w:val="en-US" w:eastAsia="zh-CN"/>
        </w:rPr>
        <w:t>9.2</w:t>
      </w:r>
      <w:r>
        <w:rPr>
          <w:rFonts w:hint="eastAsia" w:ascii="仿宋" w:hAnsi="仿宋" w:eastAsia="仿宋" w:cs="仿宋"/>
          <w:b w:val="0"/>
          <w:bCs w:val="0"/>
          <w:color w:val="auto"/>
          <w:sz w:val="32"/>
          <w:szCs w:val="32"/>
          <w:highlight w:val="none"/>
        </w:rPr>
        <w:t>%；</w:t>
      </w:r>
      <w:r>
        <w:rPr>
          <w:rFonts w:hint="eastAsia" w:ascii="仿宋" w:hAnsi="仿宋" w:eastAsia="仿宋" w:cs="仿宋"/>
          <w:b w:val="0"/>
          <w:bCs w:val="0"/>
          <w:sz w:val="32"/>
          <w:szCs w:val="32"/>
          <w:highlight w:val="none"/>
        </w:rPr>
        <w:t>卫生健康支出</w:t>
      </w:r>
      <w:r>
        <w:rPr>
          <w:rFonts w:hint="eastAsia" w:ascii="仿宋" w:hAnsi="仿宋" w:eastAsia="仿宋" w:cs="仿宋"/>
          <w:b w:val="0"/>
          <w:bCs w:val="0"/>
          <w:sz w:val="32"/>
          <w:szCs w:val="32"/>
          <w:highlight w:val="none"/>
          <w:lang w:val="en-US" w:eastAsia="zh-CN"/>
        </w:rPr>
        <w:t>23.66</w:t>
      </w:r>
      <w:r>
        <w:rPr>
          <w:rFonts w:hint="eastAsia" w:ascii="仿宋" w:hAnsi="仿宋" w:eastAsia="仿宋" w:cs="仿宋"/>
          <w:b w:val="0"/>
          <w:bCs w:val="0"/>
          <w:sz w:val="32"/>
          <w:szCs w:val="32"/>
          <w:highlight w:val="none"/>
        </w:rPr>
        <w:t>万元，占</w:t>
      </w:r>
      <w:r>
        <w:rPr>
          <w:rFonts w:hint="eastAsia" w:ascii="仿宋" w:hAnsi="仿宋" w:eastAsia="仿宋" w:cs="仿宋"/>
          <w:b w:val="0"/>
          <w:bCs w:val="0"/>
          <w:sz w:val="32"/>
          <w:szCs w:val="32"/>
          <w:highlight w:val="none"/>
          <w:lang w:val="en-US" w:eastAsia="zh-CN"/>
        </w:rPr>
        <w:t>2</w:t>
      </w:r>
      <w:r>
        <w:rPr>
          <w:rFonts w:hint="eastAsia" w:ascii="仿宋" w:hAnsi="仿宋" w:eastAsia="仿宋" w:cs="仿宋"/>
          <w:b w:val="0"/>
          <w:bCs w:val="0"/>
          <w:sz w:val="32"/>
          <w:szCs w:val="32"/>
          <w:highlight w:val="none"/>
        </w:rPr>
        <w:t>%；</w:t>
      </w:r>
      <w:r>
        <w:rPr>
          <w:rFonts w:hint="eastAsia" w:ascii="仿宋" w:hAnsi="仿宋" w:eastAsia="仿宋" w:cs="仿宋"/>
          <w:b w:val="0"/>
          <w:bCs w:val="0"/>
          <w:sz w:val="32"/>
          <w:szCs w:val="32"/>
          <w:highlight w:val="none"/>
          <w:lang w:val="zh-CN"/>
        </w:rPr>
        <w:t>城乡社区支出</w:t>
      </w:r>
      <w:r>
        <w:rPr>
          <w:rFonts w:hint="eastAsia" w:ascii="仿宋" w:hAnsi="仿宋" w:eastAsia="仿宋" w:cs="仿宋"/>
          <w:b w:val="0"/>
          <w:bCs w:val="0"/>
          <w:color w:val="000000"/>
          <w:kern w:val="2"/>
          <w:sz w:val="32"/>
          <w:szCs w:val="24"/>
          <w:highlight w:val="none"/>
          <w:lang w:val="en-US" w:eastAsia="zh-CN"/>
        </w:rPr>
        <w:t>984.53</w:t>
      </w:r>
      <w:r>
        <w:rPr>
          <w:rFonts w:hint="eastAsia" w:ascii="仿宋" w:hAnsi="仿宋" w:eastAsia="仿宋" w:cs="仿宋"/>
          <w:b w:val="0"/>
          <w:bCs w:val="0"/>
          <w:color w:val="000000"/>
          <w:kern w:val="2"/>
          <w:sz w:val="32"/>
          <w:szCs w:val="24"/>
          <w:highlight w:val="none"/>
          <w:lang w:val="zh-CN"/>
        </w:rPr>
        <w:t>万元，占</w:t>
      </w:r>
      <w:r>
        <w:rPr>
          <w:rFonts w:hint="eastAsia" w:ascii="仿宋" w:hAnsi="仿宋" w:eastAsia="仿宋" w:cs="仿宋"/>
          <w:b w:val="0"/>
          <w:bCs w:val="0"/>
          <w:color w:val="000000"/>
          <w:kern w:val="2"/>
          <w:sz w:val="32"/>
          <w:szCs w:val="24"/>
          <w:highlight w:val="none"/>
          <w:lang w:val="en-US" w:eastAsia="zh-CN"/>
        </w:rPr>
        <w:t>84.3</w:t>
      </w:r>
      <w:r>
        <w:rPr>
          <w:rFonts w:hint="eastAsia" w:ascii="仿宋" w:hAnsi="仿宋" w:eastAsia="仿宋" w:cs="仿宋"/>
          <w:b w:val="0"/>
          <w:bCs w:val="0"/>
          <w:color w:val="000000"/>
          <w:kern w:val="2"/>
          <w:sz w:val="32"/>
          <w:szCs w:val="24"/>
          <w:highlight w:val="none"/>
          <w:lang w:val="zh-CN"/>
        </w:rPr>
        <w:t>%；</w:t>
      </w:r>
      <w:r>
        <w:rPr>
          <w:rFonts w:hint="eastAsia" w:ascii="仿宋" w:hAnsi="仿宋" w:eastAsia="仿宋" w:cs="仿宋"/>
          <w:b w:val="0"/>
          <w:bCs w:val="0"/>
          <w:sz w:val="32"/>
          <w:szCs w:val="32"/>
          <w:highlight w:val="none"/>
        </w:rPr>
        <w:t>住房保障支出</w:t>
      </w:r>
      <w:r>
        <w:rPr>
          <w:rFonts w:hint="eastAsia" w:ascii="仿宋" w:hAnsi="仿宋" w:eastAsia="仿宋" w:cs="仿宋"/>
          <w:b w:val="0"/>
          <w:bCs w:val="0"/>
          <w:sz w:val="32"/>
          <w:szCs w:val="32"/>
          <w:highlight w:val="none"/>
          <w:lang w:val="en-US" w:eastAsia="zh-CN"/>
        </w:rPr>
        <w:t>52.48</w:t>
      </w:r>
      <w:r>
        <w:rPr>
          <w:rFonts w:hint="eastAsia" w:ascii="仿宋" w:hAnsi="仿宋" w:eastAsia="仿宋" w:cs="仿宋"/>
          <w:b w:val="0"/>
          <w:bCs w:val="0"/>
          <w:sz w:val="32"/>
          <w:szCs w:val="32"/>
          <w:highlight w:val="none"/>
        </w:rPr>
        <w:t>万元，占</w:t>
      </w:r>
      <w:r>
        <w:rPr>
          <w:rFonts w:hint="eastAsia" w:ascii="仿宋" w:hAnsi="仿宋" w:eastAsia="仿宋" w:cs="仿宋"/>
          <w:b w:val="0"/>
          <w:bCs w:val="0"/>
          <w:sz w:val="32"/>
          <w:szCs w:val="32"/>
          <w:highlight w:val="none"/>
          <w:lang w:val="en-US" w:eastAsia="zh-CN"/>
        </w:rPr>
        <w:t>4.5</w:t>
      </w:r>
      <w:r>
        <w:rPr>
          <w:rFonts w:hint="eastAsia" w:ascii="仿宋" w:hAnsi="仿宋" w:eastAsia="仿宋" w:cs="仿宋"/>
          <w:b w:val="0"/>
          <w:bCs w:val="0"/>
          <w:sz w:val="32"/>
          <w:szCs w:val="32"/>
          <w:highlight w:val="none"/>
        </w:rPr>
        <w:t>%；</w:t>
      </w:r>
    </w:p>
    <w:p w14:paraId="2C68DF17">
      <w:pPr>
        <w:pStyle w:val="2"/>
        <w:rPr>
          <w:rFonts w:hint="eastAsia"/>
        </w:rPr>
      </w:pPr>
    </w:p>
    <w:p w14:paraId="32546627">
      <w:pPr>
        <w:spacing w:line="240" w:lineRule="auto"/>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图6：一般公共预算财政拨款支出决算结构</w:t>
      </w:r>
    </w:p>
    <w:p w14:paraId="48EA683E">
      <w:pPr>
        <w:spacing w:line="240" w:lineRule="auto"/>
        <w:rPr>
          <w:rFonts w:hint="default"/>
          <w:lang w:val="en-US" w:eastAsia="zh-CN"/>
        </w:rPr>
      </w:pPr>
      <w:r>
        <w:rPr>
          <w:rFonts w:hint="eastAsia" w:ascii="仿宋" w:hAnsi="仿宋" w:eastAsia="仿宋"/>
          <w:sz w:val="32"/>
          <w:szCs w:val="32"/>
          <w:lang w:val="en-US" w:eastAsia="zh-CN"/>
        </w:rPr>
        <w:t xml:space="preserve">    </w:t>
      </w:r>
      <w:r>
        <w:rPr>
          <w:rFonts w:hint="default"/>
          <w:lang w:val="en-US" w:eastAsia="zh-CN"/>
        </w:rPr>
        <w:drawing>
          <wp:inline distT="0" distB="0" distL="114300" distR="114300">
            <wp:extent cx="4961255" cy="2931160"/>
            <wp:effectExtent l="4445" t="4445" r="6350" b="17145"/>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rPr>
          <w:rFonts w:hint="eastAsia" w:ascii="仿宋" w:hAnsi="仿宋" w:eastAsia="仿宋"/>
          <w:sz w:val="32"/>
          <w:szCs w:val="32"/>
          <w:lang w:val="en-US" w:eastAsia="zh-CN"/>
        </w:rPr>
        <w:t xml:space="preserve">                     </w:t>
      </w:r>
    </w:p>
    <w:p w14:paraId="4BBF7740">
      <w:pPr>
        <w:spacing w:line="600" w:lineRule="exact"/>
        <w:ind w:firstLine="640" w:firstLineChars="200"/>
        <w:rPr>
          <w:rFonts w:ascii="仿宋" w:hAnsi="仿宋" w:eastAsia="仿宋"/>
          <w:sz w:val="32"/>
          <w:szCs w:val="32"/>
        </w:rPr>
      </w:pPr>
    </w:p>
    <w:p w14:paraId="467E624B">
      <w:pPr>
        <w:spacing w:line="600" w:lineRule="exact"/>
        <w:ind w:firstLine="643" w:firstLineChars="200"/>
        <w:outlineLvl w:val="2"/>
        <w:rPr>
          <w:rFonts w:ascii="仿宋" w:hAnsi="仿宋" w:eastAsia="仿宋"/>
          <w:b/>
          <w:sz w:val="32"/>
          <w:szCs w:val="32"/>
        </w:rPr>
      </w:pPr>
      <w:bookmarkStart w:id="43" w:name="_Toc15377212"/>
      <w:r>
        <w:rPr>
          <w:rFonts w:hint="eastAsia" w:ascii="仿宋" w:hAnsi="仿宋" w:eastAsia="仿宋"/>
          <w:b/>
          <w:sz w:val="32"/>
          <w:szCs w:val="32"/>
        </w:rPr>
        <w:t>（三）一般公共预算财政拨款支出决算具体情况</w:t>
      </w:r>
      <w:bookmarkEnd w:id="43"/>
    </w:p>
    <w:p w14:paraId="3C553046">
      <w:pPr>
        <w:spacing w:line="600" w:lineRule="exact"/>
        <w:ind w:firstLine="640" w:firstLineChars="200"/>
        <w:outlineLvl w:val="2"/>
        <w:rPr>
          <w:rFonts w:ascii="仿宋" w:hAnsi="仿宋" w:eastAsia="仿宋"/>
          <w:b w:val="0"/>
          <w:bCs/>
          <w:sz w:val="32"/>
          <w:szCs w:val="32"/>
        </w:rPr>
      </w:pPr>
      <w:bookmarkStart w:id="44" w:name="_Toc15377213"/>
      <w:bookmarkStart w:id="45" w:name="_Toc15377444"/>
      <w:bookmarkStart w:id="46" w:name="_Toc15378460"/>
      <w:r>
        <w:rPr>
          <w:rFonts w:hint="eastAsia" w:ascii="仿宋" w:hAnsi="仿宋" w:eastAsia="仿宋"/>
          <w:b w:val="0"/>
          <w:bCs/>
          <w:sz w:val="32"/>
          <w:szCs w:val="32"/>
          <w:lang w:eastAsia="zh-CN"/>
        </w:rPr>
        <w:t>2024</w:t>
      </w:r>
      <w:r>
        <w:rPr>
          <w:rFonts w:hint="eastAsia" w:ascii="仿宋" w:hAnsi="仿宋" w:eastAsia="仿宋"/>
          <w:b w:val="0"/>
          <w:bCs/>
          <w:sz w:val="32"/>
          <w:szCs w:val="32"/>
        </w:rPr>
        <w:t>年度一般公共预算支出决算数为1167.48</w:t>
      </w:r>
      <w:r>
        <w:rPr>
          <w:rFonts w:hint="eastAsia" w:ascii="仿宋" w:hAnsi="仿宋" w:eastAsia="仿宋"/>
          <w:b w:val="0"/>
          <w:bCs/>
          <w:sz w:val="32"/>
          <w:szCs w:val="32"/>
          <w:lang w:val="en-US" w:eastAsia="zh-CN"/>
        </w:rPr>
        <w:t>万元</w:t>
      </w:r>
      <w:r>
        <w:rPr>
          <w:rFonts w:hint="eastAsia" w:ascii="仿宋" w:hAnsi="仿宋" w:eastAsia="仿宋"/>
          <w:b w:val="0"/>
          <w:bCs/>
          <w:sz w:val="32"/>
          <w:szCs w:val="32"/>
        </w:rPr>
        <w:t>，</w:t>
      </w:r>
      <w:r>
        <w:rPr>
          <w:rStyle w:val="18"/>
          <w:rFonts w:hint="eastAsia" w:ascii="仿宋" w:hAnsi="仿宋" w:eastAsia="仿宋"/>
          <w:b w:val="0"/>
          <w:bCs/>
          <w:sz w:val="32"/>
          <w:szCs w:val="32"/>
        </w:rPr>
        <w:t>完成预算</w:t>
      </w:r>
      <w:r>
        <w:rPr>
          <w:rStyle w:val="18"/>
          <w:rFonts w:hint="eastAsia" w:ascii="仿宋" w:hAnsi="仿宋" w:eastAsia="仿宋"/>
          <w:b w:val="0"/>
          <w:bCs/>
          <w:sz w:val="32"/>
          <w:szCs w:val="32"/>
          <w:lang w:val="en-US" w:eastAsia="zh-CN"/>
        </w:rPr>
        <w:t>100</w:t>
      </w:r>
      <w:r>
        <w:rPr>
          <w:rStyle w:val="18"/>
          <w:rFonts w:ascii="仿宋" w:hAnsi="仿宋" w:eastAsia="仿宋"/>
          <w:b w:val="0"/>
          <w:bCs/>
          <w:sz w:val="32"/>
          <w:szCs w:val="32"/>
        </w:rPr>
        <w:t>%</w:t>
      </w:r>
      <w:r>
        <w:rPr>
          <w:rStyle w:val="18"/>
          <w:rFonts w:hint="eastAsia" w:ascii="仿宋" w:hAnsi="仿宋" w:eastAsia="仿宋"/>
          <w:b w:val="0"/>
          <w:bCs/>
          <w:sz w:val="32"/>
          <w:szCs w:val="32"/>
        </w:rPr>
        <w:t>。其中：</w:t>
      </w:r>
      <w:bookmarkEnd w:id="44"/>
      <w:bookmarkEnd w:id="45"/>
      <w:bookmarkEnd w:id="46"/>
    </w:p>
    <w:p w14:paraId="1B5F6F7A">
      <w:pPr>
        <w:spacing w:line="360" w:lineRule="auto"/>
        <w:ind w:firstLine="640" w:firstLineChars="200"/>
        <w:rPr>
          <w:rStyle w:val="18"/>
          <w:rFonts w:ascii="仿宋" w:hAnsi="仿宋" w:eastAsia="仿宋"/>
          <w:b w:val="0"/>
          <w:bCs/>
          <w:sz w:val="32"/>
          <w:szCs w:val="32"/>
        </w:rPr>
      </w:pPr>
      <w:r>
        <w:rPr>
          <w:rStyle w:val="18"/>
          <w:rFonts w:ascii="仿宋" w:hAnsi="仿宋" w:eastAsia="仿宋"/>
          <w:b w:val="0"/>
          <w:bCs/>
          <w:sz w:val="32"/>
          <w:szCs w:val="32"/>
        </w:rPr>
        <w:t>1.</w:t>
      </w:r>
      <w:r>
        <w:rPr>
          <w:rStyle w:val="18"/>
          <w:rFonts w:hint="eastAsia" w:ascii="仿宋" w:hAnsi="仿宋" w:eastAsia="仿宋" w:cs="仿宋"/>
          <w:b w:val="0"/>
          <w:bCs/>
          <w:color w:val="000000"/>
          <w:sz w:val="32"/>
          <w:szCs w:val="32"/>
          <w:highlight w:val="none"/>
        </w:rPr>
        <w:t>社会保障和就业（类）行政事业单位养老支出（款）机关事业单位基本养老保险缴费支出（项）: 支出决算为</w:t>
      </w:r>
      <w:r>
        <w:rPr>
          <w:rStyle w:val="18"/>
          <w:rFonts w:hint="eastAsia" w:ascii="仿宋" w:hAnsi="仿宋" w:eastAsia="仿宋" w:cs="仿宋"/>
          <w:b w:val="0"/>
          <w:bCs/>
          <w:color w:val="000000"/>
          <w:sz w:val="32"/>
          <w:szCs w:val="32"/>
          <w:highlight w:val="none"/>
          <w:lang w:val="en-US" w:eastAsia="zh-CN"/>
        </w:rPr>
        <w:t>65.65</w:t>
      </w:r>
      <w:r>
        <w:rPr>
          <w:rStyle w:val="18"/>
          <w:rFonts w:hint="eastAsia" w:ascii="仿宋" w:hAnsi="仿宋" w:eastAsia="仿宋" w:cs="仿宋"/>
          <w:b w:val="0"/>
          <w:bCs/>
          <w:color w:val="000000"/>
          <w:sz w:val="32"/>
          <w:szCs w:val="32"/>
          <w:highlight w:val="none"/>
        </w:rPr>
        <w:t>万元，完成预算</w:t>
      </w:r>
      <w:r>
        <w:rPr>
          <w:rStyle w:val="18"/>
          <w:rFonts w:hint="eastAsia" w:ascii="仿宋" w:hAnsi="仿宋" w:eastAsia="仿宋" w:cs="仿宋"/>
          <w:b w:val="0"/>
          <w:bCs/>
          <w:color w:val="000000"/>
          <w:sz w:val="32"/>
          <w:szCs w:val="32"/>
          <w:highlight w:val="none"/>
          <w:lang w:val="en-US" w:eastAsia="zh-CN"/>
        </w:rPr>
        <w:t>100</w:t>
      </w:r>
      <w:r>
        <w:rPr>
          <w:rStyle w:val="18"/>
          <w:rFonts w:hint="eastAsia" w:ascii="仿宋" w:hAnsi="仿宋" w:eastAsia="仿宋" w:cs="仿宋"/>
          <w:b w:val="0"/>
          <w:bCs/>
          <w:color w:val="000000"/>
          <w:sz w:val="32"/>
          <w:szCs w:val="32"/>
          <w:highlight w:val="none"/>
        </w:rPr>
        <w:t>%。</w:t>
      </w:r>
      <w:r>
        <w:rPr>
          <w:rFonts w:hint="eastAsia" w:ascii="仿宋" w:hAnsi="仿宋" w:eastAsia="仿宋"/>
          <w:b w:val="0"/>
          <w:bCs/>
          <w:color w:val="auto"/>
          <w:kern w:val="2"/>
          <w:sz w:val="32"/>
          <w:szCs w:val="24"/>
          <w:lang w:val="en-US"/>
        </w:rPr>
        <w:t>决算数等于预算数</w:t>
      </w:r>
      <w:r>
        <w:rPr>
          <w:rFonts w:hint="eastAsia" w:ascii="仿宋" w:hAnsi="仿宋" w:eastAsia="仿宋"/>
          <w:b w:val="0"/>
          <w:bCs/>
          <w:color w:val="auto"/>
          <w:kern w:val="2"/>
          <w:sz w:val="32"/>
          <w:szCs w:val="24"/>
          <w:lang w:val="en-US" w:eastAsia="zh-CN"/>
        </w:rPr>
        <w:t>。</w:t>
      </w:r>
    </w:p>
    <w:p w14:paraId="5A7D35B3">
      <w:pPr>
        <w:spacing w:line="360" w:lineRule="auto"/>
        <w:ind w:firstLine="640" w:firstLineChars="200"/>
        <w:rPr>
          <w:rStyle w:val="18"/>
          <w:rFonts w:ascii="仿宋" w:hAnsi="仿宋" w:eastAsia="仿宋"/>
          <w:b w:val="0"/>
          <w:bCs/>
          <w:sz w:val="32"/>
          <w:szCs w:val="32"/>
        </w:rPr>
      </w:pPr>
      <w:r>
        <w:rPr>
          <w:rStyle w:val="18"/>
          <w:rFonts w:ascii="仿宋" w:hAnsi="仿宋" w:eastAsia="仿宋"/>
          <w:b w:val="0"/>
          <w:bCs/>
          <w:sz w:val="32"/>
          <w:szCs w:val="32"/>
        </w:rPr>
        <w:t>2.</w:t>
      </w:r>
      <w:r>
        <w:rPr>
          <w:rStyle w:val="18"/>
          <w:rFonts w:hint="eastAsia" w:ascii="仿宋" w:hAnsi="仿宋" w:eastAsia="仿宋" w:cs="仿宋"/>
          <w:b w:val="0"/>
          <w:bCs/>
          <w:color w:val="000000"/>
          <w:sz w:val="32"/>
          <w:szCs w:val="32"/>
          <w:highlight w:val="none"/>
        </w:rPr>
        <w:t>社会保障和就业（类）行政事业单位养老支出（款）机关事业单位职业年金缴费支出（项）: 支出决算为</w:t>
      </w:r>
      <w:r>
        <w:rPr>
          <w:rStyle w:val="18"/>
          <w:rFonts w:hint="eastAsia" w:ascii="仿宋" w:hAnsi="仿宋" w:eastAsia="仿宋" w:cs="仿宋"/>
          <w:b w:val="0"/>
          <w:bCs/>
          <w:color w:val="000000"/>
          <w:sz w:val="32"/>
          <w:szCs w:val="32"/>
          <w:highlight w:val="none"/>
          <w:lang w:val="en-US" w:eastAsia="zh-CN"/>
        </w:rPr>
        <w:t>34.40</w:t>
      </w:r>
      <w:r>
        <w:rPr>
          <w:rStyle w:val="18"/>
          <w:rFonts w:hint="eastAsia" w:ascii="仿宋" w:hAnsi="仿宋" w:eastAsia="仿宋" w:cs="仿宋"/>
          <w:b w:val="0"/>
          <w:bCs/>
          <w:color w:val="000000"/>
          <w:sz w:val="32"/>
          <w:szCs w:val="32"/>
          <w:highlight w:val="none"/>
        </w:rPr>
        <w:t>万元，完成预算</w:t>
      </w:r>
      <w:r>
        <w:rPr>
          <w:rStyle w:val="18"/>
          <w:rFonts w:hint="eastAsia" w:ascii="仿宋" w:hAnsi="仿宋" w:eastAsia="仿宋" w:cs="仿宋"/>
          <w:b w:val="0"/>
          <w:bCs/>
          <w:color w:val="000000"/>
          <w:sz w:val="32"/>
          <w:szCs w:val="32"/>
          <w:highlight w:val="none"/>
          <w:lang w:val="en-US" w:eastAsia="zh-CN"/>
        </w:rPr>
        <w:t>100</w:t>
      </w:r>
      <w:r>
        <w:rPr>
          <w:rStyle w:val="18"/>
          <w:rFonts w:hint="eastAsia" w:ascii="仿宋" w:hAnsi="仿宋" w:eastAsia="仿宋" w:cs="仿宋"/>
          <w:b w:val="0"/>
          <w:bCs/>
          <w:color w:val="000000"/>
          <w:sz w:val="32"/>
          <w:szCs w:val="32"/>
          <w:highlight w:val="none"/>
        </w:rPr>
        <w:t>%。</w:t>
      </w:r>
      <w:r>
        <w:rPr>
          <w:rFonts w:hint="eastAsia" w:ascii="仿宋" w:hAnsi="仿宋" w:eastAsia="仿宋"/>
          <w:b w:val="0"/>
          <w:bCs/>
          <w:color w:val="auto"/>
          <w:kern w:val="2"/>
          <w:sz w:val="32"/>
          <w:szCs w:val="24"/>
          <w:lang w:val="en-US"/>
        </w:rPr>
        <w:t>决算数等于预算数</w:t>
      </w:r>
      <w:r>
        <w:rPr>
          <w:rFonts w:hint="eastAsia" w:ascii="仿宋" w:hAnsi="仿宋" w:eastAsia="仿宋"/>
          <w:b w:val="0"/>
          <w:bCs/>
          <w:color w:val="auto"/>
          <w:kern w:val="2"/>
          <w:sz w:val="32"/>
          <w:szCs w:val="24"/>
          <w:lang w:val="en-US" w:eastAsia="zh-CN"/>
        </w:rPr>
        <w:t>。</w:t>
      </w:r>
    </w:p>
    <w:p w14:paraId="1DFDDCD4">
      <w:pPr>
        <w:spacing w:line="360" w:lineRule="auto"/>
        <w:ind w:firstLine="640" w:firstLineChars="200"/>
        <w:rPr>
          <w:rFonts w:hint="eastAsia" w:ascii="仿宋" w:hAnsi="仿宋" w:eastAsia="仿宋"/>
          <w:b w:val="0"/>
          <w:bCs/>
          <w:color w:val="auto"/>
          <w:kern w:val="2"/>
          <w:sz w:val="32"/>
          <w:szCs w:val="24"/>
          <w:lang w:val="en-US" w:eastAsia="zh-CN"/>
        </w:rPr>
      </w:pPr>
      <w:r>
        <w:rPr>
          <w:rStyle w:val="18"/>
          <w:rFonts w:ascii="仿宋" w:hAnsi="仿宋" w:eastAsia="仿宋"/>
          <w:b w:val="0"/>
          <w:bCs/>
          <w:sz w:val="32"/>
          <w:szCs w:val="32"/>
        </w:rPr>
        <w:t>3.</w:t>
      </w:r>
      <w:r>
        <w:rPr>
          <w:rStyle w:val="18"/>
          <w:rFonts w:hint="eastAsia" w:ascii="仿宋" w:hAnsi="仿宋" w:eastAsia="仿宋" w:cs="仿宋"/>
          <w:b w:val="0"/>
          <w:bCs/>
          <w:color w:val="000000"/>
          <w:sz w:val="32"/>
          <w:szCs w:val="32"/>
          <w:highlight w:val="none"/>
        </w:rPr>
        <w:t>社会保障和就业（类）行政事业单位养老支出（款）其他行政事业单位养老支出（项）: 支出决算为</w:t>
      </w:r>
      <w:r>
        <w:rPr>
          <w:rStyle w:val="18"/>
          <w:rFonts w:hint="eastAsia" w:ascii="仿宋" w:hAnsi="仿宋" w:eastAsia="仿宋" w:cs="仿宋"/>
          <w:b w:val="0"/>
          <w:bCs/>
          <w:color w:val="000000"/>
          <w:sz w:val="32"/>
          <w:szCs w:val="32"/>
          <w:highlight w:val="none"/>
          <w:lang w:val="en-US" w:eastAsia="zh-CN"/>
        </w:rPr>
        <w:t>3.07</w:t>
      </w:r>
      <w:r>
        <w:rPr>
          <w:rStyle w:val="18"/>
          <w:rFonts w:hint="eastAsia" w:ascii="仿宋" w:hAnsi="仿宋" w:eastAsia="仿宋" w:cs="仿宋"/>
          <w:b w:val="0"/>
          <w:bCs/>
          <w:color w:val="000000"/>
          <w:sz w:val="32"/>
          <w:szCs w:val="32"/>
          <w:highlight w:val="none"/>
        </w:rPr>
        <w:t>万元，完成预算</w:t>
      </w:r>
      <w:r>
        <w:rPr>
          <w:rStyle w:val="18"/>
          <w:rFonts w:hint="eastAsia" w:ascii="仿宋" w:hAnsi="仿宋" w:eastAsia="仿宋" w:cs="仿宋"/>
          <w:b w:val="0"/>
          <w:bCs/>
          <w:color w:val="000000"/>
          <w:sz w:val="32"/>
          <w:szCs w:val="32"/>
          <w:highlight w:val="none"/>
          <w:lang w:val="en-US" w:eastAsia="zh-CN"/>
        </w:rPr>
        <w:t>100</w:t>
      </w:r>
      <w:r>
        <w:rPr>
          <w:rStyle w:val="18"/>
          <w:rFonts w:hint="eastAsia" w:ascii="仿宋" w:hAnsi="仿宋" w:eastAsia="仿宋" w:cs="仿宋"/>
          <w:b w:val="0"/>
          <w:bCs/>
          <w:color w:val="000000"/>
          <w:sz w:val="32"/>
          <w:szCs w:val="32"/>
          <w:highlight w:val="none"/>
        </w:rPr>
        <w:t>%。</w:t>
      </w:r>
      <w:r>
        <w:rPr>
          <w:rFonts w:hint="eastAsia" w:ascii="仿宋" w:hAnsi="仿宋" w:eastAsia="仿宋"/>
          <w:b w:val="0"/>
          <w:bCs/>
          <w:color w:val="auto"/>
          <w:kern w:val="2"/>
          <w:sz w:val="32"/>
          <w:szCs w:val="24"/>
          <w:lang w:val="en-US"/>
        </w:rPr>
        <w:t>决算数等于预算数</w:t>
      </w:r>
      <w:r>
        <w:rPr>
          <w:rFonts w:hint="eastAsia" w:ascii="仿宋" w:hAnsi="仿宋" w:eastAsia="仿宋"/>
          <w:b w:val="0"/>
          <w:bCs/>
          <w:color w:val="auto"/>
          <w:kern w:val="2"/>
          <w:sz w:val="32"/>
          <w:szCs w:val="24"/>
          <w:lang w:val="en-US" w:eastAsia="zh-CN"/>
        </w:rPr>
        <w:t>。</w:t>
      </w:r>
    </w:p>
    <w:p w14:paraId="0965AD53">
      <w:pPr>
        <w:pStyle w:val="2"/>
        <w:ind w:left="0" w:leftChars="0" w:firstLine="640" w:firstLineChars="200"/>
        <w:rPr>
          <w:rFonts w:hint="default"/>
          <w:lang w:val="en-US"/>
        </w:rPr>
      </w:pPr>
      <w:r>
        <w:rPr>
          <w:rFonts w:hint="eastAsia" w:ascii="仿宋" w:hAnsi="仿宋" w:eastAsia="仿宋"/>
          <w:b w:val="0"/>
          <w:bCs/>
          <w:color w:val="auto"/>
          <w:kern w:val="2"/>
          <w:sz w:val="32"/>
          <w:szCs w:val="24"/>
          <w:lang w:val="en-US" w:eastAsia="zh-CN"/>
        </w:rPr>
        <w:t>4.</w:t>
      </w:r>
      <w:r>
        <w:rPr>
          <w:rStyle w:val="18"/>
          <w:rFonts w:hint="eastAsia" w:ascii="仿宋" w:hAnsi="仿宋" w:eastAsia="仿宋" w:cs="仿宋"/>
          <w:b w:val="0"/>
          <w:bCs/>
          <w:color w:val="000000"/>
          <w:sz w:val="32"/>
          <w:szCs w:val="32"/>
          <w:highlight w:val="none"/>
        </w:rPr>
        <w:t>社会保障和就业（类）其他社会保障和就业支出（款）其他社会保障和就业支出（项）: 支出决算为</w:t>
      </w:r>
      <w:r>
        <w:rPr>
          <w:rStyle w:val="18"/>
          <w:rFonts w:hint="eastAsia" w:ascii="仿宋" w:hAnsi="仿宋" w:eastAsia="仿宋" w:cs="仿宋"/>
          <w:b w:val="0"/>
          <w:bCs/>
          <w:color w:val="000000"/>
          <w:sz w:val="32"/>
          <w:szCs w:val="32"/>
          <w:highlight w:val="none"/>
          <w:lang w:val="en-US" w:eastAsia="zh-CN"/>
        </w:rPr>
        <w:t>3.70</w:t>
      </w:r>
      <w:r>
        <w:rPr>
          <w:rStyle w:val="18"/>
          <w:rFonts w:hint="eastAsia" w:ascii="仿宋" w:hAnsi="仿宋" w:eastAsia="仿宋" w:cs="仿宋"/>
          <w:b w:val="0"/>
          <w:bCs/>
          <w:color w:val="000000"/>
          <w:sz w:val="32"/>
          <w:szCs w:val="32"/>
          <w:highlight w:val="none"/>
        </w:rPr>
        <w:t>万元，完成预算</w:t>
      </w:r>
      <w:r>
        <w:rPr>
          <w:rStyle w:val="18"/>
          <w:rFonts w:hint="eastAsia" w:ascii="仿宋" w:hAnsi="仿宋" w:eastAsia="仿宋" w:cs="仿宋"/>
          <w:b w:val="0"/>
          <w:bCs/>
          <w:color w:val="000000"/>
          <w:sz w:val="32"/>
          <w:szCs w:val="32"/>
          <w:highlight w:val="none"/>
          <w:lang w:val="en-US" w:eastAsia="zh-CN"/>
        </w:rPr>
        <w:t>100</w:t>
      </w:r>
      <w:r>
        <w:rPr>
          <w:rStyle w:val="18"/>
          <w:rFonts w:hint="eastAsia" w:ascii="仿宋" w:hAnsi="仿宋" w:eastAsia="仿宋" w:cs="仿宋"/>
          <w:b w:val="0"/>
          <w:bCs/>
          <w:color w:val="000000"/>
          <w:sz w:val="32"/>
          <w:szCs w:val="32"/>
          <w:highlight w:val="none"/>
        </w:rPr>
        <w:t>%。</w:t>
      </w:r>
      <w:r>
        <w:rPr>
          <w:rFonts w:hint="eastAsia" w:ascii="仿宋" w:hAnsi="仿宋" w:eastAsia="仿宋"/>
          <w:color w:val="auto"/>
          <w:kern w:val="2"/>
          <w:sz w:val="32"/>
          <w:szCs w:val="24"/>
          <w:lang w:val="en-US"/>
        </w:rPr>
        <w:t>决算数等于预算数</w:t>
      </w:r>
      <w:r>
        <w:rPr>
          <w:rFonts w:hint="eastAsia" w:ascii="仿宋" w:hAnsi="仿宋" w:eastAsia="仿宋"/>
          <w:color w:val="auto"/>
          <w:kern w:val="2"/>
          <w:sz w:val="32"/>
          <w:szCs w:val="24"/>
          <w:lang w:val="en-US" w:eastAsia="zh-CN"/>
        </w:rPr>
        <w:t>。</w:t>
      </w:r>
    </w:p>
    <w:p w14:paraId="7F336A8E">
      <w:pPr>
        <w:spacing w:line="360" w:lineRule="auto"/>
        <w:ind w:firstLine="640" w:firstLineChars="200"/>
        <w:rPr>
          <w:rFonts w:hint="eastAsia" w:ascii="仿宋" w:hAnsi="仿宋" w:eastAsia="仿宋"/>
          <w:b w:val="0"/>
          <w:bCs w:val="0"/>
          <w:color w:val="auto"/>
          <w:kern w:val="2"/>
          <w:sz w:val="32"/>
          <w:szCs w:val="24"/>
          <w:lang w:val="en-US" w:eastAsia="zh-CN"/>
        </w:rPr>
      </w:pPr>
      <w:r>
        <w:rPr>
          <w:rStyle w:val="18"/>
          <w:rFonts w:hint="eastAsia" w:ascii="仿宋" w:hAnsi="仿宋" w:eastAsia="仿宋"/>
          <w:b w:val="0"/>
          <w:bCs w:val="0"/>
          <w:sz w:val="32"/>
          <w:szCs w:val="32"/>
          <w:lang w:val="en-US" w:eastAsia="zh-CN"/>
        </w:rPr>
        <w:t>5</w:t>
      </w:r>
      <w:r>
        <w:rPr>
          <w:rStyle w:val="18"/>
          <w:rFonts w:ascii="仿宋" w:hAnsi="仿宋" w:eastAsia="仿宋"/>
          <w:b w:val="0"/>
          <w:bCs w:val="0"/>
          <w:sz w:val="32"/>
          <w:szCs w:val="32"/>
        </w:rPr>
        <w:t>.</w:t>
      </w:r>
      <w:r>
        <w:rPr>
          <w:rFonts w:hint="eastAsia" w:ascii="仿宋" w:hAnsi="仿宋" w:eastAsia="仿宋" w:cs="仿宋"/>
          <w:b w:val="0"/>
          <w:bCs w:val="0"/>
          <w:color w:val="000000"/>
          <w:sz w:val="32"/>
          <w:szCs w:val="32"/>
          <w:highlight w:val="none"/>
        </w:rPr>
        <w:t>卫生健康</w:t>
      </w:r>
      <w:r>
        <w:rPr>
          <w:rStyle w:val="18"/>
          <w:rFonts w:hint="eastAsia" w:ascii="仿宋" w:hAnsi="仿宋" w:eastAsia="仿宋" w:cs="仿宋"/>
          <w:b w:val="0"/>
          <w:bCs w:val="0"/>
          <w:color w:val="000000"/>
          <w:sz w:val="32"/>
          <w:szCs w:val="32"/>
          <w:highlight w:val="none"/>
        </w:rPr>
        <w:t>（类）行政事业单位医疗（款）行政单位医疗（项）:支出决算为</w:t>
      </w:r>
      <w:r>
        <w:rPr>
          <w:rStyle w:val="18"/>
          <w:rFonts w:hint="eastAsia" w:ascii="仿宋" w:hAnsi="仿宋" w:eastAsia="仿宋" w:cs="仿宋"/>
          <w:b w:val="0"/>
          <w:bCs w:val="0"/>
          <w:color w:val="000000"/>
          <w:sz w:val="32"/>
          <w:szCs w:val="32"/>
          <w:highlight w:val="none"/>
          <w:lang w:val="en-US" w:eastAsia="zh-CN"/>
        </w:rPr>
        <w:t>20.06</w:t>
      </w:r>
      <w:r>
        <w:rPr>
          <w:rStyle w:val="18"/>
          <w:rFonts w:hint="eastAsia" w:ascii="仿宋" w:hAnsi="仿宋" w:eastAsia="仿宋" w:cs="仿宋"/>
          <w:b w:val="0"/>
          <w:bCs w:val="0"/>
          <w:color w:val="000000"/>
          <w:sz w:val="32"/>
          <w:szCs w:val="32"/>
          <w:highlight w:val="none"/>
        </w:rPr>
        <w:t>万元，完成预算</w:t>
      </w:r>
      <w:r>
        <w:rPr>
          <w:rStyle w:val="18"/>
          <w:rFonts w:hint="eastAsia" w:ascii="仿宋" w:hAnsi="仿宋" w:eastAsia="仿宋" w:cs="仿宋"/>
          <w:b w:val="0"/>
          <w:bCs w:val="0"/>
          <w:color w:val="000000"/>
          <w:sz w:val="32"/>
          <w:szCs w:val="32"/>
          <w:highlight w:val="none"/>
          <w:lang w:val="en-US" w:eastAsia="zh-CN"/>
        </w:rPr>
        <w:t>100</w:t>
      </w:r>
      <w:r>
        <w:rPr>
          <w:rStyle w:val="18"/>
          <w:rFonts w:hint="eastAsia" w:ascii="仿宋" w:hAnsi="仿宋" w:eastAsia="仿宋" w:cs="仿宋"/>
          <w:b w:val="0"/>
          <w:bCs w:val="0"/>
          <w:color w:val="000000"/>
          <w:sz w:val="32"/>
          <w:szCs w:val="32"/>
          <w:highlight w:val="none"/>
        </w:rPr>
        <w:t>%。</w:t>
      </w:r>
      <w:r>
        <w:rPr>
          <w:rFonts w:hint="eastAsia" w:ascii="仿宋" w:hAnsi="仿宋" w:eastAsia="仿宋"/>
          <w:b w:val="0"/>
          <w:bCs w:val="0"/>
          <w:color w:val="auto"/>
          <w:kern w:val="2"/>
          <w:sz w:val="32"/>
          <w:szCs w:val="24"/>
          <w:lang w:val="en-US"/>
        </w:rPr>
        <w:t>决算数等于预算数</w:t>
      </w:r>
      <w:r>
        <w:rPr>
          <w:rFonts w:hint="eastAsia" w:ascii="仿宋" w:hAnsi="仿宋" w:eastAsia="仿宋"/>
          <w:b w:val="0"/>
          <w:bCs w:val="0"/>
          <w:color w:val="auto"/>
          <w:kern w:val="2"/>
          <w:sz w:val="32"/>
          <w:szCs w:val="24"/>
          <w:lang w:val="en-US" w:eastAsia="zh-CN"/>
        </w:rPr>
        <w:t>。</w:t>
      </w:r>
    </w:p>
    <w:p w14:paraId="7873F024">
      <w:pPr>
        <w:spacing w:line="360" w:lineRule="auto"/>
        <w:ind w:firstLine="640" w:firstLineChars="200"/>
        <w:rPr>
          <w:rFonts w:hint="eastAsia"/>
          <w:b w:val="0"/>
          <w:bCs w:val="0"/>
        </w:rPr>
      </w:pPr>
      <w:r>
        <w:rPr>
          <w:rFonts w:hint="eastAsia" w:ascii="仿宋" w:hAnsi="仿宋" w:eastAsia="仿宋" w:cs="仿宋"/>
          <w:b w:val="0"/>
          <w:bCs w:val="0"/>
          <w:color w:val="000000"/>
          <w:sz w:val="32"/>
          <w:szCs w:val="32"/>
          <w:highlight w:val="none"/>
          <w:lang w:val="en-US" w:eastAsia="zh-CN"/>
        </w:rPr>
        <w:t>6.</w:t>
      </w:r>
      <w:r>
        <w:rPr>
          <w:rFonts w:hint="eastAsia" w:ascii="仿宋" w:hAnsi="仿宋" w:eastAsia="仿宋" w:cs="仿宋"/>
          <w:b w:val="0"/>
          <w:bCs w:val="0"/>
          <w:color w:val="000000"/>
          <w:sz w:val="32"/>
          <w:szCs w:val="32"/>
          <w:highlight w:val="none"/>
        </w:rPr>
        <w:t>卫生健康</w:t>
      </w:r>
      <w:r>
        <w:rPr>
          <w:rStyle w:val="18"/>
          <w:rFonts w:hint="eastAsia" w:ascii="仿宋" w:hAnsi="仿宋" w:eastAsia="仿宋" w:cs="仿宋"/>
          <w:b w:val="0"/>
          <w:bCs w:val="0"/>
          <w:color w:val="000000"/>
          <w:sz w:val="32"/>
          <w:szCs w:val="32"/>
          <w:highlight w:val="none"/>
        </w:rPr>
        <w:t>（类）行政事业单位医疗（款）公务员医疗补助（项）:支出决算为</w:t>
      </w:r>
      <w:r>
        <w:rPr>
          <w:rStyle w:val="18"/>
          <w:rFonts w:hint="eastAsia" w:ascii="仿宋" w:hAnsi="仿宋" w:eastAsia="仿宋" w:cs="仿宋"/>
          <w:b w:val="0"/>
          <w:bCs w:val="0"/>
          <w:color w:val="000000"/>
          <w:sz w:val="32"/>
          <w:szCs w:val="32"/>
          <w:highlight w:val="none"/>
          <w:lang w:val="en-US" w:eastAsia="zh-CN"/>
        </w:rPr>
        <w:t>3.60</w:t>
      </w:r>
      <w:r>
        <w:rPr>
          <w:rStyle w:val="18"/>
          <w:rFonts w:hint="eastAsia" w:ascii="仿宋" w:hAnsi="仿宋" w:eastAsia="仿宋" w:cs="仿宋"/>
          <w:b w:val="0"/>
          <w:bCs w:val="0"/>
          <w:color w:val="000000"/>
          <w:sz w:val="32"/>
          <w:szCs w:val="32"/>
          <w:highlight w:val="none"/>
        </w:rPr>
        <w:t>万元，完成预算</w:t>
      </w:r>
      <w:r>
        <w:rPr>
          <w:rStyle w:val="18"/>
          <w:rFonts w:hint="eastAsia" w:ascii="仿宋" w:hAnsi="仿宋" w:eastAsia="仿宋" w:cs="仿宋"/>
          <w:b w:val="0"/>
          <w:bCs w:val="0"/>
          <w:color w:val="000000"/>
          <w:sz w:val="32"/>
          <w:szCs w:val="32"/>
          <w:highlight w:val="none"/>
          <w:lang w:val="en-US" w:eastAsia="zh-CN"/>
        </w:rPr>
        <w:t>100</w:t>
      </w:r>
      <w:r>
        <w:rPr>
          <w:rStyle w:val="18"/>
          <w:rFonts w:hint="eastAsia" w:ascii="仿宋" w:hAnsi="仿宋" w:eastAsia="仿宋" w:cs="仿宋"/>
          <w:b w:val="0"/>
          <w:bCs w:val="0"/>
          <w:color w:val="000000"/>
          <w:sz w:val="32"/>
          <w:szCs w:val="32"/>
          <w:highlight w:val="none"/>
        </w:rPr>
        <w:t>%。</w:t>
      </w:r>
      <w:r>
        <w:rPr>
          <w:rFonts w:hint="eastAsia" w:ascii="仿宋" w:hAnsi="仿宋" w:eastAsia="仿宋"/>
          <w:b w:val="0"/>
          <w:bCs w:val="0"/>
          <w:color w:val="auto"/>
          <w:kern w:val="2"/>
          <w:sz w:val="32"/>
          <w:szCs w:val="24"/>
          <w:lang w:val="en-US"/>
        </w:rPr>
        <w:t>决算数等于预算数</w:t>
      </w:r>
      <w:r>
        <w:rPr>
          <w:rFonts w:hint="eastAsia" w:ascii="仿宋" w:hAnsi="仿宋" w:eastAsia="仿宋"/>
          <w:b w:val="0"/>
          <w:bCs w:val="0"/>
          <w:color w:val="auto"/>
          <w:kern w:val="2"/>
          <w:sz w:val="32"/>
          <w:szCs w:val="24"/>
          <w:lang w:val="en-US" w:eastAsia="zh-CN"/>
        </w:rPr>
        <w:t>。</w:t>
      </w:r>
    </w:p>
    <w:p w14:paraId="0C4CD6E4">
      <w:pPr>
        <w:spacing w:line="360" w:lineRule="auto"/>
        <w:ind w:firstLine="640" w:firstLineChars="200"/>
        <w:rPr>
          <w:rStyle w:val="18"/>
          <w:rFonts w:hint="eastAsia" w:ascii="仿宋" w:hAnsi="仿宋" w:eastAsia="仿宋" w:cs="仿宋"/>
          <w:b w:val="0"/>
          <w:bCs w:val="0"/>
          <w:color w:val="000000"/>
          <w:sz w:val="32"/>
          <w:szCs w:val="32"/>
          <w:highlight w:val="none"/>
        </w:rPr>
      </w:pPr>
      <w:r>
        <w:rPr>
          <w:rFonts w:hint="eastAsia" w:ascii="仿宋" w:hAnsi="仿宋" w:eastAsia="仿宋" w:cs="仿宋"/>
          <w:b w:val="0"/>
          <w:bCs w:val="0"/>
          <w:color w:val="auto"/>
          <w:sz w:val="32"/>
          <w:szCs w:val="32"/>
          <w:highlight w:val="none"/>
          <w:lang w:val="en-US" w:eastAsia="zh-CN"/>
        </w:rPr>
        <w:t>7.</w:t>
      </w:r>
      <w:r>
        <w:rPr>
          <w:rFonts w:hint="eastAsia" w:ascii="仿宋" w:hAnsi="仿宋" w:eastAsia="仿宋" w:cs="仿宋"/>
          <w:b w:val="0"/>
          <w:bCs w:val="0"/>
          <w:color w:val="auto"/>
          <w:sz w:val="32"/>
          <w:szCs w:val="32"/>
          <w:highlight w:val="none"/>
        </w:rPr>
        <w:t>城乡社区支出</w:t>
      </w:r>
      <w:r>
        <w:rPr>
          <w:rStyle w:val="18"/>
          <w:rFonts w:hint="eastAsia" w:ascii="仿宋" w:hAnsi="仿宋" w:eastAsia="仿宋" w:cs="仿宋"/>
          <w:b w:val="0"/>
          <w:bCs w:val="0"/>
          <w:color w:val="auto"/>
          <w:sz w:val="32"/>
          <w:szCs w:val="32"/>
          <w:highlight w:val="none"/>
        </w:rPr>
        <w:t>（</w:t>
      </w:r>
      <w:r>
        <w:rPr>
          <w:rStyle w:val="18"/>
          <w:rFonts w:hint="eastAsia" w:ascii="仿宋" w:hAnsi="仿宋" w:eastAsia="仿宋" w:cs="仿宋"/>
          <w:b w:val="0"/>
          <w:bCs w:val="0"/>
          <w:color w:val="000000"/>
          <w:sz w:val="32"/>
          <w:szCs w:val="32"/>
          <w:highlight w:val="none"/>
        </w:rPr>
        <w:t>类）城乡社区管理事务（款）行政运行（项）:支出决算为</w:t>
      </w:r>
      <w:r>
        <w:rPr>
          <w:rStyle w:val="18"/>
          <w:rFonts w:hint="eastAsia" w:ascii="仿宋" w:hAnsi="仿宋" w:eastAsia="仿宋" w:cs="仿宋"/>
          <w:b w:val="0"/>
          <w:bCs w:val="0"/>
          <w:color w:val="000000"/>
          <w:sz w:val="32"/>
          <w:szCs w:val="32"/>
          <w:highlight w:val="none"/>
          <w:lang w:val="en-US" w:eastAsia="zh-CN"/>
        </w:rPr>
        <w:t>984.53</w:t>
      </w:r>
      <w:r>
        <w:rPr>
          <w:rStyle w:val="18"/>
          <w:rFonts w:hint="eastAsia" w:ascii="仿宋" w:hAnsi="仿宋" w:eastAsia="仿宋" w:cs="仿宋"/>
          <w:b w:val="0"/>
          <w:bCs w:val="0"/>
          <w:color w:val="000000"/>
          <w:sz w:val="32"/>
          <w:szCs w:val="32"/>
          <w:highlight w:val="none"/>
        </w:rPr>
        <w:t>万元，完成预算</w:t>
      </w:r>
      <w:r>
        <w:rPr>
          <w:rStyle w:val="18"/>
          <w:rFonts w:hint="eastAsia" w:ascii="仿宋" w:hAnsi="仿宋" w:eastAsia="仿宋" w:cs="仿宋"/>
          <w:b w:val="0"/>
          <w:bCs w:val="0"/>
          <w:color w:val="000000"/>
          <w:sz w:val="32"/>
          <w:szCs w:val="32"/>
          <w:highlight w:val="none"/>
          <w:lang w:val="en-US" w:eastAsia="zh-CN"/>
        </w:rPr>
        <w:t>100</w:t>
      </w:r>
      <w:r>
        <w:rPr>
          <w:rStyle w:val="18"/>
          <w:rFonts w:hint="eastAsia" w:ascii="仿宋" w:hAnsi="仿宋" w:eastAsia="仿宋" w:cs="仿宋"/>
          <w:b w:val="0"/>
          <w:bCs w:val="0"/>
          <w:color w:val="000000"/>
          <w:sz w:val="32"/>
          <w:szCs w:val="32"/>
          <w:highlight w:val="none"/>
        </w:rPr>
        <w:t>%。</w:t>
      </w:r>
      <w:r>
        <w:rPr>
          <w:rFonts w:hint="eastAsia" w:ascii="仿宋" w:hAnsi="仿宋" w:eastAsia="仿宋"/>
          <w:b w:val="0"/>
          <w:bCs w:val="0"/>
          <w:color w:val="auto"/>
          <w:kern w:val="2"/>
          <w:sz w:val="32"/>
          <w:szCs w:val="24"/>
          <w:lang w:val="en-US"/>
        </w:rPr>
        <w:t>决算数等于预算数</w:t>
      </w:r>
      <w:r>
        <w:rPr>
          <w:rFonts w:hint="eastAsia" w:ascii="仿宋" w:hAnsi="仿宋" w:eastAsia="仿宋"/>
          <w:b w:val="0"/>
          <w:bCs w:val="0"/>
          <w:color w:val="auto"/>
          <w:kern w:val="2"/>
          <w:sz w:val="32"/>
          <w:szCs w:val="24"/>
          <w:lang w:val="en-US" w:eastAsia="zh-CN"/>
        </w:rPr>
        <w:t>。</w:t>
      </w:r>
    </w:p>
    <w:p w14:paraId="59DFA0C1">
      <w:pPr>
        <w:spacing w:line="360" w:lineRule="auto"/>
        <w:ind w:firstLine="640" w:firstLineChars="200"/>
        <w:rPr>
          <w:rFonts w:ascii="仿宋" w:hAnsi="仿宋" w:eastAsia="仿宋"/>
          <w:b w:val="0"/>
          <w:bCs w:val="0"/>
          <w:sz w:val="32"/>
          <w:szCs w:val="32"/>
        </w:rPr>
      </w:pPr>
      <w:r>
        <w:rPr>
          <w:rFonts w:hint="eastAsia" w:ascii="仿宋" w:hAnsi="仿宋" w:eastAsia="仿宋" w:cs="仿宋"/>
          <w:b w:val="0"/>
          <w:bCs w:val="0"/>
          <w:color w:val="auto"/>
          <w:sz w:val="32"/>
          <w:szCs w:val="32"/>
          <w:highlight w:val="none"/>
          <w:lang w:val="en-US" w:eastAsia="zh-CN"/>
        </w:rPr>
        <w:t>8.</w:t>
      </w:r>
      <w:r>
        <w:rPr>
          <w:rFonts w:hint="eastAsia" w:ascii="仿宋" w:hAnsi="仿宋" w:eastAsia="仿宋" w:cs="仿宋"/>
          <w:b w:val="0"/>
          <w:bCs w:val="0"/>
          <w:color w:val="auto"/>
          <w:sz w:val="32"/>
          <w:szCs w:val="32"/>
          <w:highlight w:val="none"/>
        </w:rPr>
        <w:t>住房保障支出</w:t>
      </w:r>
      <w:r>
        <w:rPr>
          <w:rStyle w:val="18"/>
          <w:rFonts w:hint="eastAsia" w:ascii="仿宋" w:hAnsi="仿宋" w:eastAsia="仿宋" w:cs="仿宋"/>
          <w:b w:val="0"/>
          <w:bCs w:val="0"/>
          <w:color w:val="auto"/>
          <w:sz w:val="32"/>
          <w:szCs w:val="32"/>
          <w:highlight w:val="none"/>
        </w:rPr>
        <w:t>（</w:t>
      </w:r>
      <w:r>
        <w:rPr>
          <w:rStyle w:val="18"/>
          <w:rFonts w:hint="eastAsia" w:ascii="仿宋" w:hAnsi="仿宋" w:eastAsia="仿宋" w:cs="仿宋"/>
          <w:b w:val="0"/>
          <w:bCs w:val="0"/>
          <w:color w:val="000000"/>
          <w:sz w:val="32"/>
          <w:szCs w:val="32"/>
          <w:highlight w:val="none"/>
        </w:rPr>
        <w:t>类）住房改革支出（款） 住房公积金（项）:支出决算为</w:t>
      </w:r>
      <w:r>
        <w:rPr>
          <w:rStyle w:val="18"/>
          <w:rFonts w:hint="eastAsia" w:ascii="仿宋" w:hAnsi="仿宋" w:eastAsia="仿宋" w:cs="仿宋"/>
          <w:b w:val="0"/>
          <w:bCs w:val="0"/>
          <w:color w:val="000000"/>
          <w:sz w:val="32"/>
          <w:szCs w:val="32"/>
          <w:highlight w:val="none"/>
          <w:lang w:val="en-US" w:eastAsia="zh-CN"/>
        </w:rPr>
        <w:t>52.48</w:t>
      </w:r>
      <w:r>
        <w:rPr>
          <w:rStyle w:val="18"/>
          <w:rFonts w:hint="eastAsia" w:ascii="仿宋" w:hAnsi="仿宋" w:eastAsia="仿宋" w:cs="仿宋"/>
          <w:b w:val="0"/>
          <w:bCs w:val="0"/>
          <w:color w:val="000000"/>
          <w:sz w:val="32"/>
          <w:szCs w:val="32"/>
          <w:highlight w:val="none"/>
        </w:rPr>
        <w:t>万元，完成预算</w:t>
      </w:r>
      <w:r>
        <w:rPr>
          <w:rStyle w:val="18"/>
          <w:rFonts w:hint="eastAsia" w:ascii="仿宋" w:hAnsi="仿宋" w:eastAsia="仿宋" w:cs="仿宋"/>
          <w:b w:val="0"/>
          <w:bCs w:val="0"/>
          <w:color w:val="000000"/>
          <w:sz w:val="32"/>
          <w:szCs w:val="32"/>
          <w:highlight w:val="none"/>
          <w:lang w:val="en-US" w:eastAsia="zh-CN"/>
        </w:rPr>
        <w:t>100</w:t>
      </w:r>
      <w:r>
        <w:rPr>
          <w:rStyle w:val="18"/>
          <w:rFonts w:hint="eastAsia" w:ascii="仿宋" w:hAnsi="仿宋" w:eastAsia="仿宋" w:cs="仿宋"/>
          <w:b w:val="0"/>
          <w:bCs w:val="0"/>
          <w:color w:val="000000"/>
          <w:sz w:val="32"/>
          <w:szCs w:val="32"/>
          <w:highlight w:val="none"/>
        </w:rPr>
        <w:t>%。</w:t>
      </w:r>
      <w:r>
        <w:rPr>
          <w:rFonts w:hint="eastAsia" w:ascii="仿宋" w:hAnsi="仿宋" w:eastAsia="仿宋"/>
          <w:b w:val="0"/>
          <w:bCs w:val="0"/>
          <w:color w:val="auto"/>
          <w:kern w:val="2"/>
          <w:sz w:val="32"/>
          <w:szCs w:val="24"/>
          <w:lang w:val="en-US"/>
        </w:rPr>
        <w:t>决算数等于预算数</w:t>
      </w:r>
      <w:r>
        <w:rPr>
          <w:rFonts w:hint="eastAsia" w:ascii="仿宋" w:hAnsi="仿宋" w:eastAsia="仿宋"/>
          <w:b w:val="0"/>
          <w:bCs w:val="0"/>
          <w:color w:val="auto"/>
          <w:kern w:val="2"/>
          <w:sz w:val="32"/>
          <w:szCs w:val="24"/>
          <w:lang w:val="en-US" w:eastAsia="zh-CN"/>
        </w:rPr>
        <w:t>。</w:t>
      </w:r>
    </w:p>
    <w:p w14:paraId="640BB5A1">
      <w:pPr>
        <w:tabs>
          <w:tab w:val="right" w:pos="8306"/>
        </w:tabs>
        <w:spacing w:line="600" w:lineRule="exact"/>
        <w:ind w:firstLine="640"/>
        <w:outlineLvl w:val="1"/>
        <w:rPr>
          <w:rStyle w:val="30"/>
          <w:b w:val="0"/>
          <w:bCs w:val="0"/>
        </w:rPr>
      </w:pPr>
      <w:bookmarkStart w:id="47" w:name="_Toc15396608"/>
      <w:bookmarkStart w:id="48" w:name="_Toc15377214"/>
      <w:bookmarkStart w:id="49" w:name="_Toc23249"/>
      <w:r>
        <w:rPr>
          <w:rFonts w:hint="eastAsia" w:ascii="黑体" w:eastAsia="黑体"/>
          <w:b w:val="0"/>
          <w:bCs w:val="0"/>
          <w:sz w:val="32"/>
          <w:szCs w:val="32"/>
        </w:rPr>
        <w:t>六、</w:t>
      </w:r>
      <w:r>
        <w:rPr>
          <w:rFonts w:hint="eastAsia" w:ascii="黑体" w:hAnsi="黑体" w:eastAsia="黑体"/>
          <w:b w:val="0"/>
          <w:bCs w:val="0"/>
          <w:sz w:val="32"/>
          <w:szCs w:val="32"/>
        </w:rPr>
        <w:t>一</w:t>
      </w:r>
      <w:r>
        <w:rPr>
          <w:rStyle w:val="30"/>
          <w:rFonts w:hint="eastAsia" w:ascii="黑体" w:hAnsi="黑体" w:eastAsia="黑体"/>
          <w:b w:val="0"/>
          <w:bCs w:val="0"/>
        </w:rPr>
        <w:t>般公共预算财政拨款基本支出决算情况说明</w:t>
      </w:r>
      <w:bookmarkEnd w:id="47"/>
      <w:bookmarkEnd w:id="48"/>
      <w:bookmarkEnd w:id="49"/>
      <w:r>
        <w:rPr>
          <w:rStyle w:val="30"/>
          <w:rFonts w:ascii="黑体" w:hAnsi="黑体" w:eastAsia="黑体"/>
          <w:b w:val="0"/>
          <w:bCs w:val="0"/>
        </w:rPr>
        <w:tab/>
      </w:r>
    </w:p>
    <w:p w14:paraId="607AC3BC">
      <w:pPr>
        <w:spacing w:line="600" w:lineRule="exact"/>
        <w:ind w:firstLine="645"/>
        <w:rPr>
          <w:rFonts w:ascii="仿宋" w:hAnsi="仿宋" w:eastAsia="仿宋"/>
          <w:b w:val="0"/>
          <w:bCs w:val="0"/>
          <w:sz w:val="32"/>
          <w:szCs w:val="32"/>
        </w:rPr>
      </w:pPr>
      <w:r>
        <w:rPr>
          <w:rFonts w:hint="eastAsia" w:ascii="仿宋" w:hAnsi="仿宋" w:eastAsia="仿宋"/>
          <w:b w:val="0"/>
          <w:bCs w:val="0"/>
          <w:sz w:val="32"/>
          <w:szCs w:val="32"/>
          <w:lang w:eastAsia="zh-CN"/>
        </w:rPr>
        <w:t>2024</w:t>
      </w:r>
      <w:r>
        <w:rPr>
          <w:rFonts w:hint="eastAsia" w:ascii="仿宋" w:hAnsi="仿宋" w:eastAsia="仿宋"/>
          <w:b w:val="0"/>
          <w:bCs w:val="0"/>
          <w:sz w:val="32"/>
          <w:szCs w:val="32"/>
        </w:rPr>
        <w:t>年度一般公共预算财政拨款基本支出1167.48万元，其中：</w:t>
      </w:r>
    </w:p>
    <w:p w14:paraId="4FE6BDEF">
      <w:pPr>
        <w:spacing w:line="600" w:lineRule="exact"/>
        <w:ind w:firstLine="645"/>
        <w:rPr>
          <w:rFonts w:ascii="仿宋" w:hAnsi="仿宋" w:eastAsia="仿宋"/>
          <w:b/>
          <w:sz w:val="32"/>
          <w:szCs w:val="32"/>
        </w:rPr>
      </w:pPr>
      <w:r>
        <w:rPr>
          <w:rFonts w:hint="eastAsia" w:ascii="仿宋" w:hAnsi="仿宋" w:eastAsia="仿宋"/>
          <w:b w:val="0"/>
          <w:bCs w:val="0"/>
          <w:sz w:val="32"/>
          <w:szCs w:val="32"/>
        </w:rPr>
        <w:t>人员经费</w:t>
      </w:r>
      <w:r>
        <w:rPr>
          <w:rFonts w:hint="eastAsia" w:ascii="仿宋" w:hAnsi="仿宋" w:eastAsia="仿宋"/>
          <w:b w:val="0"/>
          <w:bCs w:val="0"/>
          <w:sz w:val="32"/>
          <w:szCs w:val="32"/>
          <w:lang w:val="en-US" w:eastAsia="zh-CN"/>
        </w:rPr>
        <w:t>1083.64</w:t>
      </w:r>
      <w:r>
        <w:rPr>
          <w:rFonts w:hint="eastAsia" w:ascii="仿宋" w:hAnsi="仿宋" w:eastAsia="仿宋"/>
          <w:b w:val="0"/>
          <w:bCs w:val="0"/>
          <w:sz w:val="32"/>
          <w:szCs w:val="32"/>
        </w:rPr>
        <w:t>万元，主要包括：基本工资、津贴补贴、奖金、伙食补助费、机关事业单位基本养老保险缴费、职业年金缴费、医疗费补助</w:t>
      </w:r>
      <w:r>
        <w:rPr>
          <w:rFonts w:hint="eastAsia" w:ascii="仿宋" w:hAnsi="仿宋" w:eastAsia="仿宋"/>
          <w:b w:val="0"/>
          <w:bCs w:val="0"/>
          <w:sz w:val="32"/>
          <w:szCs w:val="32"/>
          <w:lang w:eastAsia="zh-CN"/>
        </w:rPr>
        <w:t>、</w:t>
      </w:r>
      <w:r>
        <w:rPr>
          <w:rFonts w:hint="eastAsia" w:ascii="仿宋" w:hAnsi="仿宋" w:eastAsia="仿宋"/>
          <w:b w:val="0"/>
          <w:bCs w:val="0"/>
          <w:sz w:val="32"/>
          <w:szCs w:val="32"/>
        </w:rPr>
        <w:t>其他社会保障缴费、住房公积金</w:t>
      </w:r>
      <w:r>
        <w:rPr>
          <w:rFonts w:hint="eastAsia" w:ascii="仿宋" w:hAnsi="仿宋" w:eastAsia="仿宋"/>
          <w:b w:val="0"/>
          <w:bCs w:val="0"/>
          <w:sz w:val="32"/>
          <w:szCs w:val="32"/>
          <w:lang w:eastAsia="zh-CN"/>
        </w:rPr>
        <w:t>、</w:t>
      </w:r>
      <w:r>
        <w:rPr>
          <w:rFonts w:hint="eastAsia" w:ascii="仿宋" w:hAnsi="仿宋" w:eastAsia="仿宋"/>
          <w:b w:val="0"/>
          <w:bCs w:val="0"/>
          <w:sz w:val="32"/>
          <w:szCs w:val="32"/>
        </w:rPr>
        <w:t>其他工资福利支出</w:t>
      </w:r>
      <w:r>
        <w:rPr>
          <w:rFonts w:hint="eastAsia" w:ascii="仿宋" w:hAnsi="仿宋" w:eastAsia="仿宋"/>
          <w:b w:val="0"/>
          <w:bCs w:val="0"/>
          <w:sz w:val="32"/>
          <w:szCs w:val="32"/>
          <w:lang w:eastAsia="zh-CN"/>
        </w:rPr>
        <w:t>、</w:t>
      </w:r>
      <w:r>
        <w:rPr>
          <w:rFonts w:hint="eastAsia" w:ascii="仿宋" w:hAnsi="仿宋" w:eastAsia="仿宋"/>
          <w:b w:val="0"/>
          <w:bCs w:val="0"/>
          <w:sz w:val="32"/>
          <w:szCs w:val="32"/>
        </w:rPr>
        <w:t>其他对个人和家庭的补助支出等。</w:t>
      </w:r>
      <w:r>
        <w:rPr>
          <w:rFonts w:ascii="仿宋" w:hAnsi="仿宋" w:eastAsia="仿宋"/>
          <w:b w:val="0"/>
          <w:bCs w:val="0"/>
          <w:sz w:val="32"/>
          <w:szCs w:val="32"/>
        </w:rPr>
        <w:br w:type="textWrapping"/>
      </w:r>
      <w:r>
        <w:rPr>
          <w:rFonts w:hint="eastAsia" w:ascii="仿宋" w:hAnsi="仿宋" w:eastAsia="仿宋"/>
          <w:b w:val="0"/>
          <w:bCs w:val="0"/>
          <w:sz w:val="32"/>
          <w:szCs w:val="32"/>
        </w:rPr>
        <w:t>　　公用经费83.84万元，主要包括：办公费、水费、电费、邮电费、差旅费、维修（护）费、委托业务费</w:t>
      </w:r>
      <w:r>
        <w:rPr>
          <w:rFonts w:hint="eastAsia" w:ascii="仿宋" w:hAnsi="仿宋" w:eastAsia="仿宋"/>
          <w:sz w:val="32"/>
          <w:szCs w:val="32"/>
        </w:rPr>
        <w:t>、工会经费、福利费、其他交通费、其他商品和服务支出等。</w:t>
      </w:r>
    </w:p>
    <w:p w14:paraId="7FBD59B9">
      <w:pPr>
        <w:spacing w:line="600" w:lineRule="exact"/>
        <w:ind w:firstLine="640"/>
        <w:outlineLvl w:val="1"/>
        <w:rPr>
          <w:rStyle w:val="30"/>
          <w:rFonts w:ascii="黑体" w:hAnsi="黑体" w:eastAsia="黑体"/>
          <w:b w:val="0"/>
        </w:rPr>
      </w:pPr>
      <w:bookmarkStart w:id="50" w:name="_Toc15377215"/>
      <w:bookmarkStart w:id="51" w:name="_Toc15396609"/>
      <w:bookmarkStart w:id="52" w:name="_Toc15949"/>
      <w:r>
        <w:rPr>
          <w:rFonts w:hint="eastAsia" w:ascii="黑体" w:eastAsia="黑体"/>
          <w:sz w:val="32"/>
          <w:szCs w:val="32"/>
        </w:rPr>
        <w:t>七、</w:t>
      </w:r>
      <w:r>
        <w:rPr>
          <w:rStyle w:val="30"/>
          <w:rFonts w:hint="eastAsia" w:ascii="黑体" w:hAnsi="黑体" w:eastAsia="黑体"/>
          <w:b w:val="0"/>
        </w:rPr>
        <w:t>财政拨款</w:t>
      </w:r>
      <w:r>
        <w:rPr>
          <w:rStyle w:val="30"/>
          <w:rFonts w:hint="eastAsia" w:ascii="黑体" w:hAnsi="黑体" w:eastAsia="黑体"/>
        </w:rPr>
        <w:t>“</w:t>
      </w:r>
      <w:r>
        <w:rPr>
          <w:rStyle w:val="30"/>
          <w:rFonts w:hint="eastAsia" w:ascii="黑体" w:hAnsi="黑体" w:eastAsia="黑体"/>
          <w:b w:val="0"/>
        </w:rPr>
        <w:t>三公”经费支出决算情况说明</w:t>
      </w:r>
      <w:bookmarkEnd w:id="50"/>
      <w:bookmarkEnd w:id="51"/>
      <w:bookmarkEnd w:id="52"/>
    </w:p>
    <w:p w14:paraId="3DEDF953">
      <w:pPr>
        <w:spacing w:line="600" w:lineRule="exact"/>
        <w:ind w:firstLine="640"/>
        <w:outlineLvl w:val="2"/>
        <w:rPr>
          <w:rFonts w:ascii="仿宋" w:hAnsi="仿宋" w:eastAsia="仿宋"/>
          <w:b/>
          <w:sz w:val="32"/>
          <w:szCs w:val="32"/>
        </w:rPr>
      </w:pPr>
      <w:bookmarkStart w:id="53" w:name="_Toc15377216"/>
      <w:r>
        <w:rPr>
          <w:rFonts w:hint="eastAsia" w:ascii="仿宋" w:hAnsi="仿宋" w:eastAsia="仿宋"/>
          <w:b/>
          <w:sz w:val="32"/>
          <w:szCs w:val="32"/>
        </w:rPr>
        <w:t>（一）“三公”经费财政拨款支出决算总体情况说明</w:t>
      </w:r>
      <w:bookmarkEnd w:id="53"/>
    </w:p>
    <w:p w14:paraId="02DE7057">
      <w:pPr>
        <w:spacing w:line="600" w:lineRule="exact"/>
        <w:ind w:firstLine="640"/>
        <w:rPr>
          <w:rFonts w:hint="eastAsia" w:ascii="仿宋" w:hAnsi="仿宋" w:eastAsia="仿宋"/>
          <w:b w:val="0"/>
          <w:bCs w:val="0"/>
          <w:sz w:val="32"/>
          <w:szCs w:val="32"/>
          <w:lang w:eastAsia="zh-CN"/>
        </w:rPr>
      </w:pPr>
      <w:r>
        <w:rPr>
          <w:rFonts w:hint="eastAsia" w:ascii="仿宋" w:hAnsi="仿宋" w:eastAsia="仿宋"/>
          <w:sz w:val="32"/>
          <w:szCs w:val="32"/>
          <w:lang w:eastAsia="zh-CN"/>
        </w:rPr>
        <w:t>2</w:t>
      </w:r>
      <w:r>
        <w:rPr>
          <w:rFonts w:hint="eastAsia" w:ascii="仿宋" w:hAnsi="仿宋" w:eastAsia="仿宋"/>
          <w:b w:val="0"/>
          <w:bCs w:val="0"/>
          <w:sz w:val="32"/>
          <w:szCs w:val="32"/>
          <w:lang w:eastAsia="zh-CN"/>
        </w:rPr>
        <w:t>024</w:t>
      </w:r>
      <w:r>
        <w:rPr>
          <w:rFonts w:hint="eastAsia" w:ascii="仿宋" w:hAnsi="仿宋" w:eastAsia="仿宋"/>
          <w:b w:val="0"/>
          <w:bCs w:val="0"/>
          <w:sz w:val="32"/>
          <w:szCs w:val="32"/>
        </w:rPr>
        <w:t>年度“三公”经费财政拨款支出决算为</w:t>
      </w:r>
      <w:r>
        <w:rPr>
          <w:rFonts w:hint="eastAsia" w:ascii="仿宋" w:hAnsi="仿宋" w:eastAsia="仿宋"/>
          <w:b w:val="0"/>
          <w:bCs w:val="0"/>
          <w:sz w:val="32"/>
          <w:szCs w:val="32"/>
          <w:lang w:val="en-US" w:eastAsia="zh-CN"/>
        </w:rPr>
        <w:t>0.15</w:t>
      </w:r>
      <w:r>
        <w:rPr>
          <w:rFonts w:hint="eastAsia" w:ascii="仿宋" w:hAnsi="仿宋" w:eastAsia="仿宋"/>
          <w:b w:val="0"/>
          <w:bCs w:val="0"/>
          <w:sz w:val="32"/>
          <w:szCs w:val="32"/>
        </w:rPr>
        <w:t>万元，完成预算</w:t>
      </w:r>
      <w:r>
        <w:rPr>
          <w:rFonts w:hint="eastAsia" w:ascii="仿宋" w:hAnsi="仿宋" w:eastAsia="仿宋"/>
          <w:b w:val="0"/>
          <w:bCs w:val="0"/>
          <w:sz w:val="32"/>
          <w:szCs w:val="32"/>
          <w:lang w:val="en-US" w:eastAsia="zh-CN"/>
        </w:rPr>
        <w:t>100</w:t>
      </w:r>
      <w:r>
        <w:rPr>
          <w:rFonts w:ascii="仿宋" w:hAnsi="仿宋" w:eastAsia="仿宋"/>
          <w:b w:val="0"/>
          <w:bCs w:val="0"/>
          <w:sz w:val="32"/>
          <w:szCs w:val="32"/>
        </w:rPr>
        <w:t>%</w:t>
      </w:r>
      <w:r>
        <w:rPr>
          <w:rFonts w:hint="eastAsia" w:ascii="仿宋" w:hAnsi="仿宋" w:eastAsia="仿宋"/>
          <w:b w:val="0"/>
          <w:bCs w:val="0"/>
          <w:sz w:val="32"/>
          <w:szCs w:val="32"/>
        </w:rPr>
        <w:t>，较上年度增加</w:t>
      </w:r>
      <w:r>
        <w:rPr>
          <w:rFonts w:hint="eastAsia" w:ascii="仿宋" w:hAnsi="仿宋" w:eastAsia="仿宋"/>
          <w:b w:val="0"/>
          <w:bCs w:val="0"/>
          <w:sz w:val="32"/>
          <w:szCs w:val="32"/>
          <w:lang w:val="en-US" w:eastAsia="zh-CN"/>
        </w:rPr>
        <w:t>0.15</w:t>
      </w:r>
      <w:r>
        <w:rPr>
          <w:rFonts w:hint="eastAsia" w:ascii="仿宋" w:hAnsi="仿宋" w:eastAsia="仿宋"/>
          <w:b w:val="0"/>
          <w:bCs w:val="0"/>
          <w:sz w:val="32"/>
          <w:szCs w:val="32"/>
        </w:rPr>
        <w:t>万元，增长</w:t>
      </w:r>
      <w:r>
        <w:rPr>
          <w:rFonts w:hint="eastAsia" w:ascii="仿宋" w:hAnsi="仿宋" w:eastAsia="仿宋"/>
          <w:b w:val="0"/>
          <w:bCs w:val="0"/>
          <w:sz w:val="32"/>
          <w:szCs w:val="32"/>
          <w:lang w:val="en-US" w:eastAsia="zh-CN"/>
        </w:rPr>
        <w:t>100</w:t>
      </w:r>
      <w:r>
        <w:rPr>
          <w:rFonts w:hint="eastAsia" w:ascii="仿宋" w:hAnsi="仿宋" w:eastAsia="仿宋"/>
          <w:b w:val="0"/>
          <w:bCs w:val="0"/>
          <w:sz w:val="32"/>
          <w:szCs w:val="32"/>
        </w:rPr>
        <w:t>%。决算数与预算数持平</w:t>
      </w:r>
      <w:r>
        <w:rPr>
          <w:rFonts w:hint="eastAsia" w:ascii="仿宋" w:hAnsi="仿宋" w:eastAsia="仿宋"/>
          <w:b w:val="0"/>
          <w:bCs w:val="0"/>
          <w:sz w:val="32"/>
          <w:szCs w:val="32"/>
          <w:lang w:eastAsia="zh-CN"/>
        </w:rPr>
        <w:t>。</w:t>
      </w:r>
    </w:p>
    <w:p w14:paraId="57F626CF">
      <w:pPr>
        <w:spacing w:line="600" w:lineRule="exact"/>
        <w:ind w:firstLine="640"/>
        <w:outlineLvl w:val="2"/>
        <w:rPr>
          <w:rFonts w:ascii="仿宋" w:hAnsi="仿宋" w:eastAsia="仿宋"/>
          <w:b/>
          <w:sz w:val="32"/>
          <w:szCs w:val="32"/>
        </w:rPr>
      </w:pPr>
      <w:bookmarkStart w:id="54" w:name="_Toc15377217"/>
      <w:r>
        <w:rPr>
          <w:rFonts w:hint="eastAsia" w:ascii="仿宋" w:hAnsi="仿宋" w:eastAsia="仿宋"/>
          <w:b/>
          <w:sz w:val="32"/>
          <w:szCs w:val="32"/>
        </w:rPr>
        <w:t>（二）“三公”经费财政拨款支出决算具体情况说明</w:t>
      </w:r>
      <w:bookmarkEnd w:id="54"/>
    </w:p>
    <w:p w14:paraId="32B5B96F">
      <w:pPr>
        <w:spacing w:line="600" w:lineRule="exact"/>
        <w:ind w:firstLine="640"/>
        <w:rPr>
          <w:rFonts w:ascii="仿宋" w:hAnsi="仿宋" w:eastAsia="仿宋"/>
          <w:b w:val="0"/>
          <w:bCs w:val="0"/>
          <w:sz w:val="32"/>
          <w:szCs w:val="32"/>
        </w:rPr>
      </w:pPr>
      <w:r>
        <w:rPr>
          <w:rFonts w:hint="eastAsia" w:ascii="仿宋" w:hAnsi="仿宋" w:eastAsia="仿宋"/>
          <w:sz w:val="32"/>
          <w:szCs w:val="32"/>
          <w:lang w:eastAsia="zh-CN"/>
        </w:rPr>
        <w:t>2</w:t>
      </w:r>
      <w:r>
        <w:rPr>
          <w:rFonts w:hint="eastAsia" w:ascii="仿宋" w:hAnsi="仿宋" w:eastAsia="仿宋"/>
          <w:b w:val="0"/>
          <w:bCs w:val="0"/>
          <w:sz w:val="32"/>
          <w:szCs w:val="32"/>
          <w:lang w:eastAsia="zh-CN"/>
        </w:rPr>
        <w:t>024</w:t>
      </w:r>
      <w:r>
        <w:rPr>
          <w:rFonts w:hint="eastAsia" w:ascii="仿宋" w:hAnsi="仿宋" w:eastAsia="仿宋"/>
          <w:b w:val="0"/>
          <w:bCs w:val="0"/>
          <w:sz w:val="32"/>
          <w:szCs w:val="32"/>
        </w:rPr>
        <w:t>年度“三公”经费财政拨款支出决算中，因公出国（境）费支出决算</w:t>
      </w:r>
      <w:r>
        <w:rPr>
          <w:rFonts w:ascii="仿宋" w:hAnsi="仿宋" w:eastAsia="仿宋"/>
          <w:b w:val="0"/>
          <w:bCs w:val="0"/>
          <w:sz w:val="32"/>
          <w:szCs w:val="32"/>
        </w:rPr>
        <w:t>0</w:t>
      </w:r>
      <w:r>
        <w:rPr>
          <w:rFonts w:hint="eastAsia" w:ascii="仿宋" w:hAnsi="仿宋" w:eastAsia="仿宋"/>
          <w:b w:val="0"/>
          <w:bCs w:val="0"/>
          <w:sz w:val="32"/>
          <w:szCs w:val="32"/>
        </w:rPr>
        <w:t>万元，占</w:t>
      </w:r>
      <w:r>
        <w:rPr>
          <w:rFonts w:ascii="仿宋" w:hAnsi="仿宋" w:eastAsia="仿宋"/>
          <w:b w:val="0"/>
          <w:bCs w:val="0"/>
          <w:sz w:val="32"/>
          <w:szCs w:val="32"/>
        </w:rPr>
        <w:t>0%</w:t>
      </w:r>
      <w:r>
        <w:rPr>
          <w:rFonts w:hint="eastAsia" w:ascii="仿宋" w:hAnsi="仿宋" w:eastAsia="仿宋"/>
          <w:b w:val="0"/>
          <w:bCs w:val="0"/>
          <w:sz w:val="32"/>
          <w:szCs w:val="32"/>
        </w:rPr>
        <w:t>；公务用车购置及运行维护费支出决算</w:t>
      </w:r>
      <w:r>
        <w:rPr>
          <w:rFonts w:ascii="仿宋" w:hAnsi="仿宋" w:eastAsia="仿宋"/>
          <w:b w:val="0"/>
          <w:bCs w:val="0"/>
          <w:sz w:val="32"/>
          <w:szCs w:val="32"/>
        </w:rPr>
        <w:t>0</w:t>
      </w:r>
      <w:r>
        <w:rPr>
          <w:rFonts w:hint="eastAsia" w:ascii="仿宋" w:hAnsi="仿宋" w:eastAsia="仿宋"/>
          <w:b w:val="0"/>
          <w:bCs w:val="0"/>
          <w:sz w:val="32"/>
          <w:szCs w:val="32"/>
        </w:rPr>
        <w:t>万元，占</w:t>
      </w:r>
      <w:r>
        <w:rPr>
          <w:rFonts w:ascii="仿宋" w:hAnsi="仿宋" w:eastAsia="仿宋"/>
          <w:b w:val="0"/>
          <w:bCs w:val="0"/>
          <w:sz w:val="32"/>
          <w:szCs w:val="32"/>
        </w:rPr>
        <w:t>0%</w:t>
      </w:r>
      <w:r>
        <w:rPr>
          <w:rFonts w:hint="eastAsia" w:ascii="仿宋" w:hAnsi="仿宋" w:eastAsia="仿宋"/>
          <w:b w:val="0"/>
          <w:bCs w:val="0"/>
          <w:sz w:val="32"/>
          <w:szCs w:val="32"/>
        </w:rPr>
        <w:t>；公务接待费支出决算</w:t>
      </w:r>
      <w:r>
        <w:rPr>
          <w:rFonts w:hint="eastAsia" w:ascii="仿宋" w:hAnsi="仿宋" w:eastAsia="仿宋"/>
          <w:b w:val="0"/>
          <w:bCs w:val="0"/>
          <w:sz w:val="32"/>
          <w:szCs w:val="32"/>
          <w:lang w:val="en-US" w:eastAsia="zh-CN"/>
        </w:rPr>
        <w:t>0.15</w:t>
      </w:r>
      <w:r>
        <w:rPr>
          <w:rFonts w:hint="eastAsia" w:ascii="仿宋" w:hAnsi="仿宋" w:eastAsia="仿宋"/>
          <w:b w:val="0"/>
          <w:bCs w:val="0"/>
          <w:sz w:val="32"/>
          <w:szCs w:val="32"/>
        </w:rPr>
        <w:t>万元，占</w:t>
      </w:r>
      <w:r>
        <w:rPr>
          <w:rFonts w:ascii="仿宋" w:hAnsi="仿宋" w:eastAsia="仿宋"/>
          <w:b w:val="0"/>
          <w:bCs w:val="0"/>
          <w:sz w:val="32"/>
          <w:szCs w:val="32"/>
        </w:rPr>
        <w:t>0%</w:t>
      </w:r>
      <w:r>
        <w:rPr>
          <w:rFonts w:hint="eastAsia" w:ascii="仿宋" w:hAnsi="仿宋" w:eastAsia="仿宋"/>
          <w:b w:val="0"/>
          <w:bCs w:val="0"/>
          <w:sz w:val="32"/>
          <w:szCs w:val="32"/>
        </w:rPr>
        <w:t>。具体情况如下：</w:t>
      </w:r>
    </w:p>
    <w:p w14:paraId="3331DC7C">
      <w:pPr>
        <w:spacing w:line="600" w:lineRule="exact"/>
        <w:ind w:firstLine="640"/>
        <w:rPr>
          <w:rFonts w:hint="eastAsia" w:ascii="仿宋" w:hAnsi="仿宋" w:eastAsia="仿宋"/>
          <w:sz w:val="32"/>
          <w:szCs w:val="32"/>
        </w:rPr>
      </w:pPr>
      <w:r>
        <w:rPr>
          <w:rFonts w:hint="eastAsia" w:ascii="仿宋" w:hAnsi="仿宋" w:eastAsia="仿宋"/>
          <w:sz w:val="32"/>
          <w:szCs w:val="32"/>
        </w:rPr>
        <w:t>图7：“三公”经费财政拨款支出结构</w:t>
      </w:r>
    </w:p>
    <w:p w14:paraId="441C9C70">
      <w:pPr>
        <w:pStyle w:val="2"/>
        <w:rPr>
          <w:rFonts w:hint="eastAsia" w:eastAsia="仿宋"/>
          <w:lang w:eastAsia="zh-CN"/>
        </w:rPr>
      </w:pPr>
      <w:r>
        <w:rPr>
          <w:rFonts w:hint="eastAsia" w:eastAsia="仿宋"/>
          <w:lang w:eastAsia="zh-CN"/>
        </w:rPr>
        <w:drawing>
          <wp:inline distT="0" distB="0" distL="114300" distR="114300">
            <wp:extent cx="4578350" cy="3176270"/>
            <wp:effectExtent l="0" t="0" r="12700" b="5080"/>
            <wp:docPr id="3" name="图片 3" descr="图片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片7"/>
                    <pic:cNvPicPr>
                      <a:picLocks noChangeAspect="1"/>
                    </pic:cNvPicPr>
                  </pic:nvPicPr>
                  <pic:blipFill>
                    <a:blip r:embed="rId14"/>
                    <a:stretch>
                      <a:fillRect/>
                    </a:stretch>
                  </pic:blipFill>
                  <pic:spPr>
                    <a:xfrm>
                      <a:off x="0" y="0"/>
                      <a:ext cx="4578350" cy="3176270"/>
                    </a:xfrm>
                    <a:prstGeom prst="rect">
                      <a:avLst/>
                    </a:prstGeom>
                  </pic:spPr>
                </pic:pic>
              </a:graphicData>
            </a:graphic>
          </wp:inline>
        </w:drawing>
      </w:r>
    </w:p>
    <w:p w14:paraId="0B7F0879">
      <w:pPr>
        <w:pStyle w:val="2"/>
        <w:rPr>
          <w:rFonts w:hint="eastAsia" w:eastAsia="仿宋"/>
          <w:lang w:eastAsia="zh-CN"/>
        </w:rPr>
      </w:pPr>
    </w:p>
    <w:p w14:paraId="2529EBAF">
      <w:pPr>
        <w:spacing w:line="600" w:lineRule="exact"/>
        <w:ind w:firstLine="640"/>
        <w:rPr>
          <w:rFonts w:hint="eastAsia" w:ascii="仿宋_GB2312" w:eastAsia="仿宋_GB2312"/>
          <w:b w:val="0"/>
          <w:bCs/>
          <w:sz w:val="32"/>
          <w:szCs w:val="32"/>
          <w:lang w:val="en-US" w:eastAsia="zh-CN"/>
        </w:rPr>
      </w:pPr>
      <w:bookmarkStart w:id="55" w:name="_Toc15396610"/>
      <w:bookmarkStart w:id="56" w:name="_Toc15377218"/>
      <w:r>
        <w:rPr>
          <w:rFonts w:ascii="仿宋_GB2312" w:eastAsia="仿宋_GB2312"/>
          <w:b w:val="0"/>
          <w:bCs/>
          <w:sz w:val="32"/>
          <w:szCs w:val="32"/>
        </w:rPr>
        <w:t>1.</w:t>
      </w:r>
      <w:r>
        <w:rPr>
          <w:rFonts w:hint="eastAsia" w:ascii="仿宋_GB2312" w:eastAsia="仿宋_GB2312"/>
          <w:b w:val="0"/>
          <w:bCs/>
          <w:sz w:val="32"/>
          <w:szCs w:val="32"/>
        </w:rPr>
        <w:t>因公出国（境）经费支出</w:t>
      </w:r>
      <w:r>
        <w:rPr>
          <w:rFonts w:ascii="仿宋" w:hAnsi="仿宋" w:eastAsia="仿宋"/>
          <w:b w:val="0"/>
          <w:bCs/>
          <w:sz w:val="32"/>
          <w:szCs w:val="32"/>
        </w:rPr>
        <w:t>0</w:t>
      </w:r>
      <w:r>
        <w:rPr>
          <w:rFonts w:hint="eastAsia" w:ascii="仿宋_GB2312" w:eastAsia="仿宋_GB2312"/>
          <w:b w:val="0"/>
          <w:bCs/>
          <w:sz w:val="32"/>
          <w:szCs w:val="32"/>
        </w:rPr>
        <w:t>万元，</w:t>
      </w:r>
      <w:r>
        <w:rPr>
          <w:rStyle w:val="18"/>
          <w:rFonts w:hint="eastAsia" w:ascii="仿宋" w:hAnsi="仿宋" w:eastAsia="仿宋"/>
          <w:b w:val="0"/>
          <w:bCs/>
          <w:sz w:val="32"/>
          <w:szCs w:val="32"/>
        </w:rPr>
        <w:t>完成预算</w:t>
      </w:r>
      <w:r>
        <w:rPr>
          <w:rStyle w:val="18"/>
          <w:rFonts w:ascii="仿宋" w:hAnsi="仿宋" w:eastAsia="仿宋"/>
          <w:b w:val="0"/>
          <w:bCs/>
          <w:sz w:val="32"/>
          <w:szCs w:val="32"/>
        </w:rPr>
        <w:t>0%</w:t>
      </w:r>
      <w:r>
        <w:rPr>
          <w:rStyle w:val="18"/>
          <w:rFonts w:hint="eastAsia" w:ascii="仿宋" w:hAnsi="仿宋" w:eastAsia="仿宋"/>
          <w:b w:val="0"/>
          <w:bCs/>
          <w:sz w:val="32"/>
          <w:szCs w:val="32"/>
        </w:rPr>
        <w:t>。</w:t>
      </w:r>
      <w:r>
        <w:rPr>
          <w:rFonts w:hint="eastAsia" w:ascii="仿宋_GB2312" w:eastAsia="仿宋_GB2312"/>
          <w:b w:val="0"/>
          <w:bCs/>
          <w:sz w:val="32"/>
          <w:szCs w:val="32"/>
        </w:rPr>
        <w:t>全年安排因公出国（境）团组</w:t>
      </w:r>
      <w:r>
        <w:rPr>
          <w:rFonts w:ascii="仿宋_GB2312" w:eastAsia="仿宋_GB2312"/>
          <w:b w:val="0"/>
          <w:bCs/>
          <w:sz w:val="32"/>
          <w:szCs w:val="32"/>
        </w:rPr>
        <w:t>0</w:t>
      </w:r>
      <w:r>
        <w:rPr>
          <w:rFonts w:hint="eastAsia" w:ascii="仿宋_GB2312" w:eastAsia="仿宋_GB2312"/>
          <w:b w:val="0"/>
          <w:bCs/>
          <w:sz w:val="32"/>
          <w:szCs w:val="32"/>
        </w:rPr>
        <w:t>次，出国（境）</w:t>
      </w:r>
      <w:r>
        <w:rPr>
          <w:rFonts w:ascii="仿宋_GB2312" w:eastAsia="仿宋_GB2312"/>
          <w:b w:val="0"/>
          <w:bCs/>
          <w:sz w:val="32"/>
          <w:szCs w:val="32"/>
        </w:rPr>
        <w:t>0</w:t>
      </w:r>
      <w:r>
        <w:rPr>
          <w:rFonts w:hint="eastAsia" w:ascii="仿宋_GB2312" w:eastAsia="仿宋_GB2312"/>
          <w:b w:val="0"/>
          <w:bCs/>
          <w:sz w:val="32"/>
          <w:szCs w:val="32"/>
        </w:rPr>
        <w:t>人。因公出国（境）支出决算比</w:t>
      </w:r>
      <w:r>
        <w:rPr>
          <w:rFonts w:hint="eastAsia" w:ascii="仿宋_GB2312" w:eastAsia="仿宋_GB2312"/>
          <w:b w:val="0"/>
          <w:bCs/>
          <w:sz w:val="32"/>
          <w:szCs w:val="32"/>
          <w:lang w:eastAsia="zh-CN"/>
        </w:rPr>
        <w:t>2023</w:t>
      </w:r>
      <w:r>
        <w:rPr>
          <w:rFonts w:hint="eastAsia" w:ascii="仿宋_GB2312" w:eastAsia="仿宋_GB2312"/>
          <w:b w:val="0"/>
          <w:bCs/>
          <w:sz w:val="32"/>
          <w:szCs w:val="32"/>
        </w:rPr>
        <w:t>年增加</w:t>
      </w:r>
      <w:r>
        <w:rPr>
          <w:rFonts w:hint="eastAsia" w:ascii="仿宋_GB2312" w:eastAsia="仿宋_GB2312"/>
          <w:b w:val="0"/>
          <w:bCs/>
          <w:sz w:val="32"/>
          <w:szCs w:val="32"/>
          <w:lang w:val="en-US" w:eastAsia="zh-CN"/>
        </w:rPr>
        <w:t>0</w:t>
      </w:r>
      <w:r>
        <w:rPr>
          <w:rFonts w:hint="eastAsia" w:ascii="仿宋_GB2312" w:eastAsia="仿宋_GB2312"/>
          <w:b w:val="0"/>
          <w:bCs/>
          <w:sz w:val="32"/>
          <w:szCs w:val="32"/>
        </w:rPr>
        <w:t>万元，增长</w:t>
      </w:r>
      <w:r>
        <w:rPr>
          <w:rFonts w:hint="eastAsia" w:ascii="仿宋_GB2312" w:eastAsia="仿宋_GB2312"/>
          <w:b w:val="0"/>
          <w:bCs/>
          <w:sz w:val="32"/>
          <w:szCs w:val="32"/>
          <w:lang w:val="en-US" w:eastAsia="zh-CN"/>
        </w:rPr>
        <w:t>0</w:t>
      </w:r>
      <w:r>
        <w:rPr>
          <w:rFonts w:ascii="仿宋_GB2312" w:eastAsia="仿宋_GB2312"/>
          <w:b w:val="0"/>
          <w:bCs/>
          <w:sz w:val="32"/>
          <w:szCs w:val="32"/>
        </w:rPr>
        <w:t>%</w:t>
      </w:r>
      <w:r>
        <w:rPr>
          <w:rFonts w:hint="eastAsia" w:ascii="仿宋_GB2312" w:eastAsia="仿宋_GB2312"/>
          <w:b w:val="0"/>
          <w:bCs/>
          <w:sz w:val="32"/>
          <w:szCs w:val="32"/>
        </w:rPr>
        <w:t>。</w:t>
      </w:r>
      <w:r>
        <w:rPr>
          <w:rFonts w:hint="eastAsia" w:ascii="仿宋_GB2312" w:eastAsia="仿宋_GB2312"/>
          <w:b w:val="0"/>
          <w:bCs/>
          <w:sz w:val="32"/>
          <w:szCs w:val="32"/>
          <w:lang w:eastAsia="zh-CN"/>
        </w:rPr>
        <w:t>与</w:t>
      </w:r>
      <w:r>
        <w:rPr>
          <w:rFonts w:hint="eastAsia" w:ascii="仿宋_GB2312" w:eastAsia="仿宋_GB2312"/>
          <w:b w:val="0"/>
          <w:bCs/>
          <w:sz w:val="32"/>
          <w:szCs w:val="32"/>
          <w:lang w:val="en-US" w:eastAsia="zh-CN"/>
        </w:rPr>
        <w:t>2023年持平。</w:t>
      </w:r>
    </w:p>
    <w:p w14:paraId="621EAE44">
      <w:pPr>
        <w:spacing w:line="600" w:lineRule="exact"/>
        <w:ind w:firstLine="640"/>
        <w:rPr>
          <w:rFonts w:ascii="仿宋_GB2312" w:eastAsia="仿宋_GB2312"/>
          <w:b w:val="0"/>
          <w:bCs/>
          <w:sz w:val="32"/>
          <w:szCs w:val="32"/>
        </w:rPr>
      </w:pPr>
      <w:r>
        <w:rPr>
          <w:rFonts w:ascii="仿宋_GB2312" w:eastAsia="仿宋_GB2312"/>
          <w:b w:val="0"/>
          <w:bCs/>
          <w:sz w:val="32"/>
          <w:szCs w:val="32"/>
        </w:rPr>
        <w:t>2.</w:t>
      </w:r>
      <w:r>
        <w:rPr>
          <w:rFonts w:hint="eastAsia" w:ascii="仿宋_GB2312" w:eastAsia="仿宋_GB2312"/>
          <w:b w:val="0"/>
          <w:bCs/>
          <w:sz w:val="32"/>
          <w:szCs w:val="32"/>
        </w:rPr>
        <w:t>公务用车购置及运行维护费支出</w:t>
      </w:r>
      <w:r>
        <w:rPr>
          <w:rFonts w:ascii="仿宋" w:hAnsi="仿宋" w:eastAsia="仿宋"/>
          <w:b w:val="0"/>
          <w:bCs/>
          <w:sz w:val="32"/>
          <w:szCs w:val="32"/>
        </w:rPr>
        <w:t>0</w:t>
      </w:r>
      <w:r>
        <w:rPr>
          <w:rFonts w:hint="eastAsia" w:ascii="仿宋_GB2312" w:eastAsia="仿宋_GB2312"/>
          <w:b w:val="0"/>
          <w:bCs/>
          <w:sz w:val="32"/>
          <w:szCs w:val="32"/>
        </w:rPr>
        <w:t>万元,</w:t>
      </w:r>
      <w:r>
        <w:rPr>
          <w:rStyle w:val="18"/>
          <w:rFonts w:hint="eastAsia" w:ascii="仿宋" w:hAnsi="仿宋" w:eastAsia="仿宋"/>
          <w:b w:val="0"/>
          <w:bCs/>
          <w:sz w:val="32"/>
          <w:szCs w:val="32"/>
        </w:rPr>
        <w:t>完成预算</w:t>
      </w:r>
      <w:r>
        <w:rPr>
          <w:rStyle w:val="18"/>
          <w:rFonts w:ascii="仿宋" w:hAnsi="仿宋" w:eastAsia="仿宋"/>
          <w:b w:val="0"/>
          <w:bCs/>
          <w:sz w:val="32"/>
          <w:szCs w:val="32"/>
        </w:rPr>
        <w:t>0%</w:t>
      </w:r>
      <w:r>
        <w:rPr>
          <w:rStyle w:val="18"/>
          <w:rFonts w:hint="eastAsia" w:ascii="仿宋" w:hAnsi="仿宋" w:eastAsia="仿宋"/>
          <w:b w:val="0"/>
          <w:bCs/>
          <w:sz w:val="32"/>
          <w:szCs w:val="32"/>
        </w:rPr>
        <w:t>。</w:t>
      </w:r>
      <w:r>
        <w:rPr>
          <w:rFonts w:hint="eastAsia" w:ascii="仿宋_GB2312" w:eastAsia="仿宋_GB2312"/>
          <w:b w:val="0"/>
          <w:bCs/>
          <w:sz w:val="32"/>
          <w:szCs w:val="32"/>
        </w:rPr>
        <w:t>公务用车购置及运行维护费支出决算比</w:t>
      </w:r>
      <w:r>
        <w:rPr>
          <w:rFonts w:hint="eastAsia" w:ascii="仿宋_GB2312" w:eastAsia="仿宋_GB2312"/>
          <w:b w:val="0"/>
          <w:bCs/>
          <w:sz w:val="32"/>
          <w:szCs w:val="32"/>
          <w:lang w:eastAsia="zh-CN"/>
        </w:rPr>
        <w:t>2023</w:t>
      </w:r>
      <w:r>
        <w:rPr>
          <w:rFonts w:hint="eastAsia" w:ascii="仿宋_GB2312" w:eastAsia="仿宋_GB2312"/>
          <w:b w:val="0"/>
          <w:bCs/>
          <w:sz w:val="32"/>
          <w:szCs w:val="32"/>
        </w:rPr>
        <w:t>年度增加</w:t>
      </w:r>
      <w:r>
        <w:rPr>
          <w:rFonts w:hint="eastAsia" w:ascii="仿宋_GB2312" w:eastAsia="仿宋_GB2312"/>
          <w:b w:val="0"/>
          <w:bCs/>
          <w:sz w:val="32"/>
          <w:szCs w:val="32"/>
          <w:lang w:val="en-US" w:eastAsia="zh-CN"/>
        </w:rPr>
        <w:t>0</w:t>
      </w:r>
      <w:r>
        <w:rPr>
          <w:rFonts w:hint="eastAsia" w:ascii="仿宋_GB2312" w:eastAsia="仿宋_GB2312"/>
          <w:b w:val="0"/>
          <w:bCs/>
          <w:sz w:val="32"/>
          <w:szCs w:val="32"/>
        </w:rPr>
        <w:t>万元，增长</w:t>
      </w:r>
      <w:r>
        <w:rPr>
          <w:rFonts w:hint="eastAsia" w:ascii="仿宋_GB2312" w:eastAsia="仿宋_GB2312"/>
          <w:b w:val="0"/>
          <w:bCs/>
          <w:sz w:val="32"/>
          <w:szCs w:val="32"/>
          <w:lang w:val="en-US" w:eastAsia="zh-CN"/>
        </w:rPr>
        <w:t>0</w:t>
      </w:r>
      <w:r>
        <w:rPr>
          <w:rFonts w:ascii="仿宋_GB2312" w:eastAsia="仿宋_GB2312"/>
          <w:b w:val="0"/>
          <w:bCs/>
          <w:sz w:val="32"/>
          <w:szCs w:val="32"/>
        </w:rPr>
        <w:t>%</w:t>
      </w:r>
      <w:r>
        <w:rPr>
          <w:rFonts w:hint="eastAsia" w:ascii="仿宋_GB2312" w:eastAsia="仿宋_GB2312"/>
          <w:b w:val="0"/>
          <w:bCs/>
          <w:sz w:val="32"/>
          <w:szCs w:val="32"/>
          <w:lang w:eastAsia="zh-CN"/>
        </w:rPr>
        <w:t>，与</w:t>
      </w:r>
      <w:r>
        <w:rPr>
          <w:rFonts w:hint="eastAsia" w:ascii="仿宋_GB2312" w:eastAsia="仿宋_GB2312"/>
          <w:b w:val="0"/>
          <w:bCs/>
          <w:sz w:val="32"/>
          <w:szCs w:val="32"/>
          <w:lang w:val="en-US" w:eastAsia="zh-CN"/>
        </w:rPr>
        <w:t>2023年持平。</w:t>
      </w:r>
    </w:p>
    <w:p w14:paraId="078EB6B9">
      <w:pPr>
        <w:spacing w:line="600" w:lineRule="exact"/>
        <w:ind w:firstLine="640" w:firstLineChars="200"/>
        <w:rPr>
          <w:rFonts w:ascii="仿宋_GB2312" w:eastAsia="仿宋_GB2312"/>
          <w:b/>
          <w:sz w:val="32"/>
          <w:szCs w:val="32"/>
        </w:rPr>
      </w:pPr>
      <w:r>
        <w:rPr>
          <w:rFonts w:hint="eastAsia" w:ascii="仿宋_GB2312" w:eastAsia="仿宋_GB2312"/>
          <w:b w:val="0"/>
          <w:bCs/>
          <w:sz w:val="32"/>
          <w:szCs w:val="32"/>
        </w:rPr>
        <w:t>其中：公务用车购置支出</w:t>
      </w:r>
      <w:r>
        <w:rPr>
          <w:rFonts w:ascii="仿宋" w:hAnsi="仿宋" w:eastAsia="仿宋"/>
          <w:b w:val="0"/>
          <w:bCs/>
          <w:sz w:val="32"/>
          <w:szCs w:val="32"/>
        </w:rPr>
        <w:t>0</w:t>
      </w:r>
      <w:r>
        <w:rPr>
          <w:rFonts w:hint="eastAsia" w:ascii="仿宋_GB2312" w:eastAsia="仿宋_GB2312"/>
          <w:b w:val="0"/>
          <w:bCs/>
          <w:sz w:val="32"/>
          <w:szCs w:val="32"/>
        </w:rPr>
        <w:t>万元。全年按规定更新购置公务用车</w:t>
      </w:r>
      <w:r>
        <w:rPr>
          <w:rFonts w:hint="eastAsia" w:ascii="仿宋_GB2312" w:eastAsia="仿宋_GB2312"/>
          <w:b w:val="0"/>
          <w:bCs/>
          <w:sz w:val="32"/>
          <w:szCs w:val="32"/>
          <w:lang w:val="en-US" w:eastAsia="zh-CN"/>
        </w:rPr>
        <w:t>0</w:t>
      </w:r>
      <w:r>
        <w:rPr>
          <w:rFonts w:hint="eastAsia" w:ascii="仿宋_GB2312" w:eastAsia="仿宋_GB2312"/>
          <w:b w:val="0"/>
          <w:bCs/>
          <w:sz w:val="32"/>
          <w:szCs w:val="32"/>
        </w:rPr>
        <w:t>辆，其中：轿车</w:t>
      </w:r>
      <w:r>
        <w:rPr>
          <w:rFonts w:hint="eastAsia" w:ascii="仿宋_GB2312" w:eastAsia="仿宋_GB2312"/>
          <w:b w:val="0"/>
          <w:bCs/>
          <w:sz w:val="32"/>
          <w:szCs w:val="32"/>
          <w:lang w:val="en-US" w:eastAsia="zh-CN"/>
        </w:rPr>
        <w:t>0</w:t>
      </w:r>
      <w:r>
        <w:rPr>
          <w:rFonts w:hint="eastAsia" w:ascii="仿宋_GB2312" w:eastAsia="仿宋_GB2312"/>
          <w:b w:val="0"/>
          <w:bCs/>
          <w:sz w:val="32"/>
          <w:szCs w:val="32"/>
        </w:rPr>
        <w:t>辆、金额</w:t>
      </w:r>
      <w:r>
        <w:rPr>
          <w:rFonts w:hint="eastAsia" w:ascii="仿宋_GB2312" w:eastAsia="仿宋_GB2312"/>
          <w:b w:val="0"/>
          <w:bCs/>
          <w:sz w:val="32"/>
          <w:szCs w:val="32"/>
          <w:lang w:val="en-US" w:eastAsia="zh-CN"/>
        </w:rPr>
        <w:t>0</w:t>
      </w:r>
      <w:r>
        <w:rPr>
          <w:rFonts w:hint="eastAsia" w:ascii="仿宋_GB2312" w:eastAsia="仿宋_GB2312"/>
          <w:b w:val="0"/>
          <w:bCs/>
          <w:sz w:val="32"/>
          <w:szCs w:val="32"/>
        </w:rPr>
        <w:t>万元，越野车</w:t>
      </w:r>
      <w:r>
        <w:rPr>
          <w:rFonts w:hint="eastAsia" w:ascii="仿宋_GB2312" w:eastAsia="仿宋_GB2312"/>
          <w:b w:val="0"/>
          <w:bCs/>
          <w:sz w:val="32"/>
          <w:szCs w:val="32"/>
          <w:lang w:val="en-US" w:eastAsia="zh-CN"/>
        </w:rPr>
        <w:t>0</w:t>
      </w:r>
      <w:r>
        <w:rPr>
          <w:rFonts w:hint="eastAsia" w:ascii="仿宋_GB2312" w:eastAsia="仿宋_GB2312"/>
          <w:b w:val="0"/>
          <w:bCs/>
          <w:sz w:val="32"/>
          <w:szCs w:val="32"/>
        </w:rPr>
        <w:t>辆、金额</w:t>
      </w:r>
      <w:r>
        <w:rPr>
          <w:rFonts w:hint="eastAsia" w:ascii="仿宋_GB2312" w:eastAsia="仿宋_GB2312"/>
          <w:b w:val="0"/>
          <w:bCs/>
          <w:sz w:val="32"/>
          <w:szCs w:val="32"/>
          <w:lang w:val="en-US" w:eastAsia="zh-CN"/>
        </w:rPr>
        <w:t>0</w:t>
      </w:r>
      <w:r>
        <w:rPr>
          <w:rFonts w:hint="eastAsia" w:ascii="仿宋_GB2312" w:eastAsia="仿宋_GB2312"/>
          <w:b w:val="0"/>
          <w:bCs/>
          <w:sz w:val="32"/>
          <w:szCs w:val="32"/>
        </w:rPr>
        <w:t>万元，载客汽车</w:t>
      </w:r>
      <w:r>
        <w:rPr>
          <w:rFonts w:hint="eastAsia" w:ascii="仿宋_GB2312" w:eastAsia="仿宋_GB2312"/>
          <w:b w:val="0"/>
          <w:bCs/>
          <w:sz w:val="32"/>
          <w:szCs w:val="32"/>
          <w:lang w:val="en-US" w:eastAsia="zh-CN"/>
        </w:rPr>
        <w:t>0</w:t>
      </w:r>
      <w:r>
        <w:rPr>
          <w:rFonts w:hint="eastAsia" w:ascii="仿宋_GB2312" w:eastAsia="仿宋_GB2312"/>
          <w:b w:val="0"/>
          <w:bCs/>
          <w:sz w:val="32"/>
          <w:szCs w:val="32"/>
        </w:rPr>
        <w:t>辆、金额</w:t>
      </w:r>
      <w:r>
        <w:rPr>
          <w:rFonts w:hint="eastAsia" w:ascii="仿宋_GB2312" w:eastAsia="仿宋_GB2312"/>
          <w:b w:val="0"/>
          <w:bCs/>
          <w:sz w:val="32"/>
          <w:szCs w:val="32"/>
          <w:lang w:val="en-US" w:eastAsia="zh-CN"/>
        </w:rPr>
        <w:t>0</w:t>
      </w:r>
      <w:r>
        <w:rPr>
          <w:rFonts w:hint="eastAsia" w:ascii="仿宋_GB2312" w:eastAsia="仿宋_GB2312"/>
          <w:b w:val="0"/>
          <w:bCs/>
          <w:sz w:val="32"/>
          <w:szCs w:val="32"/>
        </w:rPr>
        <w:t>万元，主要用于</w:t>
      </w:r>
      <w:r>
        <w:rPr>
          <w:rFonts w:hint="eastAsia" w:ascii="仿宋_GB2312" w:eastAsia="仿宋_GB2312"/>
          <w:b w:val="0"/>
          <w:bCs/>
          <w:sz w:val="32"/>
          <w:szCs w:val="32"/>
          <w:lang w:eastAsia="zh-CN"/>
        </w:rPr>
        <w:t>：无</w:t>
      </w:r>
      <w:r>
        <w:rPr>
          <w:rFonts w:hint="eastAsia" w:ascii="仿宋_GB2312" w:eastAsia="仿宋_GB2312"/>
          <w:b w:val="0"/>
          <w:bCs/>
          <w:sz w:val="32"/>
          <w:szCs w:val="32"/>
        </w:rPr>
        <w:t>。截至</w:t>
      </w:r>
      <w:r>
        <w:rPr>
          <w:rFonts w:hint="eastAsia" w:ascii="仿宋_GB2312" w:eastAsia="仿宋_GB2312"/>
          <w:b w:val="0"/>
          <w:bCs/>
          <w:sz w:val="32"/>
          <w:szCs w:val="32"/>
          <w:lang w:eastAsia="zh-CN"/>
        </w:rPr>
        <w:t>2024</w:t>
      </w:r>
      <w:r>
        <w:rPr>
          <w:rFonts w:hint="eastAsia" w:ascii="仿宋_GB2312" w:eastAsia="仿宋_GB2312"/>
          <w:b w:val="0"/>
          <w:bCs/>
          <w:sz w:val="32"/>
          <w:szCs w:val="32"/>
        </w:rPr>
        <w:t>年</w:t>
      </w:r>
      <w:r>
        <w:rPr>
          <w:rFonts w:ascii="仿宋_GB2312" w:eastAsia="仿宋_GB2312"/>
          <w:b w:val="0"/>
          <w:bCs/>
          <w:sz w:val="32"/>
          <w:szCs w:val="32"/>
        </w:rPr>
        <w:t>12</w:t>
      </w:r>
      <w:r>
        <w:rPr>
          <w:rFonts w:hint="eastAsia" w:ascii="仿宋_GB2312" w:eastAsia="仿宋_GB2312"/>
          <w:b w:val="0"/>
          <w:bCs/>
          <w:sz w:val="32"/>
          <w:szCs w:val="32"/>
        </w:rPr>
        <w:t>月31日，单位共有公务用车</w:t>
      </w:r>
      <w:r>
        <w:rPr>
          <w:rFonts w:hint="eastAsia" w:ascii="仿宋_GB2312" w:eastAsia="仿宋_GB2312"/>
          <w:b w:val="0"/>
          <w:bCs/>
          <w:sz w:val="32"/>
          <w:szCs w:val="32"/>
          <w:lang w:val="en-US" w:eastAsia="zh-CN"/>
        </w:rPr>
        <w:t>0</w:t>
      </w:r>
      <w:r>
        <w:rPr>
          <w:rFonts w:hint="eastAsia" w:ascii="仿宋_GB2312" w:eastAsia="仿宋_GB2312"/>
          <w:b w:val="0"/>
          <w:bCs/>
          <w:sz w:val="32"/>
          <w:szCs w:val="32"/>
        </w:rPr>
        <w:t>辆，其中：</w:t>
      </w:r>
      <w:r>
        <w:rPr>
          <w:rFonts w:hint="eastAsia" w:ascii="仿宋_GB2312" w:eastAsia="仿宋_GB2312"/>
          <w:sz w:val="32"/>
          <w:szCs w:val="32"/>
        </w:rPr>
        <w:t>轿车</w:t>
      </w:r>
      <w:r>
        <w:rPr>
          <w:rFonts w:hint="eastAsia" w:ascii="仿宋_GB2312" w:eastAsia="仿宋_GB2312"/>
          <w:sz w:val="32"/>
          <w:szCs w:val="32"/>
          <w:lang w:val="en-US" w:eastAsia="zh-CN"/>
        </w:rPr>
        <w:t>0</w:t>
      </w:r>
      <w:r>
        <w:rPr>
          <w:rFonts w:hint="eastAsia" w:ascii="仿宋_GB2312" w:eastAsia="仿宋_GB2312"/>
          <w:sz w:val="32"/>
          <w:szCs w:val="32"/>
        </w:rPr>
        <w:t>辆、越野车</w:t>
      </w:r>
      <w:r>
        <w:rPr>
          <w:rFonts w:hint="eastAsia" w:ascii="仿宋_GB2312" w:eastAsia="仿宋_GB2312"/>
          <w:sz w:val="32"/>
          <w:szCs w:val="32"/>
          <w:lang w:val="en-US" w:eastAsia="zh-CN"/>
        </w:rPr>
        <w:t>0</w:t>
      </w:r>
      <w:r>
        <w:rPr>
          <w:rFonts w:hint="eastAsia" w:ascii="仿宋_GB2312" w:eastAsia="仿宋_GB2312"/>
          <w:sz w:val="32"/>
          <w:szCs w:val="32"/>
        </w:rPr>
        <w:t>辆、载客汽车</w:t>
      </w:r>
      <w:r>
        <w:rPr>
          <w:rFonts w:hint="eastAsia" w:ascii="仿宋_GB2312" w:eastAsia="仿宋_GB2312"/>
          <w:sz w:val="32"/>
          <w:szCs w:val="32"/>
          <w:lang w:val="en-US" w:eastAsia="zh-CN"/>
        </w:rPr>
        <w:t>0</w:t>
      </w:r>
      <w:r>
        <w:rPr>
          <w:rFonts w:hint="eastAsia" w:ascii="仿宋_GB2312" w:eastAsia="仿宋_GB2312"/>
          <w:sz w:val="32"/>
          <w:szCs w:val="32"/>
        </w:rPr>
        <w:t>辆。</w:t>
      </w:r>
    </w:p>
    <w:p w14:paraId="585CC490">
      <w:pPr>
        <w:spacing w:line="600" w:lineRule="exact"/>
        <w:ind w:firstLine="640"/>
        <w:rPr>
          <w:rFonts w:ascii="仿宋_GB2312" w:eastAsia="仿宋_GB2312"/>
          <w:b w:val="0"/>
          <w:bCs/>
          <w:sz w:val="32"/>
          <w:szCs w:val="32"/>
        </w:rPr>
      </w:pPr>
      <w:r>
        <w:rPr>
          <w:rFonts w:hint="eastAsia" w:ascii="仿宋_GB2312" w:eastAsia="仿宋_GB2312"/>
          <w:b w:val="0"/>
          <w:bCs/>
          <w:sz w:val="32"/>
          <w:szCs w:val="32"/>
        </w:rPr>
        <w:t>公务用车运行维护费支出</w:t>
      </w:r>
      <w:r>
        <w:rPr>
          <w:rFonts w:ascii="仿宋" w:hAnsi="仿宋" w:eastAsia="仿宋"/>
          <w:b w:val="0"/>
          <w:bCs/>
          <w:sz w:val="32"/>
          <w:szCs w:val="32"/>
        </w:rPr>
        <w:t>0</w:t>
      </w:r>
      <w:r>
        <w:rPr>
          <w:rFonts w:hint="eastAsia" w:ascii="仿宋_GB2312" w:eastAsia="仿宋_GB2312"/>
          <w:b w:val="0"/>
          <w:bCs/>
          <w:sz w:val="32"/>
          <w:szCs w:val="32"/>
        </w:rPr>
        <w:t>万元。主要用于</w:t>
      </w:r>
      <w:r>
        <w:rPr>
          <w:rFonts w:hint="eastAsia" w:ascii="仿宋_GB2312" w:eastAsia="仿宋_GB2312"/>
          <w:b w:val="0"/>
          <w:bCs/>
          <w:sz w:val="32"/>
          <w:szCs w:val="32"/>
          <w:lang w:eastAsia="zh-CN"/>
        </w:rPr>
        <w:t>：无</w:t>
      </w:r>
      <w:r>
        <w:rPr>
          <w:rFonts w:hint="eastAsia" w:ascii="仿宋_GB2312" w:eastAsia="仿宋_GB2312"/>
          <w:b w:val="0"/>
          <w:bCs/>
          <w:sz w:val="32"/>
          <w:szCs w:val="32"/>
        </w:rPr>
        <w:t>。</w:t>
      </w:r>
    </w:p>
    <w:p w14:paraId="1515FE96">
      <w:pPr>
        <w:spacing w:line="600" w:lineRule="exact"/>
        <w:ind w:firstLine="640"/>
        <w:rPr>
          <w:rFonts w:ascii="仿宋_GB2312" w:eastAsia="仿宋_GB2312"/>
          <w:b w:val="0"/>
          <w:bCs/>
          <w:sz w:val="32"/>
          <w:szCs w:val="32"/>
        </w:rPr>
      </w:pPr>
      <w:r>
        <w:rPr>
          <w:rFonts w:ascii="仿宋_GB2312" w:eastAsia="仿宋_GB2312"/>
          <w:b w:val="0"/>
          <w:bCs/>
          <w:sz w:val="32"/>
          <w:szCs w:val="32"/>
        </w:rPr>
        <w:t>3.</w:t>
      </w:r>
      <w:r>
        <w:rPr>
          <w:rFonts w:hint="eastAsia" w:ascii="仿宋_GB2312" w:eastAsia="仿宋_GB2312"/>
          <w:b w:val="0"/>
          <w:bCs/>
          <w:sz w:val="32"/>
          <w:szCs w:val="32"/>
        </w:rPr>
        <w:t>公务接待费支出</w:t>
      </w:r>
      <w:r>
        <w:rPr>
          <w:rFonts w:hint="eastAsia" w:ascii="仿宋" w:hAnsi="仿宋" w:eastAsia="仿宋"/>
          <w:b w:val="0"/>
          <w:bCs/>
          <w:sz w:val="32"/>
          <w:szCs w:val="32"/>
          <w:lang w:val="en-US" w:eastAsia="zh-CN"/>
        </w:rPr>
        <w:t>0.15</w:t>
      </w:r>
      <w:r>
        <w:rPr>
          <w:rFonts w:hint="eastAsia" w:ascii="仿宋_GB2312" w:eastAsia="仿宋_GB2312"/>
          <w:b w:val="0"/>
          <w:bCs/>
          <w:sz w:val="32"/>
          <w:szCs w:val="32"/>
        </w:rPr>
        <w:t>万元，</w:t>
      </w:r>
      <w:r>
        <w:rPr>
          <w:rStyle w:val="18"/>
          <w:rFonts w:hint="eastAsia" w:ascii="仿宋" w:hAnsi="仿宋" w:eastAsia="仿宋"/>
          <w:b w:val="0"/>
          <w:bCs/>
          <w:sz w:val="32"/>
          <w:szCs w:val="32"/>
        </w:rPr>
        <w:t>完成预算</w:t>
      </w:r>
      <w:r>
        <w:rPr>
          <w:rStyle w:val="18"/>
          <w:rFonts w:hint="eastAsia" w:ascii="仿宋" w:hAnsi="仿宋" w:eastAsia="仿宋"/>
          <w:b w:val="0"/>
          <w:bCs/>
          <w:sz w:val="32"/>
          <w:szCs w:val="32"/>
          <w:lang w:val="en-US" w:eastAsia="zh-CN"/>
        </w:rPr>
        <w:t>100</w:t>
      </w:r>
      <w:r>
        <w:rPr>
          <w:rStyle w:val="18"/>
          <w:rFonts w:ascii="仿宋" w:hAnsi="仿宋" w:eastAsia="仿宋"/>
          <w:b w:val="0"/>
          <w:bCs/>
          <w:sz w:val="32"/>
          <w:szCs w:val="32"/>
        </w:rPr>
        <w:t>%</w:t>
      </w:r>
      <w:r>
        <w:rPr>
          <w:rStyle w:val="18"/>
          <w:rFonts w:hint="eastAsia" w:ascii="仿宋" w:hAnsi="仿宋" w:eastAsia="仿宋"/>
          <w:b w:val="0"/>
          <w:bCs/>
          <w:sz w:val="32"/>
          <w:szCs w:val="32"/>
        </w:rPr>
        <w:t>。</w:t>
      </w:r>
      <w:r>
        <w:rPr>
          <w:rFonts w:hint="eastAsia" w:ascii="仿宋_GB2312" w:eastAsia="仿宋_GB2312"/>
          <w:b w:val="0"/>
          <w:bCs/>
          <w:sz w:val="32"/>
          <w:szCs w:val="32"/>
        </w:rPr>
        <w:t>公务接待费支出决算比</w:t>
      </w:r>
      <w:r>
        <w:rPr>
          <w:rFonts w:hint="eastAsia" w:ascii="仿宋_GB2312" w:eastAsia="仿宋_GB2312"/>
          <w:b w:val="0"/>
          <w:bCs/>
          <w:sz w:val="32"/>
          <w:szCs w:val="32"/>
          <w:lang w:eastAsia="zh-CN"/>
        </w:rPr>
        <w:t>2023</w:t>
      </w:r>
      <w:r>
        <w:rPr>
          <w:rFonts w:hint="eastAsia" w:ascii="仿宋_GB2312" w:eastAsia="仿宋_GB2312"/>
          <w:b w:val="0"/>
          <w:bCs/>
          <w:sz w:val="32"/>
          <w:szCs w:val="32"/>
        </w:rPr>
        <w:t>年度增加</w:t>
      </w:r>
      <w:r>
        <w:rPr>
          <w:rFonts w:hint="eastAsia" w:ascii="仿宋_GB2312" w:eastAsia="仿宋_GB2312"/>
          <w:b w:val="0"/>
          <w:bCs/>
          <w:sz w:val="32"/>
          <w:szCs w:val="32"/>
          <w:lang w:val="en-US" w:eastAsia="zh-CN"/>
        </w:rPr>
        <w:t>0.15</w:t>
      </w:r>
      <w:r>
        <w:rPr>
          <w:rFonts w:hint="eastAsia" w:ascii="仿宋_GB2312" w:eastAsia="仿宋_GB2312"/>
          <w:b w:val="0"/>
          <w:bCs/>
          <w:sz w:val="32"/>
          <w:szCs w:val="32"/>
        </w:rPr>
        <w:t>万元，增长</w:t>
      </w:r>
      <w:r>
        <w:rPr>
          <w:rFonts w:hint="eastAsia" w:ascii="仿宋_GB2312" w:eastAsia="仿宋_GB2312"/>
          <w:b w:val="0"/>
          <w:bCs/>
          <w:sz w:val="32"/>
          <w:szCs w:val="32"/>
          <w:lang w:val="en-US" w:eastAsia="zh-CN"/>
        </w:rPr>
        <w:t>100</w:t>
      </w:r>
      <w:r>
        <w:rPr>
          <w:rFonts w:ascii="仿宋_GB2312" w:eastAsia="仿宋_GB2312"/>
          <w:b w:val="0"/>
          <w:bCs/>
          <w:sz w:val="32"/>
          <w:szCs w:val="32"/>
        </w:rPr>
        <w:t>%</w:t>
      </w:r>
      <w:r>
        <w:rPr>
          <w:rFonts w:hint="eastAsia" w:ascii="仿宋_GB2312" w:eastAsia="仿宋_GB2312"/>
          <w:b w:val="0"/>
          <w:bCs/>
          <w:sz w:val="32"/>
          <w:szCs w:val="32"/>
        </w:rPr>
        <w:t>。主要原因是</w:t>
      </w:r>
      <w:r>
        <w:rPr>
          <w:rFonts w:hint="eastAsia" w:ascii="仿宋_GB2312" w:eastAsia="仿宋_GB2312"/>
          <w:b w:val="0"/>
          <w:bCs/>
          <w:sz w:val="32"/>
          <w:szCs w:val="32"/>
          <w:lang w:eastAsia="zh-CN"/>
        </w:rPr>
        <w:t>因工作需要</w:t>
      </w:r>
      <w:r>
        <w:rPr>
          <w:rFonts w:hint="eastAsia" w:ascii="仿宋_GB2312" w:hAnsi="Times New Roman" w:eastAsia="仿宋_GB2312" w:cs="Times New Roman"/>
          <w:b w:val="0"/>
          <w:bCs/>
          <w:sz w:val="32"/>
          <w:szCs w:val="32"/>
        </w:rPr>
        <w:t>接待</w:t>
      </w:r>
      <w:r>
        <w:rPr>
          <w:rFonts w:hint="eastAsia" w:ascii="仿宋_GB2312" w:eastAsia="仿宋_GB2312" w:cs="Times New Roman"/>
          <w:b w:val="0"/>
          <w:bCs/>
          <w:sz w:val="32"/>
          <w:szCs w:val="32"/>
          <w:lang w:eastAsia="zh-CN"/>
        </w:rPr>
        <w:t>事项增加，相应增加了</w:t>
      </w:r>
      <w:r>
        <w:rPr>
          <w:rFonts w:hint="eastAsia" w:ascii="仿宋_GB2312" w:hAnsi="Times New Roman" w:eastAsia="仿宋_GB2312" w:cs="Times New Roman"/>
          <w:b w:val="0"/>
          <w:bCs/>
          <w:sz w:val="32"/>
          <w:szCs w:val="32"/>
        </w:rPr>
        <w:t>接待费</w:t>
      </w:r>
      <w:r>
        <w:rPr>
          <w:rFonts w:hint="eastAsia" w:ascii="仿宋_GB2312" w:eastAsia="仿宋_GB2312" w:cs="Times New Roman"/>
          <w:b w:val="0"/>
          <w:bCs/>
          <w:sz w:val="32"/>
          <w:szCs w:val="32"/>
          <w:lang w:eastAsia="zh-CN"/>
        </w:rPr>
        <w:t>支出</w:t>
      </w:r>
      <w:r>
        <w:rPr>
          <w:rFonts w:hint="eastAsia" w:ascii="仿宋_GB2312" w:eastAsia="仿宋_GB2312"/>
          <w:b w:val="0"/>
          <w:bCs/>
          <w:sz w:val="32"/>
          <w:szCs w:val="32"/>
        </w:rPr>
        <w:t>。其中：</w:t>
      </w:r>
    </w:p>
    <w:p w14:paraId="668AD642">
      <w:pPr>
        <w:spacing w:line="600" w:lineRule="exact"/>
        <w:ind w:firstLine="640"/>
        <w:rPr>
          <w:rFonts w:hint="eastAsia" w:ascii="仿宋_GB2312" w:hAnsi="仿宋_GB2312" w:eastAsia="仿宋_GB2312"/>
          <w:b w:val="0"/>
          <w:bCs/>
          <w:color w:val="000000"/>
          <w:kern w:val="2"/>
          <w:sz w:val="32"/>
          <w:szCs w:val="24"/>
          <w:lang w:val="zh-CN" w:eastAsia="zh-CN"/>
        </w:rPr>
      </w:pPr>
      <w:r>
        <w:rPr>
          <w:rFonts w:hint="eastAsia" w:ascii="仿宋" w:hAnsi="仿宋" w:eastAsia="仿宋"/>
          <w:b w:val="0"/>
          <w:bCs/>
          <w:sz w:val="32"/>
          <w:szCs w:val="32"/>
        </w:rPr>
        <w:t>国内公务接待支出</w:t>
      </w:r>
      <w:r>
        <w:rPr>
          <w:rFonts w:hint="eastAsia" w:ascii="仿宋" w:hAnsi="仿宋" w:eastAsia="仿宋"/>
          <w:b w:val="0"/>
          <w:bCs/>
          <w:sz w:val="32"/>
          <w:szCs w:val="32"/>
          <w:lang w:val="en-US" w:eastAsia="zh-CN"/>
        </w:rPr>
        <w:t>0.15</w:t>
      </w:r>
      <w:r>
        <w:rPr>
          <w:rFonts w:hint="eastAsia" w:ascii="仿宋_GB2312" w:eastAsia="仿宋_GB2312"/>
          <w:b w:val="0"/>
          <w:bCs/>
          <w:sz w:val="32"/>
          <w:szCs w:val="32"/>
        </w:rPr>
        <w:t>万元，主要用于</w:t>
      </w:r>
      <w:r>
        <w:rPr>
          <w:rFonts w:hint="eastAsia" w:ascii="仿宋_GB2312" w:hAnsi="仿宋_GB2312" w:eastAsia="仿宋_GB2312"/>
          <w:b w:val="0"/>
          <w:bCs/>
          <w:color w:val="000000"/>
          <w:kern w:val="2"/>
          <w:sz w:val="32"/>
          <w:szCs w:val="24"/>
          <w:lang w:val="zh-CN"/>
        </w:rPr>
        <w:t>主要用于</w:t>
      </w:r>
      <w:r>
        <w:rPr>
          <w:rFonts w:hint="eastAsia" w:ascii="仿宋_GB2312" w:hAnsi="仿宋_GB2312" w:eastAsia="仿宋_GB2312"/>
          <w:b w:val="0"/>
          <w:bCs/>
          <w:color w:val="000000"/>
          <w:kern w:val="2"/>
          <w:sz w:val="32"/>
          <w:szCs w:val="24"/>
          <w:lang w:val="en-US"/>
        </w:rPr>
        <w:t>执行公务、开展业务活动开支</w:t>
      </w:r>
      <w:r>
        <w:rPr>
          <w:rFonts w:hint="eastAsia" w:ascii="仿宋_GB2312" w:hAnsi="仿宋_GB2312" w:eastAsia="仿宋_GB2312"/>
          <w:b w:val="0"/>
          <w:bCs/>
          <w:color w:val="000000"/>
          <w:kern w:val="2"/>
          <w:sz w:val="32"/>
          <w:szCs w:val="24"/>
          <w:lang w:val="en-US" w:eastAsia="zh-CN"/>
        </w:rPr>
        <w:t>的</w:t>
      </w:r>
      <w:r>
        <w:rPr>
          <w:rFonts w:hint="eastAsia" w:ascii="仿宋_GB2312" w:hAnsi="仿宋_GB2312" w:eastAsia="仿宋_GB2312"/>
          <w:b w:val="0"/>
          <w:bCs/>
          <w:color w:val="000000"/>
          <w:kern w:val="2"/>
          <w:sz w:val="32"/>
          <w:szCs w:val="24"/>
          <w:lang w:val="en-US"/>
        </w:rPr>
        <w:t>用餐费</w:t>
      </w:r>
      <w:r>
        <w:rPr>
          <w:rFonts w:hint="eastAsia" w:ascii="仿宋_GB2312" w:hAnsi="仿宋_GB2312" w:eastAsia="仿宋_GB2312"/>
          <w:b w:val="0"/>
          <w:bCs/>
          <w:color w:val="000000"/>
          <w:kern w:val="2"/>
          <w:sz w:val="32"/>
          <w:szCs w:val="24"/>
          <w:lang w:val="zh-CN"/>
        </w:rPr>
        <w:t>。国内公务接待</w:t>
      </w:r>
      <w:r>
        <w:rPr>
          <w:rFonts w:hint="eastAsia" w:ascii="仿宋_GB2312" w:hAnsi="仿宋_GB2312" w:eastAsia="仿宋_GB2312"/>
          <w:b w:val="0"/>
          <w:bCs/>
          <w:color w:val="000000"/>
          <w:kern w:val="2"/>
          <w:sz w:val="32"/>
          <w:szCs w:val="24"/>
          <w:lang w:val="en-US" w:eastAsia="zh-CN"/>
        </w:rPr>
        <w:t>1</w:t>
      </w:r>
      <w:r>
        <w:rPr>
          <w:rFonts w:hint="eastAsia" w:ascii="仿宋_GB2312" w:hAnsi="仿宋_GB2312" w:eastAsia="仿宋_GB2312"/>
          <w:b w:val="0"/>
          <w:bCs/>
          <w:color w:val="000000"/>
          <w:kern w:val="2"/>
          <w:sz w:val="32"/>
          <w:szCs w:val="24"/>
          <w:lang w:val="zh-CN"/>
        </w:rPr>
        <w:t>批次，</w:t>
      </w:r>
      <w:r>
        <w:rPr>
          <w:rFonts w:hint="eastAsia" w:ascii="仿宋_GB2312" w:hAnsi="仿宋_GB2312" w:eastAsia="仿宋_GB2312"/>
          <w:b w:val="0"/>
          <w:bCs/>
          <w:color w:val="000000"/>
          <w:kern w:val="2"/>
          <w:sz w:val="32"/>
          <w:szCs w:val="24"/>
          <w:lang w:val="en-US" w:eastAsia="zh-CN"/>
        </w:rPr>
        <w:t>16</w:t>
      </w:r>
      <w:r>
        <w:rPr>
          <w:rFonts w:hint="eastAsia" w:ascii="仿宋_GB2312" w:hAnsi="仿宋_GB2312" w:eastAsia="仿宋_GB2312"/>
          <w:b w:val="0"/>
          <w:bCs/>
          <w:color w:val="000000"/>
          <w:kern w:val="2"/>
          <w:sz w:val="32"/>
          <w:szCs w:val="24"/>
          <w:lang w:val="zh-CN"/>
        </w:rPr>
        <w:t>人次（不包括陪同人员），共计支出</w:t>
      </w:r>
      <w:r>
        <w:rPr>
          <w:rFonts w:hint="eastAsia" w:ascii="仿宋_GB2312" w:hAnsi="仿宋_GB2312" w:eastAsia="仿宋_GB2312"/>
          <w:b w:val="0"/>
          <w:bCs/>
          <w:color w:val="000000"/>
          <w:kern w:val="2"/>
          <w:sz w:val="32"/>
          <w:szCs w:val="24"/>
          <w:lang w:val="en-US" w:eastAsia="zh-CN"/>
        </w:rPr>
        <w:t>0.15</w:t>
      </w:r>
      <w:r>
        <w:rPr>
          <w:rFonts w:hint="eastAsia" w:ascii="仿宋_GB2312" w:hAnsi="仿宋_GB2312" w:eastAsia="仿宋_GB2312"/>
          <w:b w:val="0"/>
          <w:bCs/>
          <w:color w:val="000000"/>
          <w:kern w:val="2"/>
          <w:sz w:val="32"/>
          <w:szCs w:val="24"/>
          <w:lang w:val="zh-CN"/>
        </w:rPr>
        <w:t>万元，具体内容包括：在行政运行经费支出</w:t>
      </w:r>
      <w:r>
        <w:rPr>
          <w:rFonts w:hint="eastAsia" w:ascii="仿宋_GB2312" w:hAnsi="仿宋_GB2312" w:eastAsia="仿宋_GB2312"/>
          <w:b w:val="0"/>
          <w:bCs/>
          <w:color w:val="000000"/>
          <w:kern w:val="2"/>
          <w:sz w:val="32"/>
          <w:szCs w:val="24"/>
          <w:lang w:val="en-US" w:eastAsia="zh-CN"/>
        </w:rPr>
        <w:t>0.15万元。</w:t>
      </w:r>
    </w:p>
    <w:p w14:paraId="369B726A">
      <w:pPr>
        <w:spacing w:line="600" w:lineRule="exact"/>
        <w:ind w:firstLine="640" w:firstLineChars="200"/>
        <w:rPr>
          <w:rFonts w:ascii="黑体" w:eastAsia="黑体"/>
          <w:b w:val="0"/>
          <w:bCs/>
          <w:sz w:val="32"/>
          <w:szCs w:val="32"/>
        </w:rPr>
      </w:pPr>
      <w:r>
        <w:rPr>
          <w:rFonts w:hint="eastAsia" w:ascii="仿宋" w:hAnsi="仿宋" w:eastAsia="仿宋"/>
          <w:b w:val="0"/>
          <w:bCs/>
          <w:sz w:val="32"/>
          <w:szCs w:val="32"/>
        </w:rPr>
        <w:t>外事接待支出</w:t>
      </w:r>
      <w:r>
        <w:rPr>
          <w:rFonts w:ascii="仿宋" w:hAnsi="仿宋" w:eastAsia="仿宋"/>
          <w:b w:val="0"/>
          <w:bCs/>
          <w:sz w:val="32"/>
          <w:szCs w:val="32"/>
        </w:rPr>
        <w:t>0</w:t>
      </w:r>
      <w:r>
        <w:rPr>
          <w:rFonts w:hint="eastAsia" w:ascii="仿宋_GB2312" w:eastAsia="仿宋_GB2312"/>
          <w:b w:val="0"/>
          <w:bCs/>
          <w:sz w:val="32"/>
          <w:szCs w:val="32"/>
        </w:rPr>
        <w:t>万元，主要用于接待</w:t>
      </w:r>
      <w:r>
        <w:rPr>
          <w:rFonts w:hint="eastAsia" w:ascii="仿宋_GB2312" w:eastAsia="仿宋_GB2312"/>
          <w:b w:val="0"/>
          <w:bCs/>
          <w:sz w:val="32"/>
          <w:szCs w:val="32"/>
          <w:lang w:eastAsia="zh-CN"/>
        </w:rPr>
        <w:t>：无</w:t>
      </w:r>
      <w:r>
        <w:rPr>
          <w:rFonts w:hint="eastAsia" w:ascii="仿宋_GB2312" w:eastAsia="仿宋_GB2312"/>
          <w:b w:val="0"/>
          <w:bCs/>
          <w:sz w:val="32"/>
          <w:szCs w:val="32"/>
        </w:rPr>
        <w:t>。外事接待</w:t>
      </w:r>
      <w:r>
        <w:rPr>
          <w:rFonts w:hint="eastAsia" w:ascii="仿宋_GB2312" w:eastAsia="仿宋_GB2312"/>
          <w:b w:val="0"/>
          <w:bCs/>
          <w:sz w:val="32"/>
          <w:szCs w:val="32"/>
          <w:lang w:val="en-US" w:eastAsia="zh-CN"/>
        </w:rPr>
        <w:t>0</w:t>
      </w:r>
      <w:r>
        <w:rPr>
          <w:rFonts w:hint="eastAsia" w:ascii="仿宋_GB2312" w:eastAsia="仿宋_GB2312"/>
          <w:b w:val="0"/>
          <w:bCs/>
          <w:sz w:val="32"/>
          <w:szCs w:val="32"/>
        </w:rPr>
        <w:t>批次，</w:t>
      </w:r>
      <w:r>
        <w:rPr>
          <w:rFonts w:hint="eastAsia" w:ascii="仿宋_GB2312" w:eastAsia="仿宋_GB2312"/>
          <w:b w:val="0"/>
          <w:bCs/>
          <w:sz w:val="32"/>
          <w:szCs w:val="32"/>
          <w:lang w:val="en-US" w:eastAsia="zh-CN"/>
        </w:rPr>
        <w:t>0</w:t>
      </w:r>
      <w:r>
        <w:rPr>
          <w:rFonts w:hint="eastAsia" w:ascii="仿宋_GB2312" w:eastAsia="仿宋_GB2312"/>
          <w:b w:val="0"/>
          <w:bCs/>
          <w:sz w:val="32"/>
          <w:szCs w:val="32"/>
        </w:rPr>
        <w:t>人次（不包括陪同人员），共计支出</w:t>
      </w:r>
      <w:r>
        <w:rPr>
          <w:rFonts w:hint="eastAsia" w:ascii="仿宋_GB2312" w:eastAsia="仿宋_GB2312"/>
          <w:b w:val="0"/>
          <w:bCs/>
          <w:sz w:val="32"/>
          <w:szCs w:val="32"/>
          <w:lang w:val="en-US" w:eastAsia="zh-CN"/>
        </w:rPr>
        <w:t>0</w:t>
      </w:r>
      <w:r>
        <w:rPr>
          <w:rFonts w:hint="eastAsia" w:ascii="仿宋_GB2312" w:eastAsia="仿宋_GB2312"/>
          <w:b w:val="0"/>
          <w:bCs/>
          <w:sz w:val="32"/>
          <w:szCs w:val="32"/>
        </w:rPr>
        <w:t>万元。</w:t>
      </w:r>
    </w:p>
    <w:p w14:paraId="0B0AA34A">
      <w:pPr>
        <w:spacing w:line="600" w:lineRule="exact"/>
        <w:ind w:firstLine="640"/>
        <w:outlineLvl w:val="1"/>
        <w:rPr>
          <w:rStyle w:val="30"/>
          <w:rFonts w:ascii="黑体" w:hAnsi="黑体" w:eastAsia="黑体"/>
        </w:rPr>
      </w:pPr>
      <w:bookmarkStart w:id="57" w:name="_Toc27934"/>
      <w:r>
        <w:rPr>
          <w:rFonts w:hint="eastAsia" w:ascii="黑体" w:eastAsia="黑体"/>
          <w:sz w:val="32"/>
          <w:szCs w:val="32"/>
        </w:rPr>
        <w:t>八、</w:t>
      </w:r>
      <w:r>
        <w:rPr>
          <w:rStyle w:val="30"/>
          <w:rFonts w:hint="eastAsia" w:ascii="黑体" w:hAnsi="黑体" w:eastAsia="黑体"/>
          <w:b w:val="0"/>
        </w:rPr>
        <w:t>政府性基金预算支出决算情况说明</w:t>
      </w:r>
      <w:bookmarkEnd w:id="55"/>
      <w:bookmarkEnd w:id="56"/>
      <w:bookmarkEnd w:id="57"/>
    </w:p>
    <w:p w14:paraId="1D346679">
      <w:pPr>
        <w:spacing w:line="600" w:lineRule="exact"/>
        <w:ind w:firstLine="640"/>
        <w:rPr>
          <w:rFonts w:ascii="仿宋_GB2312" w:eastAsia="仿宋_GB2312"/>
          <w:b w:val="0"/>
          <w:bCs w:val="0"/>
          <w:sz w:val="32"/>
          <w:szCs w:val="32"/>
        </w:rPr>
      </w:pPr>
      <w:r>
        <w:rPr>
          <w:rFonts w:hint="eastAsia" w:ascii="仿宋_GB2312" w:eastAsia="仿宋_GB2312"/>
          <w:sz w:val="32"/>
          <w:szCs w:val="32"/>
          <w:lang w:eastAsia="zh-CN"/>
        </w:rPr>
        <w:t>2</w:t>
      </w:r>
      <w:r>
        <w:rPr>
          <w:rFonts w:hint="eastAsia" w:ascii="仿宋_GB2312" w:eastAsia="仿宋_GB2312"/>
          <w:b w:val="0"/>
          <w:bCs w:val="0"/>
          <w:sz w:val="32"/>
          <w:szCs w:val="32"/>
          <w:lang w:eastAsia="zh-CN"/>
        </w:rPr>
        <w:t>024</w:t>
      </w:r>
      <w:r>
        <w:rPr>
          <w:rFonts w:hint="eastAsia" w:ascii="仿宋_GB2312" w:eastAsia="仿宋_GB2312"/>
          <w:b w:val="0"/>
          <w:bCs w:val="0"/>
          <w:sz w:val="32"/>
          <w:szCs w:val="32"/>
        </w:rPr>
        <w:t>年度政府性基金预算财政拨款支出</w:t>
      </w:r>
      <w:r>
        <w:rPr>
          <w:rFonts w:ascii="仿宋" w:hAnsi="仿宋" w:eastAsia="仿宋"/>
          <w:b w:val="0"/>
          <w:bCs w:val="0"/>
          <w:sz w:val="32"/>
          <w:szCs w:val="32"/>
        </w:rPr>
        <w:t>0</w:t>
      </w:r>
      <w:r>
        <w:rPr>
          <w:rFonts w:hint="eastAsia" w:ascii="仿宋_GB2312" w:eastAsia="仿宋_GB2312"/>
          <w:b w:val="0"/>
          <w:bCs w:val="0"/>
          <w:sz w:val="32"/>
          <w:szCs w:val="32"/>
        </w:rPr>
        <w:t>万元。</w:t>
      </w:r>
    </w:p>
    <w:p w14:paraId="10A9A484">
      <w:pPr>
        <w:numPr>
          <w:ilvl w:val="0"/>
          <w:numId w:val="2"/>
        </w:numPr>
        <w:spacing w:line="600" w:lineRule="exact"/>
        <w:ind w:firstLine="640"/>
        <w:outlineLvl w:val="1"/>
        <w:rPr>
          <w:rStyle w:val="30"/>
          <w:rFonts w:ascii="黑体" w:hAnsi="黑体" w:eastAsia="黑体"/>
          <w:b w:val="0"/>
          <w:bCs w:val="0"/>
        </w:rPr>
      </w:pPr>
      <w:bookmarkStart w:id="58" w:name="_Toc15377219"/>
      <w:bookmarkStart w:id="59" w:name="_Toc15396611"/>
      <w:bookmarkStart w:id="60" w:name="_Toc27152"/>
      <w:r>
        <w:rPr>
          <w:rStyle w:val="30"/>
          <w:rFonts w:hint="eastAsia" w:ascii="黑体" w:hAnsi="黑体" w:eastAsia="黑体"/>
          <w:b w:val="0"/>
          <w:bCs w:val="0"/>
        </w:rPr>
        <w:t>国有资本经营预算支出决算情况说明</w:t>
      </w:r>
      <w:bookmarkEnd w:id="58"/>
      <w:bookmarkEnd w:id="59"/>
      <w:bookmarkEnd w:id="60"/>
    </w:p>
    <w:p w14:paraId="441BB4D9">
      <w:pPr>
        <w:spacing w:line="600" w:lineRule="exact"/>
        <w:ind w:firstLine="640"/>
        <w:rPr>
          <w:rFonts w:ascii="方正小标宋简体" w:hAnsi="方正小标宋简体" w:eastAsia="方正小标宋简体" w:cs="方正小标宋简体"/>
          <w:sz w:val="44"/>
          <w:szCs w:val="44"/>
        </w:rPr>
      </w:pPr>
      <w:r>
        <w:rPr>
          <w:rFonts w:hint="eastAsia" w:ascii="仿宋_GB2312" w:eastAsia="仿宋_GB2312"/>
          <w:b w:val="0"/>
          <w:bCs w:val="0"/>
          <w:sz w:val="32"/>
          <w:szCs w:val="32"/>
          <w:lang w:eastAsia="zh-CN"/>
        </w:rPr>
        <w:t>2024</w:t>
      </w:r>
      <w:r>
        <w:rPr>
          <w:rFonts w:hint="eastAsia" w:ascii="仿宋_GB2312" w:eastAsia="仿宋_GB2312"/>
          <w:b w:val="0"/>
          <w:bCs w:val="0"/>
          <w:sz w:val="32"/>
          <w:szCs w:val="32"/>
        </w:rPr>
        <w:t>年度国有资本经营预算财政拨款支出</w:t>
      </w:r>
      <w:r>
        <w:rPr>
          <w:rFonts w:ascii="仿宋" w:hAnsi="仿宋" w:eastAsia="仿宋"/>
          <w:b w:val="0"/>
          <w:bCs w:val="0"/>
          <w:sz w:val="32"/>
          <w:szCs w:val="32"/>
        </w:rPr>
        <w:t>0</w:t>
      </w:r>
      <w:r>
        <w:rPr>
          <w:rFonts w:hint="eastAsia" w:ascii="仿宋_GB2312" w:eastAsia="仿宋_GB2312"/>
          <w:b w:val="0"/>
          <w:bCs w:val="0"/>
          <w:sz w:val="32"/>
          <w:szCs w:val="32"/>
        </w:rPr>
        <w:t>万元。</w:t>
      </w:r>
    </w:p>
    <w:p w14:paraId="0B18E5F7">
      <w:pPr>
        <w:numPr>
          <w:ilvl w:val="0"/>
          <w:numId w:val="2"/>
        </w:numPr>
        <w:spacing w:line="600" w:lineRule="exact"/>
        <w:ind w:firstLine="640"/>
        <w:outlineLvl w:val="1"/>
        <w:rPr>
          <w:rStyle w:val="30"/>
          <w:rFonts w:ascii="黑体" w:hAnsi="黑体" w:eastAsia="黑体"/>
          <w:b w:val="0"/>
        </w:rPr>
      </w:pPr>
      <w:bookmarkStart w:id="61" w:name="_Toc22393"/>
      <w:bookmarkStart w:id="62" w:name="_Toc15377221"/>
      <w:bookmarkStart w:id="63" w:name="_Toc15396612"/>
      <w:r>
        <w:rPr>
          <w:rStyle w:val="30"/>
          <w:rFonts w:hint="eastAsia" w:ascii="黑体" w:hAnsi="黑体" w:eastAsia="黑体"/>
          <w:b w:val="0"/>
        </w:rPr>
        <w:t>其他重要事项的情况说明</w:t>
      </w:r>
      <w:bookmarkEnd w:id="61"/>
      <w:bookmarkEnd w:id="62"/>
      <w:bookmarkEnd w:id="63"/>
    </w:p>
    <w:p w14:paraId="0A73379A">
      <w:pPr>
        <w:spacing w:line="600" w:lineRule="exact"/>
        <w:ind w:firstLine="643" w:firstLineChars="200"/>
        <w:outlineLvl w:val="2"/>
        <w:rPr>
          <w:rFonts w:ascii="仿宋" w:hAnsi="仿宋" w:eastAsia="仿宋"/>
          <w:sz w:val="32"/>
          <w:szCs w:val="32"/>
        </w:rPr>
      </w:pPr>
      <w:bookmarkStart w:id="64" w:name="_Toc15377222"/>
      <w:r>
        <w:rPr>
          <w:rFonts w:hint="eastAsia" w:ascii="仿宋" w:hAnsi="仿宋" w:eastAsia="仿宋"/>
          <w:b/>
          <w:sz w:val="32"/>
          <w:szCs w:val="32"/>
        </w:rPr>
        <w:t>（一）机关运行经费支出情况</w:t>
      </w:r>
      <w:bookmarkEnd w:id="64"/>
    </w:p>
    <w:p w14:paraId="685D2A29">
      <w:pPr>
        <w:spacing w:line="600" w:lineRule="exact"/>
        <w:ind w:firstLine="640" w:firstLineChars="200"/>
        <w:rPr>
          <w:rFonts w:ascii="仿宋_GB2312" w:eastAsia="仿宋_GB2312"/>
          <w:b w:val="0"/>
          <w:bCs w:val="0"/>
          <w:color w:val="auto"/>
          <w:sz w:val="32"/>
          <w:szCs w:val="32"/>
        </w:rPr>
      </w:pPr>
      <w:r>
        <w:rPr>
          <w:rFonts w:hint="eastAsia" w:ascii="仿宋_GB2312" w:eastAsia="仿宋_GB2312"/>
          <w:b w:val="0"/>
          <w:bCs w:val="0"/>
          <w:sz w:val="32"/>
          <w:szCs w:val="32"/>
          <w:lang w:eastAsia="zh-CN"/>
        </w:rPr>
        <w:t>2024</w:t>
      </w:r>
      <w:r>
        <w:rPr>
          <w:rFonts w:hint="eastAsia" w:ascii="仿宋_GB2312" w:eastAsia="仿宋_GB2312"/>
          <w:b w:val="0"/>
          <w:bCs w:val="0"/>
          <w:sz w:val="32"/>
          <w:szCs w:val="32"/>
        </w:rPr>
        <w:t>年度，</w:t>
      </w:r>
      <w:r>
        <w:rPr>
          <w:rFonts w:ascii="仿宋_GB2312" w:eastAsia="仿宋_GB2312"/>
          <w:b w:val="0"/>
          <w:bCs w:val="0"/>
          <w:sz w:val="32"/>
          <w:szCs w:val="32"/>
        </w:rPr>
        <w:t>五通桥区城市管理监察大队</w:t>
      </w:r>
      <w:r>
        <w:rPr>
          <w:rFonts w:hint="eastAsia" w:ascii="仿宋_GB2312" w:eastAsia="仿宋_GB2312"/>
          <w:b w:val="0"/>
          <w:bCs w:val="0"/>
          <w:sz w:val="32"/>
          <w:szCs w:val="32"/>
        </w:rPr>
        <w:t>机关运行经费支出</w:t>
      </w:r>
      <w:r>
        <w:rPr>
          <w:rFonts w:hint="eastAsia" w:ascii="仿宋" w:hAnsi="仿宋" w:eastAsia="仿宋"/>
          <w:b w:val="0"/>
          <w:bCs w:val="0"/>
          <w:sz w:val="32"/>
          <w:szCs w:val="32"/>
          <w:lang w:val="en-US" w:eastAsia="zh-CN"/>
        </w:rPr>
        <w:t>83.84</w:t>
      </w:r>
      <w:r>
        <w:rPr>
          <w:rFonts w:hint="eastAsia" w:ascii="仿宋_GB2312" w:eastAsia="仿宋_GB2312"/>
          <w:b w:val="0"/>
          <w:bCs w:val="0"/>
          <w:sz w:val="32"/>
          <w:szCs w:val="32"/>
        </w:rPr>
        <w:t>万元，比</w:t>
      </w:r>
      <w:r>
        <w:rPr>
          <w:rFonts w:hint="eastAsia" w:ascii="仿宋_GB2312" w:eastAsia="仿宋_GB2312"/>
          <w:b w:val="0"/>
          <w:bCs w:val="0"/>
          <w:sz w:val="32"/>
          <w:szCs w:val="32"/>
          <w:lang w:eastAsia="zh-CN"/>
        </w:rPr>
        <w:t>2023</w:t>
      </w:r>
      <w:r>
        <w:rPr>
          <w:rFonts w:hint="eastAsia" w:ascii="仿宋_GB2312" w:eastAsia="仿宋_GB2312"/>
          <w:b w:val="0"/>
          <w:bCs w:val="0"/>
          <w:sz w:val="32"/>
          <w:szCs w:val="32"/>
        </w:rPr>
        <w:t>年度</w:t>
      </w:r>
      <w:r>
        <w:rPr>
          <w:rFonts w:hint="eastAsia" w:ascii="仿宋_GB2312" w:eastAsia="仿宋_GB2312"/>
          <w:b w:val="0"/>
          <w:bCs w:val="0"/>
          <w:sz w:val="32"/>
          <w:szCs w:val="32"/>
          <w:lang w:val="en-US" w:eastAsia="zh-CN"/>
        </w:rPr>
        <w:t>55.97</w:t>
      </w:r>
      <w:r>
        <w:rPr>
          <w:rFonts w:hint="eastAsia" w:ascii="仿宋_GB2312" w:eastAsia="仿宋_GB2312"/>
          <w:b w:val="0"/>
          <w:bCs w:val="0"/>
          <w:sz w:val="32"/>
          <w:szCs w:val="32"/>
        </w:rPr>
        <w:t>万元增加</w:t>
      </w:r>
      <w:r>
        <w:rPr>
          <w:rFonts w:hint="eastAsia" w:ascii="仿宋_GB2312" w:eastAsia="仿宋_GB2312"/>
          <w:b w:val="0"/>
          <w:bCs w:val="0"/>
          <w:sz w:val="32"/>
          <w:szCs w:val="32"/>
          <w:lang w:val="en-US" w:eastAsia="zh-CN"/>
        </w:rPr>
        <w:t>27.87</w:t>
      </w:r>
      <w:r>
        <w:rPr>
          <w:rFonts w:hint="eastAsia" w:ascii="仿宋_GB2312" w:eastAsia="仿宋_GB2312"/>
          <w:b w:val="0"/>
          <w:bCs w:val="0"/>
          <w:sz w:val="32"/>
          <w:szCs w:val="32"/>
        </w:rPr>
        <w:t>万元，增长</w:t>
      </w:r>
      <w:r>
        <w:rPr>
          <w:rFonts w:hint="eastAsia" w:ascii="仿宋_GB2312" w:eastAsia="仿宋_GB2312"/>
          <w:b w:val="0"/>
          <w:bCs w:val="0"/>
          <w:sz w:val="32"/>
          <w:szCs w:val="32"/>
          <w:lang w:val="en-US" w:eastAsia="zh-CN"/>
        </w:rPr>
        <w:t>49.8</w:t>
      </w:r>
      <w:r>
        <w:rPr>
          <w:rFonts w:ascii="仿宋_GB2312" w:eastAsia="仿宋_GB2312"/>
          <w:b w:val="0"/>
          <w:bCs w:val="0"/>
          <w:sz w:val="32"/>
          <w:szCs w:val="32"/>
        </w:rPr>
        <w:t>%</w:t>
      </w:r>
      <w:r>
        <w:rPr>
          <w:rFonts w:hint="eastAsia" w:ascii="仿宋_GB2312" w:eastAsia="仿宋_GB2312"/>
          <w:b w:val="0"/>
          <w:bCs w:val="0"/>
          <w:sz w:val="32"/>
          <w:szCs w:val="32"/>
          <w:lang w:eastAsia="zh-CN"/>
        </w:rPr>
        <w:t>。</w:t>
      </w:r>
      <w:r>
        <w:rPr>
          <w:rFonts w:hint="eastAsia" w:ascii="仿宋_GB2312" w:eastAsia="仿宋_GB2312"/>
          <w:b w:val="0"/>
          <w:bCs w:val="0"/>
          <w:color w:val="auto"/>
          <w:sz w:val="32"/>
          <w:szCs w:val="32"/>
          <w:highlight w:val="none"/>
        </w:rPr>
        <w:t>主要原因是</w:t>
      </w:r>
      <w:r>
        <w:rPr>
          <w:rFonts w:hint="eastAsia" w:ascii="仿宋_GB2312" w:hAnsi="仿宋_GB2312" w:eastAsia="仿宋_GB2312"/>
          <w:b w:val="0"/>
          <w:bCs w:val="0"/>
          <w:color w:val="auto"/>
          <w:kern w:val="2"/>
          <w:sz w:val="32"/>
          <w:szCs w:val="24"/>
          <w:highlight w:val="none"/>
          <w:lang w:val="zh-CN"/>
        </w:rPr>
        <w:t>办公费增加</w:t>
      </w:r>
      <w:r>
        <w:rPr>
          <w:rFonts w:hint="eastAsia" w:ascii="仿宋_GB2312" w:hAnsi="仿宋_GB2312" w:eastAsia="仿宋_GB2312"/>
          <w:b w:val="0"/>
          <w:bCs w:val="0"/>
          <w:color w:val="auto"/>
          <w:kern w:val="2"/>
          <w:sz w:val="32"/>
          <w:szCs w:val="24"/>
          <w:highlight w:val="none"/>
          <w:lang w:val="en-US" w:eastAsia="zh-CN"/>
        </w:rPr>
        <w:t>2.6</w:t>
      </w:r>
      <w:r>
        <w:rPr>
          <w:rFonts w:hint="eastAsia" w:ascii="仿宋_GB2312" w:hAnsi="仿宋_GB2312" w:eastAsia="仿宋_GB2312"/>
          <w:b w:val="0"/>
          <w:bCs w:val="0"/>
          <w:color w:val="auto"/>
          <w:kern w:val="2"/>
          <w:sz w:val="32"/>
          <w:szCs w:val="24"/>
          <w:highlight w:val="none"/>
          <w:lang w:val="zh-CN"/>
        </w:rPr>
        <w:t>万元、咨询费增加</w:t>
      </w:r>
      <w:r>
        <w:rPr>
          <w:rFonts w:hint="eastAsia" w:ascii="仿宋_GB2312" w:hAnsi="仿宋_GB2312" w:eastAsia="仿宋_GB2312"/>
          <w:b w:val="0"/>
          <w:bCs w:val="0"/>
          <w:color w:val="auto"/>
          <w:kern w:val="2"/>
          <w:sz w:val="32"/>
          <w:szCs w:val="24"/>
          <w:highlight w:val="none"/>
          <w:lang w:val="en-US" w:eastAsia="zh-CN"/>
        </w:rPr>
        <w:t>0.65万元、</w:t>
      </w:r>
      <w:r>
        <w:rPr>
          <w:rFonts w:hint="eastAsia" w:ascii="仿宋_GB2312" w:hAnsi="仿宋_GB2312" w:eastAsia="仿宋_GB2312"/>
          <w:b w:val="0"/>
          <w:bCs w:val="0"/>
          <w:color w:val="auto"/>
          <w:kern w:val="2"/>
          <w:sz w:val="32"/>
          <w:szCs w:val="24"/>
          <w:highlight w:val="none"/>
          <w:lang w:val="zh-CN"/>
        </w:rPr>
        <w:t>水、电费增加</w:t>
      </w:r>
      <w:r>
        <w:rPr>
          <w:rFonts w:hint="eastAsia" w:ascii="仿宋_GB2312" w:hAnsi="仿宋_GB2312" w:eastAsia="仿宋_GB2312"/>
          <w:b w:val="0"/>
          <w:bCs w:val="0"/>
          <w:color w:val="auto"/>
          <w:kern w:val="2"/>
          <w:sz w:val="32"/>
          <w:szCs w:val="24"/>
          <w:highlight w:val="none"/>
          <w:lang w:val="en-US" w:eastAsia="zh-CN"/>
        </w:rPr>
        <w:t>1.96</w:t>
      </w:r>
      <w:r>
        <w:rPr>
          <w:rFonts w:hint="eastAsia" w:ascii="仿宋_GB2312" w:hAnsi="仿宋_GB2312" w:eastAsia="仿宋_GB2312"/>
          <w:b w:val="0"/>
          <w:bCs w:val="0"/>
          <w:color w:val="auto"/>
          <w:kern w:val="2"/>
          <w:sz w:val="32"/>
          <w:szCs w:val="24"/>
          <w:highlight w:val="none"/>
          <w:lang w:val="zh-CN"/>
        </w:rPr>
        <w:t>万元、邮电费增加</w:t>
      </w:r>
      <w:r>
        <w:rPr>
          <w:rFonts w:hint="eastAsia" w:ascii="仿宋_GB2312" w:hAnsi="仿宋_GB2312" w:eastAsia="仿宋_GB2312"/>
          <w:b w:val="0"/>
          <w:bCs w:val="0"/>
          <w:color w:val="auto"/>
          <w:kern w:val="2"/>
          <w:sz w:val="32"/>
          <w:szCs w:val="24"/>
          <w:highlight w:val="none"/>
          <w:lang w:val="en-US" w:eastAsia="zh-CN"/>
        </w:rPr>
        <w:t>0.92</w:t>
      </w:r>
      <w:r>
        <w:rPr>
          <w:rFonts w:hint="eastAsia" w:ascii="仿宋_GB2312" w:hAnsi="仿宋_GB2312" w:eastAsia="仿宋_GB2312"/>
          <w:b w:val="0"/>
          <w:bCs w:val="0"/>
          <w:color w:val="auto"/>
          <w:kern w:val="2"/>
          <w:sz w:val="32"/>
          <w:szCs w:val="24"/>
          <w:highlight w:val="none"/>
          <w:lang w:val="zh-CN"/>
        </w:rPr>
        <w:t>万元、差旅费减少</w:t>
      </w:r>
      <w:r>
        <w:rPr>
          <w:rFonts w:hint="eastAsia" w:ascii="仿宋_GB2312" w:hAnsi="仿宋_GB2312" w:eastAsia="仿宋_GB2312"/>
          <w:b w:val="0"/>
          <w:bCs w:val="0"/>
          <w:color w:val="auto"/>
          <w:kern w:val="2"/>
          <w:sz w:val="32"/>
          <w:szCs w:val="24"/>
          <w:highlight w:val="none"/>
          <w:lang w:val="en-US" w:eastAsia="zh-CN"/>
        </w:rPr>
        <w:t>0.69</w:t>
      </w:r>
      <w:r>
        <w:rPr>
          <w:rFonts w:hint="eastAsia" w:ascii="仿宋_GB2312" w:hAnsi="仿宋_GB2312" w:eastAsia="仿宋_GB2312"/>
          <w:b w:val="0"/>
          <w:bCs w:val="0"/>
          <w:color w:val="auto"/>
          <w:kern w:val="2"/>
          <w:sz w:val="32"/>
          <w:szCs w:val="24"/>
          <w:highlight w:val="none"/>
          <w:lang w:val="zh-CN"/>
        </w:rPr>
        <w:t>万元、维修（护）费增加</w:t>
      </w:r>
      <w:r>
        <w:rPr>
          <w:rFonts w:hint="eastAsia" w:ascii="仿宋_GB2312" w:hAnsi="仿宋_GB2312" w:eastAsia="仿宋_GB2312"/>
          <w:b w:val="0"/>
          <w:bCs w:val="0"/>
          <w:color w:val="auto"/>
          <w:kern w:val="2"/>
          <w:sz w:val="32"/>
          <w:szCs w:val="24"/>
          <w:highlight w:val="none"/>
          <w:lang w:val="en-US" w:eastAsia="zh-CN"/>
        </w:rPr>
        <w:t>0.59</w:t>
      </w:r>
      <w:r>
        <w:rPr>
          <w:rFonts w:hint="eastAsia" w:ascii="仿宋_GB2312" w:hAnsi="仿宋_GB2312" w:eastAsia="仿宋_GB2312"/>
          <w:b w:val="0"/>
          <w:bCs w:val="0"/>
          <w:color w:val="auto"/>
          <w:kern w:val="2"/>
          <w:sz w:val="32"/>
          <w:szCs w:val="24"/>
          <w:highlight w:val="none"/>
          <w:lang w:val="zh-CN"/>
        </w:rPr>
        <w:t>万元、租赁费增加</w:t>
      </w:r>
      <w:r>
        <w:rPr>
          <w:rFonts w:hint="eastAsia" w:ascii="仿宋_GB2312" w:hAnsi="仿宋_GB2312" w:eastAsia="仿宋_GB2312"/>
          <w:b w:val="0"/>
          <w:bCs w:val="0"/>
          <w:color w:val="auto"/>
          <w:kern w:val="2"/>
          <w:sz w:val="32"/>
          <w:szCs w:val="24"/>
          <w:highlight w:val="none"/>
          <w:lang w:val="en-US" w:eastAsia="zh-CN"/>
        </w:rPr>
        <w:t>0.86万元、公务接待费增加0.15万元、劳务费增加9.46万元、</w:t>
      </w:r>
      <w:r>
        <w:rPr>
          <w:rFonts w:hint="eastAsia" w:ascii="仿宋_GB2312" w:hAnsi="仿宋_GB2312" w:eastAsia="仿宋_GB2312"/>
          <w:b w:val="0"/>
          <w:bCs w:val="0"/>
          <w:color w:val="auto"/>
          <w:kern w:val="2"/>
          <w:sz w:val="32"/>
          <w:szCs w:val="24"/>
          <w:highlight w:val="none"/>
          <w:lang w:val="zh-CN"/>
        </w:rPr>
        <w:t>委托业务费减少</w:t>
      </w:r>
      <w:r>
        <w:rPr>
          <w:rFonts w:hint="eastAsia" w:ascii="仿宋_GB2312" w:hAnsi="仿宋_GB2312" w:eastAsia="仿宋_GB2312"/>
          <w:b w:val="0"/>
          <w:bCs w:val="0"/>
          <w:color w:val="auto"/>
          <w:kern w:val="2"/>
          <w:sz w:val="32"/>
          <w:szCs w:val="24"/>
          <w:highlight w:val="none"/>
          <w:lang w:val="en-US" w:eastAsia="zh-CN"/>
        </w:rPr>
        <w:t>0.46</w:t>
      </w:r>
      <w:r>
        <w:rPr>
          <w:rFonts w:hint="eastAsia" w:ascii="仿宋_GB2312" w:hAnsi="仿宋_GB2312" w:eastAsia="仿宋_GB2312"/>
          <w:b w:val="0"/>
          <w:bCs w:val="0"/>
          <w:color w:val="auto"/>
          <w:kern w:val="2"/>
          <w:sz w:val="32"/>
          <w:szCs w:val="24"/>
          <w:highlight w:val="none"/>
          <w:lang w:val="zh-CN"/>
        </w:rPr>
        <w:t>万元、工会经费增加</w:t>
      </w:r>
      <w:r>
        <w:rPr>
          <w:rFonts w:hint="eastAsia" w:ascii="仿宋_GB2312" w:hAnsi="仿宋_GB2312" w:eastAsia="仿宋_GB2312"/>
          <w:b w:val="0"/>
          <w:bCs w:val="0"/>
          <w:color w:val="auto"/>
          <w:kern w:val="2"/>
          <w:sz w:val="32"/>
          <w:szCs w:val="24"/>
          <w:highlight w:val="none"/>
          <w:lang w:val="en-US" w:eastAsia="zh-CN"/>
        </w:rPr>
        <w:t>0.86</w:t>
      </w:r>
      <w:r>
        <w:rPr>
          <w:rFonts w:hint="eastAsia" w:ascii="仿宋_GB2312" w:hAnsi="仿宋_GB2312" w:eastAsia="仿宋_GB2312"/>
          <w:b w:val="0"/>
          <w:bCs w:val="0"/>
          <w:color w:val="auto"/>
          <w:kern w:val="2"/>
          <w:sz w:val="32"/>
          <w:szCs w:val="24"/>
          <w:highlight w:val="none"/>
          <w:lang w:val="zh-CN"/>
        </w:rPr>
        <w:t>万元、福利费增加</w:t>
      </w:r>
      <w:r>
        <w:rPr>
          <w:rFonts w:hint="eastAsia" w:ascii="仿宋_GB2312" w:hAnsi="仿宋_GB2312" w:eastAsia="仿宋_GB2312"/>
          <w:b w:val="0"/>
          <w:bCs w:val="0"/>
          <w:color w:val="auto"/>
          <w:kern w:val="2"/>
          <w:sz w:val="32"/>
          <w:szCs w:val="24"/>
          <w:highlight w:val="none"/>
          <w:lang w:val="en-US" w:eastAsia="zh-CN"/>
        </w:rPr>
        <w:t>1.6</w:t>
      </w:r>
      <w:r>
        <w:rPr>
          <w:rFonts w:hint="eastAsia" w:ascii="仿宋_GB2312" w:hAnsi="仿宋_GB2312" w:eastAsia="仿宋_GB2312"/>
          <w:b w:val="0"/>
          <w:bCs w:val="0"/>
          <w:color w:val="auto"/>
          <w:kern w:val="2"/>
          <w:sz w:val="32"/>
          <w:szCs w:val="24"/>
          <w:highlight w:val="none"/>
          <w:lang w:val="zh-CN"/>
        </w:rPr>
        <w:t>万元、其他交通费用增加</w:t>
      </w:r>
      <w:r>
        <w:rPr>
          <w:rFonts w:hint="eastAsia" w:ascii="仿宋_GB2312" w:hAnsi="仿宋_GB2312" w:eastAsia="仿宋_GB2312"/>
          <w:b w:val="0"/>
          <w:bCs w:val="0"/>
          <w:color w:val="auto"/>
          <w:kern w:val="2"/>
          <w:sz w:val="32"/>
          <w:szCs w:val="24"/>
          <w:highlight w:val="none"/>
          <w:lang w:val="en-US" w:eastAsia="zh-CN"/>
        </w:rPr>
        <w:t>8.29</w:t>
      </w:r>
      <w:r>
        <w:rPr>
          <w:rFonts w:hint="eastAsia" w:ascii="仿宋_GB2312" w:hAnsi="仿宋_GB2312" w:eastAsia="仿宋_GB2312"/>
          <w:b w:val="0"/>
          <w:bCs w:val="0"/>
          <w:color w:val="auto"/>
          <w:kern w:val="2"/>
          <w:sz w:val="32"/>
          <w:szCs w:val="24"/>
          <w:highlight w:val="none"/>
          <w:lang w:val="zh-CN"/>
        </w:rPr>
        <w:t>万元、其他商品和服务支出增加</w:t>
      </w:r>
      <w:r>
        <w:rPr>
          <w:rFonts w:hint="eastAsia" w:ascii="仿宋_GB2312" w:hAnsi="仿宋_GB2312" w:eastAsia="仿宋_GB2312"/>
          <w:b w:val="0"/>
          <w:bCs w:val="0"/>
          <w:color w:val="auto"/>
          <w:kern w:val="2"/>
          <w:sz w:val="32"/>
          <w:szCs w:val="24"/>
          <w:highlight w:val="none"/>
          <w:lang w:val="en-US" w:eastAsia="zh-CN"/>
        </w:rPr>
        <w:t>1.08</w:t>
      </w:r>
      <w:r>
        <w:rPr>
          <w:rFonts w:hint="eastAsia" w:ascii="仿宋_GB2312" w:hAnsi="仿宋_GB2312" w:eastAsia="仿宋_GB2312"/>
          <w:b w:val="0"/>
          <w:bCs w:val="0"/>
          <w:color w:val="auto"/>
          <w:kern w:val="2"/>
          <w:sz w:val="32"/>
          <w:szCs w:val="24"/>
          <w:highlight w:val="none"/>
          <w:lang w:val="zh-CN"/>
        </w:rPr>
        <w:t>万元。</w:t>
      </w:r>
    </w:p>
    <w:p w14:paraId="75B8038F">
      <w:pPr>
        <w:autoSpaceDE w:val="0"/>
        <w:autoSpaceDN w:val="0"/>
        <w:adjustRightInd w:val="0"/>
        <w:spacing w:line="600" w:lineRule="exact"/>
        <w:ind w:firstLine="643" w:firstLineChars="200"/>
        <w:jc w:val="left"/>
        <w:outlineLvl w:val="2"/>
        <w:rPr>
          <w:rFonts w:ascii="仿宋" w:hAnsi="仿宋" w:eastAsia="仿宋"/>
          <w:b/>
          <w:sz w:val="32"/>
          <w:szCs w:val="32"/>
        </w:rPr>
      </w:pPr>
      <w:bookmarkStart w:id="65" w:name="_Toc15377223"/>
      <w:r>
        <w:rPr>
          <w:rFonts w:hint="eastAsia" w:ascii="仿宋" w:hAnsi="仿宋" w:eastAsia="仿宋"/>
          <w:b/>
          <w:sz w:val="32"/>
          <w:szCs w:val="32"/>
        </w:rPr>
        <w:t>（二）政府采购支出情况</w:t>
      </w:r>
      <w:bookmarkEnd w:id="65"/>
    </w:p>
    <w:p w14:paraId="41B0E958">
      <w:pPr>
        <w:spacing w:line="600" w:lineRule="exact"/>
        <w:ind w:firstLine="640" w:firstLineChars="200"/>
        <w:rPr>
          <w:rFonts w:ascii="仿宋" w:hAnsi="仿宋" w:eastAsia="仿宋"/>
          <w:b w:val="0"/>
          <w:bCs w:val="0"/>
          <w:sz w:val="32"/>
          <w:szCs w:val="32"/>
        </w:rPr>
      </w:pPr>
      <w:r>
        <w:rPr>
          <w:rFonts w:hint="eastAsia" w:ascii="仿宋_GB2312" w:eastAsia="仿宋_GB2312"/>
          <w:sz w:val="32"/>
          <w:szCs w:val="32"/>
          <w:lang w:eastAsia="zh-CN"/>
        </w:rPr>
        <w:t>2</w:t>
      </w:r>
      <w:r>
        <w:rPr>
          <w:rFonts w:hint="eastAsia" w:ascii="仿宋_GB2312" w:eastAsia="仿宋_GB2312"/>
          <w:b w:val="0"/>
          <w:bCs w:val="0"/>
          <w:sz w:val="32"/>
          <w:szCs w:val="32"/>
          <w:lang w:eastAsia="zh-CN"/>
        </w:rPr>
        <w:t>024</w:t>
      </w:r>
      <w:r>
        <w:rPr>
          <w:rFonts w:hint="eastAsia" w:ascii="仿宋_GB2312" w:eastAsia="仿宋_GB2312"/>
          <w:b w:val="0"/>
          <w:bCs w:val="0"/>
          <w:sz w:val="32"/>
          <w:szCs w:val="32"/>
        </w:rPr>
        <w:t>年度，</w:t>
      </w:r>
      <w:r>
        <w:rPr>
          <w:rFonts w:ascii="仿宋_GB2312" w:eastAsia="仿宋_GB2312"/>
          <w:b w:val="0"/>
          <w:bCs w:val="0"/>
          <w:sz w:val="32"/>
          <w:szCs w:val="32"/>
        </w:rPr>
        <w:t>五通桥区城市管理监察大队</w:t>
      </w:r>
      <w:r>
        <w:rPr>
          <w:rFonts w:hint="eastAsia" w:ascii="仿宋_GB2312" w:eastAsia="仿宋_GB2312"/>
          <w:b w:val="0"/>
          <w:bCs w:val="0"/>
          <w:sz w:val="32"/>
          <w:szCs w:val="32"/>
        </w:rPr>
        <w:t>政府采购支出总额</w:t>
      </w:r>
      <w:r>
        <w:rPr>
          <w:rFonts w:ascii="仿宋" w:hAnsi="仿宋" w:eastAsia="仿宋"/>
          <w:b w:val="0"/>
          <w:bCs w:val="0"/>
          <w:sz w:val="32"/>
          <w:szCs w:val="32"/>
        </w:rPr>
        <w:t>0</w:t>
      </w:r>
      <w:r>
        <w:rPr>
          <w:rFonts w:hint="eastAsia" w:ascii="仿宋_GB2312" w:eastAsia="仿宋_GB2312"/>
          <w:b w:val="0"/>
          <w:bCs w:val="0"/>
          <w:sz w:val="32"/>
          <w:szCs w:val="32"/>
        </w:rPr>
        <w:t>万元，其中：政府采购货物支出</w:t>
      </w:r>
      <w:r>
        <w:rPr>
          <w:rFonts w:ascii="仿宋" w:hAnsi="仿宋" w:eastAsia="仿宋"/>
          <w:b w:val="0"/>
          <w:bCs w:val="0"/>
          <w:sz w:val="32"/>
          <w:szCs w:val="32"/>
        </w:rPr>
        <w:t>0</w:t>
      </w:r>
      <w:r>
        <w:rPr>
          <w:rFonts w:hint="eastAsia" w:ascii="仿宋_GB2312" w:eastAsia="仿宋_GB2312"/>
          <w:b w:val="0"/>
          <w:bCs w:val="0"/>
          <w:sz w:val="32"/>
          <w:szCs w:val="32"/>
        </w:rPr>
        <w:t>万元、政府采购工程支出</w:t>
      </w:r>
      <w:r>
        <w:rPr>
          <w:rFonts w:ascii="仿宋" w:hAnsi="仿宋" w:eastAsia="仿宋"/>
          <w:b w:val="0"/>
          <w:bCs w:val="0"/>
          <w:sz w:val="32"/>
          <w:szCs w:val="32"/>
        </w:rPr>
        <w:t>0</w:t>
      </w:r>
      <w:r>
        <w:rPr>
          <w:rFonts w:hint="eastAsia" w:ascii="仿宋_GB2312" w:eastAsia="仿宋_GB2312"/>
          <w:b w:val="0"/>
          <w:bCs w:val="0"/>
          <w:sz w:val="32"/>
          <w:szCs w:val="32"/>
        </w:rPr>
        <w:t>万元、政府采购服务支出</w:t>
      </w:r>
      <w:r>
        <w:rPr>
          <w:rFonts w:ascii="仿宋" w:hAnsi="仿宋" w:eastAsia="仿宋"/>
          <w:b w:val="0"/>
          <w:bCs w:val="0"/>
          <w:sz w:val="32"/>
          <w:szCs w:val="32"/>
        </w:rPr>
        <w:t>0</w:t>
      </w:r>
      <w:r>
        <w:rPr>
          <w:rFonts w:hint="eastAsia" w:ascii="仿宋_GB2312" w:eastAsia="仿宋_GB2312"/>
          <w:b w:val="0"/>
          <w:bCs w:val="0"/>
          <w:sz w:val="32"/>
          <w:szCs w:val="32"/>
        </w:rPr>
        <w:t>万元。主要用于</w:t>
      </w:r>
      <w:r>
        <w:rPr>
          <w:rFonts w:hint="eastAsia" w:ascii="仿宋_GB2312" w:eastAsia="仿宋_GB2312"/>
          <w:b w:val="0"/>
          <w:bCs w:val="0"/>
          <w:sz w:val="32"/>
          <w:szCs w:val="32"/>
          <w:lang w:eastAsia="zh-CN"/>
        </w:rPr>
        <w:t>：无。</w:t>
      </w:r>
      <w:r>
        <w:rPr>
          <w:rFonts w:hint="eastAsia" w:ascii="仿宋_GB2312" w:eastAsia="仿宋_GB2312"/>
          <w:b w:val="0"/>
          <w:bCs w:val="0"/>
          <w:sz w:val="32"/>
          <w:szCs w:val="32"/>
        </w:rPr>
        <w:t>授予中小企业合同金额</w:t>
      </w:r>
      <w:r>
        <w:rPr>
          <w:rFonts w:ascii="仿宋" w:hAnsi="仿宋" w:eastAsia="仿宋"/>
          <w:b w:val="0"/>
          <w:bCs w:val="0"/>
          <w:sz w:val="32"/>
          <w:szCs w:val="32"/>
        </w:rPr>
        <w:t>0</w:t>
      </w:r>
      <w:r>
        <w:rPr>
          <w:rFonts w:hint="eastAsia" w:ascii="仿宋_GB2312" w:eastAsia="仿宋_GB2312"/>
          <w:b w:val="0"/>
          <w:bCs w:val="0"/>
          <w:sz w:val="32"/>
          <w:szCs w:val="32"/>
        </w:rPr>
        <w:t>万元，占政府采购支出总额的</w:t>
      </w:r>
      <w:r>
        <w:rPr>
          <w:rFonts w:ascii="仿宋_GB2312" w:eastAsia="仿宋_GB2312"/>
          <w:b w:val="0"/>
          <w:bCs w:val="0"/>
          <w:sz w:val="32"/>
          <w:szCs w:val="32"/>
        </w:rPr>
        <w:t>0%</w:t>
      </w:r>
      <w:r>
        <w:rPr>
          <w:rFonts w:hint="eastAsia" w:ascii="仿宋_GB2312" w:eastAsia="仿宋_GB2312"/>
          <w:b w:val="0"/>
          <w:bCs w:val="0"/>
          <w:sz w:val="32"/>
          <w:szCs w:val="32"/>
        </w:rPr>
        <w:t>，其中：授予小微企业合同金额</w:t>
      </w:r>
      <w:r>
        <w:rPr>
          <w:rFonts w:ascii="仿宋" w:hAnsi="仿宋" w:eastAsia="仿宋"/>
          <w:b w:val="0"/>
          <w:bCs w:val="0"/>
          <w:sz w:val="32"/>
          <w:szCs w:val="32"/>
        </w:rPr>
        <w:t>0</w:t>
      </w:r>
      <w:r>
        <w:rPr>
          <w:rFonts w:hint="eastAsia" w:ascii="仿宋_GB2312" w:eastAsia="仿宋_GB2312"/>
          <w:b w:val="0"/>
          <w:bCs w:val="0"/>
          <w:sz w:val="32"/>
          <w:szCs w:val="32"/>
        </w:rPr>
        <w:t>万元，占政府采购支出总额的</w:t>
      </w:r>
      <w:r>
        <w:rPr>
          <w:rFonts w:ascii="仿宋_GB2312" w:eastAsia="仿宋_GB2312"/>
          <w:b w:val="0"/>
          <w:bCs w:val="0"/>
          <w:sz w:val="32"/>
          <w:szCs w:val="32"/>
        </w:rPr>
        <w:t>0%</w:t>
      </w:r>
      <w:r>
        <w:rPr>
          <w:rFonts w:hint="eastAsia" w:ascii="仿宋_GB2312" w:eastAsia="仿宋_GB2312"/>
          <w:b w:val="0"/>
          <w:bCs w:val="0"/>
          <w:sz w:val="32"/>
          <w:szCs w:val="32"/>
        </w:rPr>
        <w:t>。</w:t>
      </w:r>
    </w:p>
    <w:p w14:paraId="35D2B538">
      <w:pPr>
        <w:autoSpaceDE w:val="0"/>
        <w:autoSpaceDN w:val="0"/>
        <w:adjustRightInd w:val="0"/>
        <w:spacing w:line="600" w:lineRule="exact"/>
        <w:ind w:firstLine="643" w:firstLineChars="200"/>
        <w:jc w:val="left"/>
        <w:outlineLvl w:val="2"/>
        <w:rPr>
          <w:rFonts w:ascii="仿宋" w:hAnsi="仿宋" w:eastAsia="仿宋"/>
          <w:b/>
          <w:sz w:val="32"/>
          <w:szCs w:val="32"/>
        </w:rPr>
      </w:pPr>
      <w:bookmarkStart w:id="66" w:name="_Toc15377224"/>
      <w:r>
        <w:rPr>
          <w:rFonts w:hint="eastAsia" w:ascii="仿宋" w:hAnsi="仿宋" w:eastAsia="仿宋"/>
          <w:b/>
          <w:sz w:val="32"/>
          <w:szCs w:val="32"/>
        </w:rPr>
        <w:t>（三）国有资产占有使用情况</w:t>
      </w:r>
      <w:bookmarkEnd w:id="66"/>
    </w:p>
    <w:p w14:paraId="5A8A62C0">
      <w:pPr>
        <w:autoSpaceDE w:val="0"/>
        <w:autoSpaceDN w:val="0"/>
        <w:adjustRightInd w:val="0"/>
        <w:spacing w:line="600" w:lineRule="exact"/>
        <w:ind w:firstLine="640" w:firstLineChars="200"/>
        <w:jc w:val="left"/>
        <w:rPr>
          <w:rFonts w:ascii="仿宋_GB2312" w:eastAsia="仿宋_GB2312"/>
          <w:b w:val="0"/>
          <w:bCs w:val="0"/>
          <w:sz w:val="32"/>
          <w:szCs w:val="32"/>
        </w:rPr>
      </w:pPr>
      <w:r>
        <w:rPr>
          <w:rFonts w:hint="eastAsia" w:ascii="仿宋_GB2312" w:eastAsia="仿宋_GB2312"/>
          <w:b w:val="0"/>
          <w:bCs w:val="0"/>
          <w:sz w:val="32"/>
          <w:szCs w:val="32"/>
        </w:rPr>
        <w:t>截至</w:t>
      </w:r>
      <w:r>
        <w:rPr>
          <w:rFonts w:hint="eastAsia" w:ascii="仿宋_GB2312" w:eastAsia="仿宋_GB2312"/>
          <w:b w:val="0"/>
          <w:bCs w:val="0"/>
          <w:sz w:val="32"/>
          <w:szCs w:val="32"/>
          <w:lang w:eastAsia="zh-CN"/>
        </w:rPr>
        <w:t>2024</w:t>
      </w:r>
      <w:r>
        <w:rPr>
          <w:rFonts w:hint="eastAsia" w:ascii="仿宋_GB2312" w:eastAsia="仿宋_GB2312"/>
          <w:b w:val="0"/>
          <w:bCs w:val="0"/>
          <w:sz w:val="32"/>
          <w:szCs w:val="32"/>
        </w:rPr>
        <w:t>年</w:t>
      </w:r>
      <w:r>
        <w:rPr>
          <w:rFonts w:ascii="仿宋_GB2312" w:eastAsia="仿宋_GB2312"/>
          <w:b w:val="0"/>
          <w:bCs w:val="0"/>
          <w:sz w:val="32"/>
          <w:szCs w:val="32"/>
        </w:rPr>
        <w:t>12</w:t>
      </w:r>
      <w:r>
        <w:rPr>
          <w:rFonts w:hint="eastAsia" w:ascii="仿宋_GB2312" w:eastAsia="仿宋_GB2312"/>
          <w:b w:val="0"/>
          <w:bCs w:val="0"/>
          <w:sz w:val="32"/>
          <w:szCs w:val="32"/>
        </w:rPr>
        <w:t>月</w:t>
      </w:r>
      <w:r>
        <w:rPr>
          <w:rFonts w:ascii="仿宋_GB2312" w:eastAsia="仿宋_GB2312"/>
          <w:b w:val="0"/>
          <w:bCs w:val="0"/>
          <w:sz w:val="32"/>
          <w:szCs w:val="32"/>
        </w:rPr>
        <w:t>31</w:t>
      </w:r>
      <w:r>
        <w:rPr>
          <w:rFonts w:hint="eastAsia" w:ascii="仿宋_GB2312" w:eastAsia="仿宋_GB2312"/>
          <w:b w:val="0"/>
          <w:bCs w:val="0"/>
          <w:sz w:val="32"/>
          <w:szCs w:val="32"/>
        </w:rPr>
        <w:t>日，</w:t>
      </w:r>
      <w:r>
        <w:rPr>
          <w:rFonts w:ascii="仿宋_GB2312" w:eastAsia="仿宋_GB2312"/>
          <w:b w:val="0"/>
          <w:bCs w:val="0"/>
          <w:sz w:val="32"/>
          <w:szCs w:val="32"/>
        </w:rPr>
        <w:t>五通桥区城市管理监察大队</w:t>
      </w:r>
      <w:r>
        <w:rPr>
          <w:rFonts w:hint="eastAsia" w:ascii="仿宋_GB2312" w:eastAsia="仿宋_GB2312"/>
          <w:b w:val="0"/>
          <w:bCs w:val="0"/>
          <w:sz w:val="32"/>
          <w:szCs w:val="32"/>
        </w:rPr>
        <w:t>共有车辆0辆，其中：主要领导干部用车</w:t>
      </w:r>
      <w:r>
        <w:rPr>
          <w:rFonts w:hint="eastAsia" w:ascii="仿宋_GB2312" w:eastAsia="仿宋_GB2312"/>
          <w:b w:val="0"/>
          <w:bCs w:val="0"/>
          <w:sz w:val="32"/>
          <w:szCs w:val="32"/>
          <w:lang w:val="en-US" w:eastAsia="zh-CN"/>
        </w:rPr>
        <w:t>0</w:t>
      </w:r>
      <w:r>
        <w:rPr>
          <w:rFonts w:hint="eastAsia" w:ascii="仿宋_GB2312" w:eastAsia="仿宋_GB2312"/>
          <w:b w:val="0"/>
          <w:bCs w:val="0"/>
          <w:sz w:val="32"/>
          <w:szCs w:val="32"/>
        </w:rPr>
        <w:t>辆、机要通信用车</w:t>
      </w:r>
      <w:r>
        <w:rPr>
          <w:rFonts w:hint="eastAsia" w:ascii="仿宋_GB2312" w:eastAsia="仿宋_GB2312"/>
          <w:b w:val="0"/>
          <w:bCs w:val="0"/>
          <w:sz w:val="32"/>
          <w:szCs w:val="32"/>
          <w:lang w:val="en-US" w:eastAsia="zh-CN"/>
        </w:rPr>
        <w:t>0</w:t>
      </w:r>
      <w:r>
        <w:rPr>
          <w:rFonts w:hint="eastAsia" w:ascii="仿宋_GB2312" w:eastAsia="仿宋_GB2312"/>
          <w:b w:val="0"/>
          <w:bCs w:val="0"/>
          <w:sz w:val="32"/>
          <w:szCs w:val="32"/>
        </w:rPr>
        <w:t>辆、应急保障用车</w:t>
      </w:r>
      <w:r>
        <w:rPr>
          <w:rFonts w:hint="eastAsia" w:ascii="仿宋_GB2312" w:eastAsia="仿宋_GB2312"/>
          <w:b w:val="0"/>
          <w:bCs w:val="0"/>
          <w:sz w:val="32"/>
          <w:szCs w:val="32"/>
          <w:lang w:val="en-US" w:eastAsia="zh-CN"/>
        </w:rPr>
        <w:t>0</w:t>
      </w:r>
      <w:r>
        <w:rPr>
          <w:rFonts w:hint="eastAsia" w:ascii="仿宋_GB2312" w:eastAsia="仿宋_GB2312"/>
          <w:b w:val="0"/>
          <w:bCs w:val="0"/>
          <w:sz w:val="32"/>
          <w:szCs w:val="32"/>
        </w:rPr>
        <w:t>辆、其他用车</w:t>
      </w:r>
      <w:r>
        <w:rPr>
          <w:rFonts w:hint="eastAsia" w:ascii="仿宋_GB2312" w:eastAsia="仿宋_GB2312"/>
          <w:b w:val="0"/>
          <w:bCs w:val="0"/>
          <w:sz w:val="32"/>
          <w:szCs w:val="32"/>
          <w:lang w:val="en-US" w:eastAsia="zh-CN"/>
        </w:rPr>
        <w:t>0</w:t>
      </w:r>
      <w:r>
        <w:rPr>
          <w:rFonts w:hint="eastAsia" w:ascii="仿宋_GB2312" w:eastAsia="仿宋_GB2312"/>
          <w:b w:val="0"/>
          <w:bCs w:val="0"/>
          <w:sz w:val="32"/>
          <w:szCs w:val="32"/>
        </w:rPr>
        <w:t>辆，其他用车主要是用于</w:t>
      </w:r>
      <w:r>
        <w:rPr>
          <w:rFonts w:hint="eastAsia" w:ascii="仿宋_GB2312" w:eastAsia="仿宋_GB2312"/>
          <w:b w:val="0"/>
          <w:bCs w:val="0"/>
          <w:sz w:val="32"/>
          <w:szCs w:val="32"/>
          <w:lang w:eastAsia="zh-CN"/>
        </w:rPr>
        <w:t>：无</w:t>
      </w:r>
      <w:r>
        <w:rPr>
          <w:rFonts w:hint="eastAsia" w:ascii="仿宋_GB2312" w:eastAsia="仿宋_GB2312"/>
          <w:b w:val="0"/>
          <w:bCs w:val="0"/>
          <w:sz w:val="32"/>
          <w:szCs w:val="32"/>
        </w:rPr>
        <w:t>。单价</w:t>
      </w:r>
      <w:r>
        <w:rPr>
          <w:rFonts w:ascii="仿宋_GB2312" w:eastAsia="仿宋_GB2312"/>
          <w:b w:val="0"/>
          <w:bCs w:val="0"/>
          <w:sz w:val="32"/>
          <w:szCs w:val="32"/>
        </w:rPr>
        <w:t>100</w:t>
      </w:r>
      <w:r>
        <w:rPr>
          <w:rFonts w:hint="eastAsia" w:ascii="仿宋_GB2312" w:eastAsia="仿宋_GB2312"/>
          <w:b w:val="0"/>
          <w:bCs w:val="0"/>
          <w:sz w:val="32"/>
          <w:szCs w:val="32"/>
        </w:rPr>
        <w:t>万元以上设备（不含车辆）</w:t>
      </w:r>
      <w:r>
        <w:rPr>
          <w:rFonts w:ascii="仿宋_GB2312" w:eastAsia="仿宋_GB2312"/>
          <w:b w:val="0"/>
          <w:bCs w:val="0"/>
          <w:sz w:val="32"/>
          <w:szCs w:val="32"/>
        </w:rPr>
        <w:t>0</w:t>
      </w:r>
      <w:r>
        <w:rPr>
          <w:rFonts w:hint="eastAsia" w:ascii="仿宋_GB2312" w:eastAsia="仿宋_GB2312"/>
          <w:b w:val="0"/>
          <w:bCs w:val="0"/>
          <w:sz w:val="32"/>
          <w:szCs w:val="32"/>
        </w:rPr>
        <w:t>台（套）。</w:t>
      </w:r>
    </w:p>
    <w:p w14:paraId="3B61A0D7">
      <w:pPr>
        <w:autoSpaceDE w:val="0"/>
        <w:autoSpaceDN w:val="0"/>
        <w:adjustRightInd w:val="0"/>
        <w:spacing w:line="600" w:lineRule="exact"/>
        <w:ind w:firstLine="643" w:firstLineChars="200"/>
        <w:jc w:val="left"/>
        <w:outlineLvl w:val="2"/>
        <w:rPr>
          <w:rFonts w:ascii="仿宋" w:hAnsi="仿宋" w:eastAsia="仿宋"/>
          <w:b/>
          <w:sz w:val="32"/>
          <w:szCs w:val="32"/>
        </w:rPr>
      </w:pPr>
      <w:r>
        <w:rPr>
          <w:rFonts w:hint="eastAsia" w:ascii="仿宋" w:hAnsi="仿宋" w:eastAsia="仿宋"/>
          <w:b/>
          <w:sz w:val="32"/>
          <w:szCs w:val="32"/>
        </w:rPr>
        <w:t>（四）预算绩效管理情况</w:t>
      </w:r>
    </w:p>
    <w:p w14:paraId="74F3A10D">
      <w:pPr>
        <w:spacing w:line="60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根据预算绩效管理要求，本单位在202</w:t>
      </w:r>
      <w:r>
        <w:rPr>
          <w:rFonts w:hint="eastAsia" w:ascii="仿宋_GB2312" w:eastAsia="仿宋_GB2312"/>
          <w:sz w:val="32"/>
          <w:szCs w:val="32"/>
          <w:highlight w:val="none"/>
          <w:lang w:val="en-US" w:eastAsia="zh-CN"/>
        </w:rPr>
        <w:t>4</w:t>
      </w:r>
      <w:r>
        <w:rPr>
          <w:rFonts w:hint="eastAsia" w:ascii="仿宋_GB2312" w:eastAsia="仿宋_GB2312"/>
          <w:sz w:val="32"/>
          <w:szCs w:val="32"/>
          <w:highlight w:val="none"/>
        </w:rPr>
        <w:t>年度预算编制阶段，组织对人员经费、公用经费等基本支出编制了绩效目标，预算执行过程中，对基本支出开展了全面绩效监控。</w:t>
      </w:r>
    </w:p>
    <w:p w14:paraId="20557F0B">
      <w:pPr>
        <w:spacing w:line="600" w:lineRule="exact"/>
        <w:ind w:firstLine="640" w:firstLineChars="200"/>
        <w:rPr>
          <w:rFonts w:ascii="仿宋_GB2312" w:eastAsia="仿宋_GB2312"/>
          <w:sz w:val="32"/>
          <w:szCs w:val="32"/>
        </w:rPr>
      </w:pPr>
      <w:r>
        <w:rPr>
          <w:rFonts w:hint="eastAsia" w:ascii="仿宋_GB2312" w:eastAsia="仿宋_GB2312"/>
          <w:sz w:val="32"/>
          <w:szCs w:val="32"/>
          <w:highlight w:val="none"/>
        </w:rPr>
        <w:t>本单位无项目支出。</w:t>
      </w:r>
      <w:r>
        <w:rPr>
          <w:rFonts w:hint="eastAsia" w:ascii="仿宋_GB2312" w:eastAsia="仿宋_GB2312"/>
          <w:sz w:val="32"/>
          <w:szCs w:val="32"/>
        </w:rPr>
        <w:br w:type="page"/>
      </w:r>
    </w:p>
    <w:p w14:paraId="55BC95DF">
      <w:pPr>
        <w:numPr>
          <w:ilvl w:val="0"/>
          <w:numId w:val="3"/>
        </w:numPr>
        <w:spacing w:line="600" w:lineRule="exact"/>
        <w:ind w:firstLine="660" w:firstLineChars="150"/>
        <w:jc w:val="center"/>
        <w:outlineLvl w:val="0"/>
        <w:rPr>
          <w:rStyle w:val="29"/>
          <w:rFonts w:ascii="黑体" w:hAnsi="黑体" w:eastAsia="黑体"/>
          <w:b w:val="0"/>
        </w:rPr>
      </w:pPr>
      <w:bookmarkStart w:id="67" w:name="_Toc8495"/>
      <w:bookmarkStart w:id="68" w:name="_Toc15377225"/>
      <w:bookmarkStart w:id="69" w:name="_Toc15396613"/>
      <w:r>
        <w:rPr>
          <w:rFonts w:hint="eastAsia" w:ascii="黑体" w:hAnsi="黑体" w:eastAsia="黑体"/>
          <w:sz w:val="44"/>
          <w:szCs w:val="44"/>
        </w:rPr>
        <w:t>名</w:t>
      </w:r>
      <w:r>
        <w:rPr>
          <w:rStyle w:val="29"/>
          <w:rFonts w:hint="eastAsia" w:ascii="黑体" w:hAnsi="黑体" w:eastAsia="黑体"/>
          <w:b w:val="0"/>
        </w:rPr>
        <w:t>词解释</w:t>
      </w:r>
      <w:bookmarkEnd w:id="67"/>
      <w:bookmarkEnd w:id="68"/>
      <w:bookmarkEnd w:id="69"/>
    </w:p>
    <w:p w14:paraId="48A6EAF6">
      <w:pPr>
        <w:spacing w:line="600" w:lineRule="exact"/>
        <w:jc w:val="left"/>
        <w:rPr>
          <w:rFonts w:ascii="宋体"/>
          <w:b/>
          <w:sz w:val="44"/>
          <w:szCs w:val="44"/>
        </w:rPr>
      </w:pPr>
    </w:p>
    <w:p w14:paraId="0C63ED7B">
      <w:pPr>
        <w:pStyle w:val="27"/>
        <w:spacing w:line="560" w:lineRule="exact"/>
        <w:ind w:firstLine="640" w:firstLineChars="200"/>
        <w:rPr>
          <w:rFonts w:hint="eastAsia" w:ascii="仿宋" w:hAnsi="仿宋" w:eastAsia="仿宋" w:cs="仿宋"/>
          <w:sz w:val="32"/>
          <w:szCs w:val="32"/>
        </w:rPr>
      </w:pPr>
      <w:bookmarkStart w:id="70" w:name="_Toc15377226"/>
      <w:r>
        <w:rPr>
          <w:rFonts w:hint="eastAsia" w:ascii="仿宋" w:hAnsi="仿宋" w:eastAsia="仿宋" w:cs="仿宋"/>
          <w:sz w:val="32"/>
          <w:szCs w:val="32"/>
        </w:rPr>
        <w:t>1.财政拨款收入：指单位从同级财政部门取得的财政预算资金。</w:t>
      </w:r>
    </w:p>
    <w:p w14:paraId="180E3EE9">
      <w:pPr>
        <w:pStyle w:val="27"/>
        <w:spacing w:line="56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2.事业收入：指事业单位开展专业业务活动及辅助活动取得的收入</w:t>
      </w:r>
      <w:r>
        <w:rPr>
          <w:rFonts w:hint="eastAsia" w:ascii="仿宋" w:hAnsi="仿宋" w:eastAsia="仿宋" w:cs="仿宋"/>
          <w:sz w:val="32"/>
          <w:szCs w:val="32"/>
          <w:lang w:eastAsia="zh-CN"/>
        </w:rPr>
        <w:t>。</w:t>
      </w:r>
    </w:p>
    <w:p w14:paraId="56461DEB">
      <w:pPr>
        <w:pStyle w:val="27"/>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3.经营收入：指事业单位在专业业务活动及其辅助活动之外开展非独立核算经营活动取得的收入。</w:t>
      </w:r>
    </w:p>
    <w:p w14:paraId="4D32A927">
      <w:pPr>
        <w:pStyle w:val="27"/>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4.其他收入：指单位取得的除上述收入以外的各项收入。</w:t>
      </w:r>
    </w:p>
    <w:p w14:paraId="1A386A91">
      <w:pPr>
        <w:pStyle w:val="27"/>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 xml:space="preserve">5.使用非财政拨款结余：指事业单位使用以前年度积累的非财政拨款结余弥补当年收支差额的金额。 </w:t>
      </w:r>
    </w:p>
    <w:p w14:paraId="70F66887">
      <w:pPr>
        <w:pStyle w:val="27"/>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 xml:space="preserve">6.年初结转和结余：指以前年度尚未完成、结转到本年按有关规定继续使用的资金。 </w:t>
      </w:r>
    </w:p>
    <w:p w14:paraId="342E6D9E">
      <w:pPr>
        <w:pStyle w:val="27"/>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7.结余分配：指事业单位按照会计制度规定缴纳的所得税、提取的专用结余以及转入非财政拨款结余的金额等。</w:t>
      </w:r>
    </w:p>
    <w:p w14:paraId="7139C9F4">
      <w:pPr>
        <w:pStyle w:val="27"/>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8、年末结转和结余：指单位按有关规定结转到下年或以后年度继续使用的资金。</w:t>
      </w:r>
    </w:p>
    <w:p w14:paraId="16B463CF">
      <w:pPr>
        <w:spacing w:line="360" w:lineRule="auto"/>
        <w:ind w:firstLine="640" w:firstLineChars="200"/>
        <w:rPr>
          <w:rFonts w:hint="eastAsia" w:ascii="仿宋" w:hAnsi="仿宋" w:eastAsia="仿宋" w:cs="仿宋"/>
          <w:b w:val="0"/>
          <w:bCs w:val="0"/>
          <w:sz w:val="32"/>
          <w:szCs w:val="32"/>
          <w:highlight w:val="none"/>
          <w:lang w:val="en-US" w:eastAsia="zh-CN"/>
        </w:rPr>
      </w:pPr>
      <w:r>
        <w:rPr>
          <w:rStyle w:val="18"/>
          <w:rFonts w:hint="eastAsia" w:ascii="仿宋" w:hAnsi="仿宋" w:eastAsia="仿宋" w:cs="仿宋"/>
          <w:b w:val="0"/>
          <w:bCs w:val="0"/>
          <w:color w:val="000000"/>
          <w:sz w:val="32"/>
          <w:szCs w:val="32"/>
          <w:highlight w:val="none"/>
          <w:lang w:val="en-US" w:eastAsia="zh-CN"/>
        </w:rPr>
        <w:t>9、</w:t>
      </w:r>
      <w:r>
        <w:rPr>
          <w:rFonts w:hint="eastAsia" w:ascii="仿宋" w:hAnsi="仿宋" w:eastAsia="仿宋" w:cs="仿宋"/>
          <w:color w:val="000000"/>
          <w:sz w:val="32"/>
          <w:szCs w:val="32"/>
        </w:rPr>
        <w:t>社会保障和就业</w:t>
      </w:r>
      <w:r>
        <w:rPr>
          <w:rFonts w:hint="eastAsia" w:ascii="仿宋" w:hAnsi="仿宋" w:eastAsia="仿宋" w:cs="仿宋"/>
          <w:color w:val="000000"/>
          <w:sz w:val="32"/>
          <w:szCs w:val="32"/>
          <w:lang w:eastAsia="zh-CN"/>
        </w:rPr>
        <w:t>（类）</w:t>
      </w:r>
      <w:r>
        <w:rPr>
          <w:rStyle w:val="18"/>
          <w:rFonts w:hint="eastAsia" w:ascii="仿宋" w:hAnsi="仿宋" w:eastAsia="仿宋" w:cs="仿宋"/>
          <w:b w:val="0"/>
          <w:color w:val="000000"/>
          <w:sz w:val="32"/>
          <w:szCs w:val="32"/>
        </w:rPr>
        <w:t>政事业单位离退休</w:t>
      </w:r>
      <w:r>
        <w:rPr>
          <w:rStyle w:val="18"/>
          <w:rFonts w:hint="eastAsia" w:ascii="仿宋" w:hAnsi="仿宋" w:eastAsia="仿宋" w:cs="仿宋"/>
          <w:b w:val="0"/>
          <w:color w:val="000000"/>
          <w:sz w:val="32"/>
          <w:szCs w:val="32"/>
          <w:lang w:eastAsia="zh-CN"/>
        </w:rPr>
        <w:t>（款）</w:t>
      </w:r>
      <w:r>
        <w:rPr>
          <w:rFonts w:hint="eastAsia" w:ascii="仿宋" w:hAnsi="仿宋" w:eastAsia="仿宋" w:cs="仿宋"/>
          <w:color w:val="000000"/>
          <w:sz w:val="32"/>
          <w:szCs w:val="32"/>
        </w:rPr>
        <w:t>机关事业单位基本养老保险缴费支出</w:t>
      </w:r>
      <w:r>
        <w:rPr>
          <w:rFonts w:hint="eastAsia" w:ascii="仿宋" w:hAnsi="仿宋" w:eastAsia="仿宋" w:cs="仿宋"/>
          <w:color w:val="000000"/>
          <w:sz w:val="32"/>
          <w:szCs w:val="32"/>
          <w:lang w:eastAsia="zh-CN"/>
        </w:rPr>
        <w:t>（项）</w:t>
      </w:r>
      <w:r>
        <w:rPr>
          <w:rFonts w:hint="eastAsia" w:ascii="仿宋" w:hAnsi="仿宋" w:eastAsia="仿宋" w:cs="仿宋"/>
          <w:color w:val="000000"/>
          <w:sz w:val="32"/>
          <w:szCs w:val="32"/>
        </w:rPr>
        <w:t>是指机关事业单位实</w:t>
      </w:r>
      <w:r>
        <w:rPr>
          <w:rFonts w:hint="eastAsia" w:ascii="仿宋" w:hAnsi="仿宋" w:eastAsia="仿宋" w:cs="仿宋"/>
          <w:color w:val="000000"/>
          <w:sz w:val="32"/>
          <w:szCs w:val="32"/>
          <w:lang w:eastAsia="zh-CN"/>
        </w:rPr>
        <w:t>施</w:t>
      </w:r>
      <w:r>
        <w:rPr>
          <w:rFonts w:hint="eastAsia" w:ascii="仿宋" w:hAnsi="仿宋" w:eastAsia="仿宋" w:cs="仿宋"/>
          <w:color w:val="000000"/>
          <w:sz w:val="32"/>
          <w:szCs w:val="32"/>
        </w:rPr>
        <w:t>养老保险制度由单位缴纳的基本养老保险费支出。</w:t>
      </w:r>
    </w:p>
    <w:p w14:paraId="7C3F33E0">
      <w:pPr>
        <w:spacing w:line="240" w:lineRule="auto"/>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10</w:t>
      </w:r>
      <w:r>
        <w:rPr>
          <w:rFonts w:hint="eastAsia" w:ascii="仿宋" w:hAnsi="仿宋" w:eastAsia="仿宋" w:cs="仿宋"/>
          <w:color w:val="000000"/>
          <w:sz w:val="32"/>
          <w:szCs w:val="32"/>
        </w:rPr>
        <w:t>. 社会保障和就业</w:t>
      </w:r>
      <w:r>
        <w:rPr>
          <w:rFonts w:hint="eastAsia" w:ascii="仿宋" w:hAnsi="仿宋" w:eastAsia="仿宋" w:cs="仿宋"/>
          <w:color w:val="000000"/>
          <w:sz w:val="32"/>
          <w:szCs w:val="32"/>
          <w:lang w:eastAsia="zh-CN"/>
        </w:rPr>
        <w:t>（类）</w:t>
      </w:r>
      <w:r>
        <w:rPr>
          <w:rStyle w:val="18"/>
          <w:rFonts w:hint="eastAsia" w:ascii="仿宋" w:hAnsi="仿宋" w:eastAsia="仿宋" w:cs="仿宋"/>
          <w:b w:val="0"/>
          <w:color w:val="000000"/>
          <w:sz w:val="32"/>
          <w:szCs w:val="32"/>
        </w:rPr>
        <w:t>政事业单位离退休</w:t>
      </w:r>
      <w:r>
        <w:rPr>
          <w:rStyle w:val="18"/>
          <w:rFonts w:hint="eastAsia" w:ascii="仿宋" w:hAnsi="仿宋" w:eastAsia="仿宋" w:cs="仿宋"/>
          <w:b w:val="0"/>
          <w:color w:val="000000"/>
          <w:sz w:val="32"/>
          <w:szCs w:val="32"/>
          <w:lang w:eastAsia="zh-CN"/>
        </w:rPr>
        <w:t>（款）</w:t>
      </w:r>
      <w:r>
        <w:rPr>
          <w:rFonts w:hint="eastAsia" w:ascii="仿宋" w:hAnsi="仿宋" w:eastAsia="仿宋" w:cs="仿宋"/>
          <w:color w:val="000000"/>
          <w:sz w:val="32"/>
          <w:szCs w:val="32"/>
        </w:rPr>
        <w:t>机关事业单位职业年金缴费支出</w:t>
      </w:r>
      <w:r>
        <w:rPr>
          <w:rFonts w:hint="eastAsia" w:ascii="仿宋" w:hAnsi="仿宋" w:eastAsia="仿宋" w:cs="仿宋"/>
          <w:color w:val="000000"/>
          <w:sz w:val="32"/>
          <w:szCs w:val="32"/>
          <w:lang w:eastAsia="zh-CN"/>
        </w:rPr>
        <w:t>（项）</w:t>
      </w:r>
      <w:r>
        <w:rPr>
          <w:rFonts w:hint="eastAsia" w:ascii="仿宋" w:hAnsi="仿宋" w:eastAsia="仿宋" w:cs="仿宋"/>
          <w:color w:val="000000"/>
          <w:sz w:val="32"/>
          <w:szCs w:val="32"/>
        </w:rPr>
        <w:t>是指机关事业单位实</w:t>
      </w:r>
      <w:r>
        <w:rPr>
          <w:rFonts w:hint="eastAsia" w:ascii="仿宋" w:hAnsi="仿宋" w:eastAsia="仿宋" w:cs="仿宋"/>
          <w:color w:val="000000"/>
          <w:sz w:val="32"/>
          <w:szCs w:val="32"/>
          <w:lang w:eastAsia="zh-CN"/>
        </w:rPr>
        <w:t>施</w:t>
      </w:r>
      <w:r>
        <w:rPr>
          <w:rFonts w:hint="eastAsia" w:ascii="仿宋" w:hAnsi="仿宋" w:eastAsia="仿宋" w:cs="仿宋"/>
          <w:color w:val="000000"/>
          <w:sz w:val="32"/>
          <w:szCs w:val="32"/>
        </w:rPr>
        <w:t>养老保险制度由单位缴纳的职业年金缴费支出支出。</w:t>
      </w:r>
    </w:p>
    <w:p w14:paraId="7371CFF9">
      <w:pPr>
        <w:spacing w:line="240" w:lineRule="auto"/>
        <w:ind w:firstLine="640" w:firstLineChars="200"/>
        <w:rPr>
          <w:rStyle w:val="18"/>
          <w:rFonts w:hint="eastAsia" w:ascii="仿宋" w:hAnsi="仿宋" w:eastAsia="仿宋" w:cs="仿宋"/>
          <w:b w:val="0"/>
          <w:color w:val="000000"/>
          <w:sz w:val="32"/>
          <w:szCs w:val="32"/>
        </w:rPr>
      </w:pPr>
      <w:r>
        <w:rPr>
          <w:rFonts w:hint="eastAsia" w:ascii="仿宋" w:hAnsi="仿宋" w:eastAsia="仿宋" w:cs="仿宋"/>
          <w:color w:val="000000"/>
          <w:sz w:val="32"/>
          <w:szCs w:val="32"/>
          <w:lang w:val="en-US" w:eastAsia="zh-CN"/>
        </w:rPr>
        <w:t>11、</w:t>
      </w:r>
      <w:r>
        <w:rPr>
          <w:rFonts w:hint="eastAsia" w:ascii="仿宋" w:hAnsi="仿宋" w:eastAsia="仿宋" w:cs="仿宋"/>
          <w:color w:val="000000"/>
          <w:sz w:val="32"/>
          <w:szCs w:val="32"/>
        </w:rPr>
        <w:t>社会保障和就业</w:t>
      </w:r>
      <w:r>
        <w:rPr>
          <w:rFonts w:hint="eastAsia" w:ascii="仿宋" w:hAnsi="仿宋" w:eastAsia="仿宋" w:cs="仿宋"/>
          <w:color w:val="000000"/>
          <w:sz w:val="32"/>
          <w:szCs w:val="32"/>
          <w:lang w:eastAsia="zh-CN"/>
        </w:rPr>
        <w:t>（类）</w:t>
      </w:r>
      <w:r>
        <w:rPr>
          <w:rStyle w:val="18"/>
          <w:rFonts w:hint="eastAsia" w:ascii="仿宋" w:hAnsi="仿宋" w:eastAsia="仿宋" w:cs="仿宋"/>
          <w:b w:val="0"/>
          <w:color w:val="000000"/>
          <w:sz w:val="32"/>
          <w:szCs w:val="32"/>
        </w:rPr>
        <w:t>政事业单位离退休</w:t>
      </w:r>
      <w:r>
        <w:rPr>
          <w:rStyle w:val="18"/>
          <w:rFonts w:hint="eastAsia" w:ascii="仿宋" w:hAnsi="仿宋" w:eastAsia="仿宋" w:cs="仿宋"/>
          <w:b w:val="0"/>
          <w:color w:val="000000"/>
          <w:sz w:val="32"/>
          <w:szCs w:val="32"/>
          <w:lang w:eastAsia="zh-CN"/>
        </w:rPr>
        <w:t>（款）</w:t>
      </w:r>
      <w:r>
        <w:rPr>
          <w:rStyle w:val="18"/>
          <w:rFonts w:hint="eastAsia" w:ascii="仿宋" w:hAnsi="仿宋" w:eastAsia="仿宋" w:cs="仿宋"/>
          <w:b w:val="0"/>
          <w:color w:val="000000"/>
          <w:sz w:val="32"/>
          <w:szCs w:val="32"/>
        </w:rPr>
        <w:t>其他行政事业单位离退休支出</w:t>
      </w:r>
      <w:r>
        <w:rPr>
          <w:rStyle w:val="18"/>
          <w:rFonts w:hint="eastAsia" w:ascii="仿宋" w:hAnsi="仿宋" w:eastAsia="仿宋" w:cs="仿宋"/>
          <w:b w:val="0"/>
          <w:color w:val="000000"/>
          <w:sz w:val="32"/>
          <w:szCs w:val="32"/>
          <w:lang w:eastAsia="zh-CN"/>
        </w:rPr>
        <w:t>（项）</w:t>
      </w:r>
      <w:r>
        <w:rPr>
          <w:rFonts w:hint="eastAsia" w:ascii="仿宋" w:hAnsi="仿宋" w:eastAsia="仿宋" w:cs="仿宋"/>
          <w:color w:val="000000"/>
          <w:sz w:val="32"/>
          <w:szCs w:val="32"/>
        </w:rPr>
        <w:t>是指其他用于</w:t>
      </w:r>
      <w:r>
        <w:rPr>
          <w:rStyle w:val="18"/>
          <w:rFonts w:hint="eastAsia" w:ascii="仿宋" w:hAnsi="仿宋" w:eastAsia="仿宋" w:cs="仿宋"/>
          <w:b w:val="0"/>
          <w:color w:val="000000"/>
          <w:sz w:val="32"/>
          <w:szCs w:val="32"/>
        </w:rPr>
        <w:t>行政事业单位离退休方面的支出。</w:t>
      </w:r>
    </w:p>
    <w:p w14:paraId="748096AC">
      <w:pPr>
        <w:spacing w:line="240" w:lineRule="auto"/>
        <w:ind w:firstLine="640" w:firstLineChars="200"/>
        <w:rPr>
          <w:rFonts w:hint="eastAsia" w:ascii="仿宋" w:hAnsi="仿宋" w:eastAsia="仿宋" w:cs="仿宋"/>
          <w:sz w:val="32"/>
          <w:szCs w:val="32"/>
        </w:rPr>
      </w:pPr>
      <w:r>
        <w:rPr>
          <w:rFonts w:hint="eastAsia" w:ascii="仿宋" w:hAnsi="仿宋" w:eastAsia="仿宋" w:cs="仿宋"/>
          <w:b w:val="0"/>
          <w:bCs w:val="0"/>
          <w:color w:val="000000"/>
          <w:sz w:val="32"/>
          <w:szCs w:val="32"/>
          <w:lang w:val="en-US" w:eastAsia="zh-CN"/>
        </w:rPr>
        <w:t>12、</w:t>
      </w:r>
      <w:r>
        <w:rPr>
          <w:rFonts w:hint="eastAsia" w:ascii="仿宋" w:hAnsi="仿宋" w:eastAsia="仿宋" w:cs="仿宋"/>
          <w:b w:val="0"/>
          <w:bCs w:val="0"/>
          <w:color w:val="000000"/>
          <w:sz w:val="32"/>
          <w:szCs w:val="32"/>
        </w:rPr>
        <w:t>社会保障和就业</w:t>
      </w:r>
      <w:r>
        <w:rPr>
          <w:rFonts w:hint="eastAsia" w:ascii="仿宋" w:hAnsi="仿宋" w:eastAsia="仿宋" w:cs="仿宋"/>
          <w:b w:val="0"/>
          <w:bCs w:val="0"/>
          <w:color w:val="000000"/>
          <w:sz w:val="32"/>
          <w:szCs w:val="32"/>
          <w:lang w:eastAsia="zh-CN"/>
        </w:rPr>
        <w:t>（类）</w:t>
      </w:r>
      <w:r>
        <w:rPr>
          <w:rStyle w:val="18"/>
          <w:rFonts w:hint="eastAsia" w:ascii="仿宋" w:hAnsi="仿宋" w:eastAsia="仿宋" w:cs="仿宋"/>
          <w:b w:val="0"/>
          <w:bCs w:val="0"/>
          <w:color w:val="000000"/>
          <w:sz w:val="32"/>
          <w:szCs w:val="32"/>
          <w:highlight w:val="none"/>
        </w:rPr>
        <w:t>就业补助（款）其他就业补助支出（项）:就业补助（款）</w:t>
      </w:r>
      <w:r>
        <w:rPr>
          <w:rStyle w:val="18"/>
          <w:rFonts w:hint="eastAsia" w:ascii="仿宋" w:hAnsi="仿宋" w:eastAsia="仿宋" w:cs="仿宋"/>
          <w:b w:val="0"/>
          <w:bCs w:val="0"/>
          <w:color w:val="000000"/>
          <w:sz w:val="32"/>
          <w:szCs w:val="32"/>
          <w:highlight w:val="none"/>
          <w:lang w:eastAsia="zh-CN"/>
        </w:rPr>
        <w:t>指财政用于</w:t>
      </w:r>
      <w:r>
        <w:rPr>
          <w:rStyle w:val="18"/>
          <w:rFonts w:hint="eastAsia" w:ascii="仿宋" w:hAnsi="仿宋" w:eastAsia="仿宋" w:cs="仿宋"/>
          <w:b w:val="0"/>
          <w:bCs w:val="0"/>
          <w:color w:val="000000"/>
          <w:sz w:val="32"/>
          <w:szCs w:val="32"/>
          <w:highlight w:val="none"/>
        </w:rPr>
        <w:t>就业</w:t>
      </w:r>
      <w:r>
        <w:rPr>
          <w:rStyle w:val="18"/>
          <w:rFonts w:hint="eastAsia" w:ascii="仿宋" w:hAnsi="仿宋" w:eastAsia="仿宋" w:cs="仿宋"/>
          <w:b w:val="0"/>
          <w:bCs w:val="0"/>
          <w:color w:val="000000"/>
          <w:sz w:val="32"/>
          <w:szCs w:val="32"/>
          <w:highlight w:val="none"/>
          <w:lang w:eastAsia="zh-CN"/>
        </w:rPr>
        <w:t>方面的</w:t>
      </w:r>
      <w:r>
        <w:rPr>
          <w:rStyle w:val="18"/>
          <w:rFonts w:hint="eastAsia" w:ascii="仿宋" w:hAnsi="仿宋" w:eastAsia="仿宋" w:cs="仿宋"/>
          <w:b w:val="0"/>
          <w:bCs w:val="0"/>
          <w:color w:val="000000"/>
          <w:sz w:val="32"/>
          <w:szCs w:val="32"/>
          <w:highlight w:val="none"/>
        </w:rPr>
        <w:t>补助支出</w:t>
      </w:r>
      <w:r>
        <w:rPr>
          <w:rStyle w:val="18"/>
          <w:rFonts w:hint="eastAsia" w:ascii="仿宋" w:hAnsi="仿宋" w:eastAsia="仿宋" w:cs="仿宋"/>
          <w:b w:val="0"/>
          <w:bCs w:val="0"/>
          <w:color w:val="000000"/>
          <w:sz w:val="32"/>
          <w:szCs w:val="32"/>
          <w:highlight w:val="none"/>
          <w:lang w:eastAsia="zh-CN"/>
        </w:rPr>
        <w:t>。其他就业补助支出（项）指按规定确定的其他用于促进</w:t>
      </w:r>
      <w:r>
        <w:rPr>
          <w:rStyle w:val="18"/>
          <w:rFonts w:hint="eastAsia" w:ascii="仿宋" w:hAnsi="仿宋" w:eastAsia="仿宋" w:cs="仿宋"/>
          <w:b w:val="0"/>
          <w:bCs w:val="0"/>
          <w:color w:val="000000"/>
          <w:sz w:val="32"/>
          <w:szCs w:val="32"/>
          <w:highlight w:val="none"/>
        </w:rPr>
        <w:t>就业</w:t>
      </w:r>
      <w:r>
        <w:rPr>
          <w:rStyle w:val="18"/>
          <w:rFonts w:hint="eastAsia" w:ascii="仿宋" w:hAnsi="仿宋" w:eastAsia="仿宋" w:cs="仿宋"/>
          <w:b w:val="0"/>
          <w:bCs w:val="0"/>
          <w:color w:val="000000"/>
          <w:sz w:val="32"/>
          <w:szCs w:val="32"/>
          <w:highlight w:val="none"/>
          <w:lang w:eastAsia="zh-CN"/>
        </w:rPr>
        <w:t>的</w:t>
      </w:r>
      <w:r>
        <w:rPr>
          <w:rStyle w:val="18"/>
          <w:rFonts w:hint="eastAsia" w:ascii="仿宋" w:hAnsi="仿宋" w:eastAsia="仿宋" w:cs="仿宋"/>
          <w:b w:val="0"/>
          <w:bCs w:val="0"/>
          <w:color w:val="000000"/>
          <w:sz w:val="32"/>
          <w:szCs w:val="32"/>
          <w:highlight w:val="none"/>
        </w:rPr>
        <w:t>补助支出</w:t>
      </w:r>
    </w:p>
    <w:p w14:paraId="4A6A3870">
      <w:pPr>
        <w:numPr>
          <w:ilvl w:val="0"/>
          <w:numId w:val="0"/>
        </w:numPr>
        <w:spacing w:line="360" w:lineRule="auto"/>
        <w:ind w:firstLine="640" w:firstLineChars="200"/>
        <w:rPr>
          <w:rStyle w:val="18"/>
          <w:rFonts w:hint="eastAsia" w:ascii="仿宋" w:hAnsi="仿宋" w:eastAsia="仿宋" w:cs="仿宋"/>
          <w:b w:val="0"/>
          <w:bCs w:val="0"/>
          <w:sz w:val="32"/>
          <w:szCs w:val="32"/>
          <w:highlight w:val="none"/>
          <w:lang w:val="en-US" w:eastAsia="zh-CN"/>
        </w:rPr>
      </w:pPr>
      <w:r>
        <w:rPr>
          <w:rFonts w:hint="eastAsia" w:ascii="仿宋" w:hAnsi="仿宋" w:eastAsia="仿宋" w:cs="仿宋"/>
          <w:b w:val="0"/>
          <w:bCs w:val="0"/>
          <w:color w:val="000000"/>
          <w:sz w:val="32"/>
          <w:szCs w:val="32"/>
          <w:highlight w:val="none"/>
          <w:lang w:val="en-US" w:eastAsia="zh-CN"/>
        </w:rPr>
        <w:t>13、</w:t>
      </w:r>
      <w:r>
        <w:rPr>
          <w:rFonts w:hint="eastAsia" w:ascii="仿宋" w:hAnsi="仿宋" w:eastAsia="仿宋" w:cs="仿宋"/>
          <w:b w:val="0"/>
          <w:bCs w:val="0"/>
          <w:color w:val="000000"/>
          <w:sz w:val="32"/>
          <w:szCs w:val="32"/>
          <w:highlight w:val="none"/>
        </w:rPr>
        <w:t>卫生健康</w:t>
      </w:r>
      <w:r>
        <w:rPr>
          <w:rStyle w:val="18"/>
          <w:rFonts w:hint="eastAsia" w:ascii="仿宋" w:hAnsi="仿宋" w:eastAsia="仿宋" w:cs="仿宋"/>
          <w:b w:val="0"/>
          <w:bCs w:val="0"/>
          <w:color w:val="000000"/>
          <w:sz w:val="32"/>
          <w:szCs w:val="32"/>
          <w:highlight w:val="none"/>
        </w:rPr>
        <w:t>（类）</w:t>
      </w:r>
      <w:r>
        <w:rPr>
          <w:rStyle w:val="18"/>
          <w:rFonts w:hint="eastAsia" w:ascii="仿宋" w:hAnsi="仿宋" w:eastAsia="仿宋" w:cs="仿宋"/>
          <w:b w:val="0"/>
          <w:bCs w:val="0"/>
          <w:sz w:val="32"/>
          <w:szCs w:val="32"/>
          <w:highlight w:val="none"/>
        </w:rPr>
        <w:t>行政事业单位医疗</w:t>
      </w:r>
      <w:r>
        <w:rPr>
          <w:rStyle w:val="18"/>
          <w:rFonts w:hint="eastAsia" w:ascii="仿宋" w:hAnsi="仿宋" w:eastAsia="仿宋" w:cs="仿宋"/>
          <w:b w:val="0"/>
          <w:bCs w:val="0"/>
          <w:sz w:val="32"/>
          <w:szCs w:val="32"/>
          <w:highlight w:val="none"/>
          <w:lang w:eastAsia="zh-CN"/>
        </w:rPr>
        <w:t>（款）</w:t>
      </w:r>
      <w:r>
        <w:rPr>
          <w:rStyle w:val="18"/>
          <w:rFonts w:hint="eastAsia" w:ascii="仿宋" w:hAnsi="仿宋" w:eastAsia="仿宋" w:cs="仿宋"/>
          <w:b w:val="0"/>
          <w:bCs w:val="0"/>
          <w:sz w:val="32"/>
          <w:szCs w:val="32"/>
          <w:highlight w:val="none"/>
        </w:rPr>
        <w:t>行政单位医疗</w:t>
      </w:r>
      <w:r>
        <w:rPr>
          <w:rStyle w:val="18"/>
          <w:rFonts w:hint="eastAsia" w:ascii="仿宋" w:hAnsi="仿宋" w:eastAsia="仿宋" w:cs="仿宋"/>
          <w:b w:val="0"/>
          <w:bCs w:val="0"/>
          <w:sz w:val="32"/>
          <w:szCs w:val="32"/>
          <w:highlight w:val="none"/>
          <w:lang w:eastAsia="zh-CN"/>
        </w:rPr>
        <w:t>（项）</w:t>
      </w:r>
      <w:r>
        <w:rPr>
          <w:rStyle w:val="18"/>
          <w:rFonts w:hint="eastAsia" w:ascii="仿宋" w:hAnsi="仿宋" w:eastAsia="仿宋" w:cs="仿宋"/>
          <w:b w:val="0"/>
          <w:bCs w:val="0"/>
          <w:sz w:val="32"/>
          <w:szCs w:val="32"/>
          <w:highlight w:val="none"/>
        </w:rPr>
        <w:t>是指财政部门集中安排的行政单位基本医疗保险缴费经费，未参加医疗保险的行政单位基本的公费医疗经费，按国家规定享受离休人员、老红军战士待遇人员的医疗经费。</w:t>
      </w:r>
      <w:r>
        <w:rPr>
          <w:rStyle w:val="18"/>
          <w:rFonts w:hint="eastAsia" w:ascii="仿宋" w:hAnsi="仿宋" w:eastAsia="仿宋" w:cs="仿宋"/>
          <w:b w:val="0"/>
          <w:bCs w:val="0"/>
          <w:sz w:val="32"/>
          <w:szCs w:val="32"/>
          <w:highlight w:val="none"/>
          <w:lang w:val="en-US" w:eastAsia="zh-CN"/>
        </w:rPr>
        <w:t xml:space="preserve">       </w:t>
      </w:r>
    </w:p>
    <w:p w14:paraId="51D42765">
      <w:pPr>
        <w:pStyle w:val="2"/>
        <w:ind w:left="0" w:leftChars="0" w:firstLine="640" w:firstLineChars="200"/>
        <w:rPr>
          <w:rFonts w:hint="eastAsia" w:ascii="仿宋" w:hAnsi="仿宋" w:eastAsia="仿宋" w:cs="仿宋"/>
          <w:b w:val="0"/>
          <w:bCs w:val="0"/>
          <w:color w:val="000000"/>
          <w:sz w:val="32"/>
          <w:szCs w:val="32"/>
          <w:highlight w:val="none"/>
          <w:lang w:eastAsia="zh-CN"/>
        </w:rPr>
      </w:pPr>
      <w:r>
        <w:rPr>
          <w:rStyle w:val="18"/>
          <w:rFonts w:hint="eastAsia" w:ascii="仿宋" w:hAnsi="仿宋" w:eastAsia="仿宋" w:cs="仿宋"/>
          <w:b w:val="0"/>
          <w:bCs w:val="0"/>
          <w:sz w:val="32"/>
          <w:szCs w:val="32"/>
          <w:highlight w:val="none"/>
          <w:lang w:val="en-US" w:eastAsia="zh-CN"/>
        </w:rPr>
        <w:t>14、</w:t>
      </w:r>
      <w:r>
        <w:rPr>
          <w:rFonts w:hint="eastAsia" w:ascii="仿宋" w:hAnsi="仿宋" w:eastAsia="仿宋" w:cs="仿宋"/>
          <w:b w:val="0"/>
          <w:bCs w:val="0"/>
          <w:color w:val="000000"/>
          <w:sz w:val="32"/>
          <w:szCs w:val="32"/>
          <w:highlight w:val="none"/>
        </w:rPr>
        <w:t>卫生健康支出（类）行政事业单位医疗（款）公务员医疗补助（项）：指财政部门安排的公务员医疗补助经经费</w:t>
      </w:r>
      <w:r>
        <w:rPr>
          <w:rFonts w:hint="eastAsia" w:ascii="仿宋" w:hAnsi="仿宋" w:eastAsia="仿宋" w:cs="仿宋"/>
          <w:b w:val="0"/>
          <w:bCs w:val="0"/>
          <w:color w:val="000000"/>
          <w:sz w:val="32"/>
          <w:szCs w:val="32"/>
          <w:highlight w:val="none"/>
          <w:lang w:eastAsia="zh-CN"/>
        </w:rPr>
        <w:t>。</w:t>
      </w:r>
    </w:p>
    <w:p w14:paraId="31D18CA3">
      <w:pPr>
        <w:spacing w:line="240" w:lineRule="auto"/>
        <w:ind w:firstLine="640" w:firstLineChars="200"/>
        <w:rPr>
          <w:rStyle w:val="18"/>
          <w:rFonts w:hint="eastAsia" w:ascii="仿宋" w:hAnsi="仿宋" w:eastAsia="仿宋" w:cs="仿宋"/>
          <w:b w:val="0"/>
          <w:sz w:val="32"/>
          <w:szCs w:val="32"/>
        </w:rPr>
      </w:pPr>
      <w:r>
        <w:rPr>
          <w:rFonts w:hint="eastAsia" w:ascii="仿宋" w:hAnsi="仿宋" w:eastAsia="仿宋" w:cs="仿宋"/>
          <w:b w:val="0"/>
          <w:bCs w:val="0"/>
          <w:i w:val="0"/>
          <w:caps w:val="0"/>
          <w:color w:val="000000"/>
          <w:spacing w:val="0"/>
          <w:sz w:val="32"/>
          <w:szCs w:val="32"/>
          <w:highlight w:val="none"/>
          <w:shd w:val="clear" w:color="auto" w:fill="FFFFFF"/>
          <w:lang w:val="en-US" w:eastAsia="zh-CN"/>
        </w:rPr>
        <w:t>15、</w:t>
      </w:r>
      <w:r>
        <w:rPr>
          <w:rStyle w:val="18"/>
          <w:rFonts w:hint="eastAsia" w:ascii="仿宋" w:hAnsi="仿宋" w:eastAsia="仿宋" w:cs="仿宋"/>
          <w:b w:val="0"/>
          <w:sz w:val="32"/>
          <w:szCs w:val="32"/>
        </w:rPr>
        <w:t>城乡社区支出</w:t>
      </w:r>
      <w:r>
        <w:rPr>
          <w:rStyle w:val="18"/>
          <w:rFonts w:hint="eastAsia" w:ascii="仿宋" w:hAnsi="仿宋" w:eastAsia="仿宋" w:cs="仿宋"/>
          <w:b w:val="0"/>
          <w:sz w:val="32"/>
          <w:szCs w:val="32"/>
          <w:lang w:eastAsia="zh-CN"/>
        </w:rPr>
        <w:t>（类）</w:t>
      </w:r>
      <w:r>
        <w:rPr>
          <w:rStyle w:val="18"/>
          <w:rFonts w:hint="eastAsia" w:ascii="仿宋" w:hAnsi="仿宋" w:eastAsia="仿宋" w:cs="仿宋"/>
          <w:b w:val="0"/>
          <w:sz w:val="32"/>
          <w:szCs w:val="32"/>
        </w:rPr>
        <w:t>城乡社区管理事务</w:t>
      </w:r>
      <w:r>
        <w:rPr>
          <w:rStyle w:val="18"/>
          <w:rFonts w:hint="eastAsia" w:ascii="仿宋" w:hAnsi="仿宋" w:eastAsia="仿宋" w:cs="仿宋"/>
          <w:b w:val="0"/>
          <w:sz w:val="32"/>
          <w:szCs w:val="32"/>
          <w:lang w:eastAsia="zh-CN"/>
        </w:rPr>
        <w:t>（款）</w:t>
      </w:r>
      <w:r>
        <w:rPr>
          <w:rStyle w:val="18"/>
          <w:rFonts w:hint="eastAsia" w:ascii="仿宋" w:hAnsi="仿宋" w:eastAsia="仿宋" w:cs="仿宋"/>
          <w:b w:val="0"/>
          <w:sz w:val="32"/>
          <w:szCs w:val="32"/>
        </w:rPr>
        <w:t>行政运行</w:t>
      </w:r>
      <w:r>
        <w:rPr>
          <w:rStyle w:val="18"/>
          <w:rFonts w:hint="eastAsia" w:ascii="仿宋" w:hAnsi="仿宋" w:eastAsia="仿宋" w:cs="仿宋"/>
          <w:b w:val="0"/>
          <w:sz w:val="32"/>
          <w:szCs w:val="32"/>
          <w:lang w:eastAsia="zh-CN"/>
        </w:rPr>
        <w:t>（项）</w:t>
      </w:r>
      <w:r>
        <w:rPr>
          <w:rStyle w:val="18"/>
          <w:rFonts w:hint="eastAsia" w:ascii="仿宋" w:hAnsi="仿宋" w:eastAsia="仿宋" w:cs="仿宋"/>
          <w:b w:val="0"/>
          <w:sz w:val="32"/>
          <w:szCs w:val="32"/>
        </w:rPr>
        <w:t>是指</w:t>
      </w:r>
      <w:r>
        <w:rPr>
          <w:rFonts w:hint="eastAsia" w:ascii="仿宋" w:hAnsi="仿宋" w:eastAsia="仿宋" w:cs="仿宋"/>
          <w:sz w:val="32"/>
          <w:szCs w:val="32"/>
        </w:rPr>
        <w:t>行政单位（包括实行公务员管理的事业单位）在</w:t>
      </w:r>
      <w:r>
        <w:rPr>
          <w:rStyle w:val="18"/>
          <w:rFonts w:hint="eastAsia" w:ascii="仿宋" w:hAnsi="仿宋" w:eastAsia="仿宋" w:cs="仿宋"/>
          <w:b w:val="0"/>
          <w:sz w:val="32"/>
          <w:szCs w:val="32"/>
        </w:rPr>
        <w:t>城乡社区管理事务中的基本支出。</w:t>
      </w:r>
    </w:p>
    <w:p w14:paraId="1D55550F">
      <w:pPr>
        <w:spacing w:line="240" w:lineRule="auto"/>
        <w:ind w:firstLine="640" w:firstLineChars="200"/>
        <w:rPr>
          <w:rStyle w:val="18"/>
          <w:rFonts w:hint="eastAsia" w:ascii="仿宋" w:hAnsi="仿宋" w:eastAsia="仿宋" w:cs="仿宋"/>
          <w:b w:val="0"/>
          <w:sz w:val="32"/>
          <w:szCs w:val="32"/>
        </w:rPr>
      </w:pPr>
      <w:r>
        <w:rPr>
          <w:rStyle w:val="18"/>
          <w:rFonts w:hint="eastAsia" w:ascii="仿宋" w:hAnsi="仿宋" w:eastAsia="仿宋" w:cs="仿宋"/>
          <w:b w:val="0"/>
          <w:sz w:val="32"/>
          <w:szCs w:val="32"/>
        </w:rPr>
        <w:t>1</w:t>
      </w:r>
      <w:r>
        <w:rPr>
          <w:rStyle w:val="18"/>
          <w:rFonts w:hint="eastAsia" w:ascii="仿宋" w:hAnsi="仿宋" w:eastAsia="仿宋" w:cs="仿宋"/>
          <w:b w:val="0"/>
          <w:sz w:val="32"/>
          <w:szCs w:val="32"/>
          <w:lang w:val="en-US" w:eastAsia="zh-CN"/>
        </w:rPr>
        <w:t>6</w:t>
      </w:r>
      <w:r>
        <w:rPr>
          <w:rStyle w:val="18"/>
          <w:rFonts w:hint="eastAsia" w:ascii="仿宋" w:hAnsi="仿宋" w:eastAsia="仿宋" w:cs="仿宋"/>
          <w:b w:val="0"/>
          <w:sz w:val="32"/>
          <w:szCs w:val="32"/>
        </w:rPr>
        <w:t>、城乡社区支出</w:t>
      </w:r>
      <w:r>
        <w:rPr>
          <w:rStyle w:val="18"/>
          <w:rFonts w:hint="eastAsia" w:ascii="仿宋" w:hAnsi="仿宋" w:eastAsia="仿宋" w:cs="仿宋"/>
          <w:b w:val="0"/>
          <w:sz w:val="32"/>
          <w:szCs w:val="32"/>
          <w:lang w:eastAsia="zh-CN"/>
        </w:rPr>
        <w:t>（类）</w:t>
      </w:r>
      <w:r>
        <w:rPr>
          <w:rStyle w:val="18"/>
          <w:rFonts w:hint="eastAsia" w:ascii="仿宋" w:hAnsi="仿宋" w:eastAsia="仿宋" w:cs="仿宋"/>
          <w:b w:val="0"/>
          <w:sz w:val="32"/>
          <w:szCs w:val="32"/>
        </w:rPr>
        <w:t>城乡社区管理事务</w:t>
      </w:r>
      <w:r>
        <w:rPr>
          <w:rStyle w:val="18"/>
          <w:rFonts w:hint="eastAsia" w:ascii="仿宋" w:hAnsi="仿宋" w:eastAsia="仿宋" w:cs="仿宋"/>
          <w:b w:val="0"/>
          <w:sz w:val="32"/>
          <w:szCs w:val="32"/>
          <w:lang w:eastAsia="zh-CN"/>
        </w:rPr>
        <w:t>（款）</w:t>
      </w:r>
      <w:r>
        <w:rPr>
          <w:rStyle w:val="18"/>
          <w:rFonts w:hint="eastAsia" w:ascii="仿宋" w:hAnsi="仿宋" w:eastAsia="仿宋" w:cs="仿宋"/>
          <w:b w:val="0"/>
          <w:sz w:val="32"/>
          <w:szCs w:val="32"/>
        </w:rPr>
        <w:t>城管执法</w:t>
      </w:r>
      <w:r>
        <w:rPr>
          <w:rStyle w:val="18"/>
          <w:rFonts w:hint="eastAsia" w:ascii="仿宋" w:hAnsi="仿宋" w:eastAsia="仿宋" w:cs="仿宋"/>
          <w:b w:val="0"/>
          <w:sz w:val="32"/>
          <w:szCs w:val="32"/>
          <w:lang w:eastAsia="zh-CN"/>
        </w:rPr>
        <w:t>（项）</w:t>
      </w:r>
      <w:r>
        <w:rPr>
          <w:rStyle w:val="18"/>
          <w:rFonts w:hint="eastAsia" w:ascii="仿宋" w:hAnsi="仿宋" w:eastAsia="仿宋" w:cs="仿宋"/>
          <w:b w:val="0"/>
          <w:sz w:val="32"/>
          <w:szCs w:val="32"/>
        </w:rPr>
        <w:t>是指用于城市管理综合行政执法、加强城市市容和环境卫生管理方面的支出。</w:t>
      </w:r>
    </w:p>
    <w:p w14:paraId="3C9BAF16">
      <w:pPr>
        <w:spacing w:line="240" w:lineRule="auto"/>
        <w:ind w:firstLine="640" w:firstLineChars="200"/>
        <w:rPr>
          <w:rStyle w:val="18"/>
          <w:rFonts w:hint="eastAsia" w:ascii="仿宋" w:hAnsi="仿宋" w:eastAsia="仿宋" w:cs="仿宋"/>
          <w:b w:val="0"/>
          <w:bCs w:val="0"/>
          <w:color w:val="000000"/>
          <w:sz w:val="32"/>
          <w:szCs w:val="32"/>
          <w:highlight w:val="none"/>
          <w:lang w:eastAsia="zh-CN"/>
        </w:rPr>
      </w:pPr>
      <w:r>
        <w:rPr>
          <w:rFonts w:hint="eastAsia" w:ascii="仿宋" w:hAnsi="仿宋" w:eastAsia="仿宋" w:cs="仿宋"/>
          <w:b w:val="0"/>
          <w:bCs w:val="0"/>
          <w:i w:val="0"/>
          <w:caps w:val="0"/>
          <w:color w:val="000000"/>
          <w:spacing w:val="0"/>
          <w:sz w:val="32"/>
          <w:szCs w:val="32"/>
          <w:highlight w:val="none"/>
          <w:shd w:val="clear" w:color="auto" w:fill="FFFFFF"/>
          <w:lang w:val="en-US" w:eastAsia="zh-CN"/>
        </w:rPr>
        <w:t>17、</w:t>
      </w:r>
      <w:r>
        <w:rPr>
          <w:rFonts w:hint="eastAsia" w:ascii="仿宋" w:hAnsi="仿宋" w:eastAsia="仿宋" w:cs="仿宋"/>
          <w:b w:val="0"/>
          <w:bCs w:val="0"/>
          <w:color w:val="auto"/>
          <w:sz w:val="32"/>
          <w:szCs w:val="32"/>
          <w:highlight w:val="none"/>
        </w:rPr>
        <w:t>交通运输支出</w:t>
      </w:r>
      <w:r>
        <w:rPr>
          <w:rStyle w:val="18"/>
          <w:rFonts w:hint="eastAsia" w:ascii="仿宋" w:hAnsi="仿宋" w:eastAsia="仿宋" w:cs="仿宋"/>
          <w:b w:val="0"/>
          <w:bCs w:val="0"/>
          <w:color w:val="auto"/>
          <w:sz w:val="32"/>
          <w:szCs w:val="32"/>
          <w:highlight w:val="none"/>
        </w:rPr>
        <w:t>（</w:t>
      </w:r>
      <w:r>
        <w:rPr>
          <w:rStyle w:val="18"/>
          <w:rFonts w:hint="eastAsia" w:ascii="仿宋" w:hAnsi="仿宋" w:eastAsia="仿宋" w:cs="仿宋"/>
          <w:b w:val="0"/>
          <w:bCs w:val="0"/>
          <w:color w:val="000000"/>
          <w:sz w:val="32"/>
          <w:szCs w:val="32"/>
          <w:highlight w:val="none"/>
        </w:rPr>
        <w:t>类）</w:t>
      </w:r>
      <w:r>
        <w:rPr>
          <w:rStyle w:val="18"/>
          <w:rFonts w:hint="eastAsia" w:ascii="仿宋" w:hAnsi="仿宋" w:eastAsia="仿宋" w:cs="仿宋"/>
          <w:b w:val="0"/>
          <w:bCs w:val="0"/>
          <w:color w:val="000000"/>
          <w:sz w:val="32"/>
          <w:szCs w:val="32"/>
          <w:highlight w:val="none"/>
          <w:lang w:eastAsia="zh-CN"/>
        </w:rPr>
        <w:t>反映</w:t>
      </w:r>
      <w:r>
        <w:rPr>
          <w:rFonts w:hint="eastAsia" w:ascii="仿宋" w:hAnsi="仿宋" w:eastAsia="仿宋" w:cs="仿宋"/>
          <w:b w:val="0"/>
          <w:bCs w:val="0"/>
          <w:color w:val="auto"/>
          <w:sz w:val="32"/>
          <w:szCs w:val="32"/>
          <w:highlight w:val="none"/>
        </w:rPr>
        <w:t>交通运输</w:t>
      </w:r>
      <w:r>
        <w:rPr>
          <w:rFonts w:hint="eastAsia" w:ascii="仿宋" w:hAnsi="仿宋" w:eastAsia="仿宋" w:cs="仿宋"/>
          <w:b w:val="0"/>
          <w:bCs w:val="0"/>
          <w:color w:val="auto"/>
          <w:sz w:val="32"/>
          <w:szCs w:val="32"/>
          <w:highlight w:val="none"/>
          <w:lang w:eastAsia="zh-CN"/>
        </w:rPr>
        <w:t>和邮政业方面的支出。</w:t>
      </w:r>
      <w:r>
        <w:rPr>
          <w:rStyle w:val="18"/>
          <w:rFonts w:hint="eastAsia" w:ascii="仿宋" w:hAnsi="仿宋" w:eastAsia="仿宋" w:cs="仿宋"/>
          <w:b w:val="0"/>
          <w:bCs w:val="0"/>
          <w:color w:val="000000"/>
          <w:sz w:val="32"/>
          <w:szCs w:val="32"/>
          <w:highlight w:val="none"/>
        </w:rPr>
        <w:t>公路水路运输（款）</w:t>
      </w:r>
      <w:r>
        <w:rPr>
          <w:rStyle w:val="18"/>
          <w:rFonts w:hint="eastAsia" w:ascii="仿宋" w:hAnsi="仿宋" w:eastAsia="仿宋" w:cs="仿宋"/>
          <w:b w:val="0"/>
          <w:bCs w:val="0"/>
          <w:color w:val="000000"/>
          <w:sz w:val="32"/>
          <w:szCs w:val="32"/>
          <w:highlight w:val="none"/>
          <w:lang w:eastAsia="zh-CN"/>
        </w:rPr>
        <w:t>：反映</w:t>
      </w:r>
      <w:r>
        <w:rPr>
          <w:rStyle w:val="18"/>
          <w:rFonts w:hint="eastAsia" w:ascii="仿宋" w:hAnsi="仿宋" w:eastAsia="仿宋" w:cs="仿宋"/>
          <w:b w:val="0"/>
          <w:bCs w:val="0"/>
          <w:color w:val="000000"/>
          <w:sz w:val="32"/>
          <w:szCs w:val="32"/>
          <w:highlight w:val="none"/>
        </w:rPr>
        <w:t>公路水路运输</w:t>
      </w:r>
      <w:r>
        <w:rPr>
          <w:rStyle w:val="18"/>
          <w:rFonts w:hint="eastAsia" w:ascii="仿宋" w:hAnsi="仿宋" w:eastAsia="仿宋" w:cs="仿宋"/>
          <w:b w:val="0"/>
          <w:bCs w:val="0"/>
          <w:color w:val="000000"/>
          <w:sz w:val="32"/>
          <w:szCs w:val="32"/>
          <w:highlight w:val="none"/>
          <w:lang w:eastAsia="zh-CN"/>
        </w:rPr>
        <w:t>相关的支出。</w:t>
      </w:r>
      <w:r>
        <w:rPr>
          <w:rStyle w:val="18"/>
          <w:rFonts w:hint="eastAsia" w:ascii="仿宋" w:hAnsi="仿宋" w:eastAsia="仿宋" w:cs="仿宋"/>
          <w:b w:val="0"/>
          <w:bCs w:val="0"/>
          <w:color w:val="000000"/>
          <w:sz w:val="32"/>
          <w:szCs w:val="32"/>
          <w:highlight w:val="none"/>
        </w:rPr>
        <w:t>公路运输管理（项）:</w:t>
      </w:r>
      <w:r>
        <w:rPr>
          <w:rStyle w:val="18"/>
          <w:rFonts w:hint="eastAsia" w:ascii="仿宋" w:hAnsi="仿宋" w:eastAsia="仿宋" w:cs="仿宋"/>
          <w:b w:val="0"/>
          <w:bCs w:val="0"/>
          <w:color w:val="000000"/>
          <w:sz w:val="32"/>
          <w:szCs w:val="32"/>
          <w:highlight w:val="none"/>
          <w:lang w:eastAsia="zh-CN"/>
        </w:rPr>
        <w:t>反映公路运输管理支出和公路路政管理支出。</w:t>
      </w:r>
    </w:p>
    <w:p w14:paraId="7E19DDF9">
      <w:pPr>
        <w:spacing w:line="240" w:lineRule="auto"/>
        <w:ind w:firstLine="640" w:firstLineChars="200"/>
        <w:rPr>
          <w:rStyle w:val="18"/>
          <w:rFonts w:hint="eastAsia" w:ascii="仿宋" w:hAnsi="仿宋" w:eastAsia="仿宋" w:cs="仿宋"/>
          <w:b w:val="0"/>
          <w:bCs w:val="0"/>
          <w:color w:val="000000"/>
          <w:sz w:val="32"/>
          <w:szCs w:val="32"/>
          <w:highlight w:val="none"/>
          <w:lang w:eastAsia="zh-CN"/>
        </w:rPr>
      </w:pPr>
      <w:r>
        <w:rPr>
          <w:rStyle w:val="18"/>
          <w:rFonts w:hint="eastAsia" w:ascii="仿宋" w:hAnsi="仿宋" w:eastAsia="仿宋" w:cs="仿宋"/>
          <w:b w:val="0"/>
          <w:bCs w:val="0"/>
          <w:color w:val="000000"/>
          <w:sz w:val="32"/>
          <w:szCs w:val="32"/>
          <w:highlight w:val="none"/>
          <w:lang w:val="en-US" w:eastAsia="zh-CN"/>
        </w:rPr>
        <w:t>18.</w:t>
      </w:r>
      <w:r>
        <w:rPr>
          <w:rStyle w:val="18"/>
          <w:rFonts w:hint="eastAsia" w:ascii="仿宋" w:hAnsi="仿宋" w:eastAsia="仿宋" w:cs="仿宋"/>
          <w:b w:val="0"/>
          <w:bCs w:val="0"/>
          <w:color w:val="000000"/>
          <w:sz w:val="32"/>
          <w:szCs w:val="32"/>
          <w:highlight w:val="none"/>
          <w:lang w:eastAsia="zh-CN"/>
        </w:rPr>
        <w:t>住房保障支出（类）：集中反映政府用于住房方面的支出。住房改革支出（款） 反映行政事业单位用财政拨款资金和其他资金等安排的住房改革支出。住房公积金（项）:反映行政事业单位按人力资源和社会保障部、财政部规定的基本工资和津贴补贴以及规定比例为职工缴纳的住房公积金。</w:t>
      </w:r>
    </w:p>
    <w:p w14:paraId="7F1767B4">
      <w:pPr>
        <w:spacing w:line="240" w:lineRule="auto"/>
        <w:ind w:firstLine="640" w:firstLineChars="200"/>
        <w:rPr>
          <w:rStyle w:val="18"/>
          <w:rFonts w:hint="eastAsia" w:ascii="仿宋" w:hAnsi="仿宋" w:eastAsia="仿宋" w:cs="仿宋"/>
          <w:b w:val="0"/>
          <w:bCs w:val="0"/>
          <w:color w:val="000000"/>
          <w:sz w:val="32"/>
          <w:szCs w:val="32"/>
          <w:highlight w:val="none"/>
          <w:lang w:eastAsia="zh-CN"/>
        </w:rPr>
      </w:pPr>
      <w:r>
        <w:rPr>
          <w:rStyle w:val="18"/>
          <w:rFonts w:hint="eastAsia" w:ascii="仿宋" w:hAnsi="仿宋" w:eastAsia="仿宋" w:cs="仿宋"/>
          <w:b w:val="0"/>
          <w:bCs w:val="0"/>
          <w:color w:val="000000"/>
          <w:sz w:val="32"/>
          <w:szCs w:val="32"/>
          <w:highlight w:val="none"/>
          <w:lang w:val="en-US" w:eastAsia="zh-CN"/>
        </w:rPr>
        <w:t>19、</w:t>
      </w:r>
      <w:r>
        <w:rPr>
          <w:rStyle w:val="18"/>
          <w:rFonts w:hint="eastAsia" w:ascii="仿宋" w:hAnsi="仿宋" w:eastAsia="仿宋" w:cs="仿宋"/>
          <w:b w:val="0"/>
          <w:bCs w:val="0"/>
          <w:color w:val="000000"/>
          <w:sz w:val="32"/>
          <w:szCs w:val="32"/>
          <w:highlight w:val="none"/>
          <w:lang w:eastAsia="zh-CN"/>
        </w:rPr>
        <w:t>基本支出：指为保障机构正常运转、完成日常工作任务而发生的人员支出和公用支出。</w:t>
      </w:r>
    </w:p>
    <w:p w14:paraId="16C62D3E">
      <w:pPr>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20、</w:t>
      </w:r>
      <w:r>
        <w:rPr>
          <w:rFonts w:hint="eastAsia" w:ascii="仿宋" w:hAnsi="仿宋" w:eastAsia="仿宋" w:cs="仿宋"/>
          <w:color w:val="000000"/>
          <w:sz w:val="32"/>
          <w:szCs w:val="32"/>
        </w:rPr>
        <w:t xml:space="preserve">项目支出：指在基本支出之外为完成特定行政任务和事业发展目标所发生的支出。 </w:t>
      </w:r>
    </w:p>
    <w:p w14:paraId="2A7E878D">
      <w:pPr>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21、</w:t>
      </w:r>
      <w:r>
        <w:rPr>
          <w:rFonts w:hint="eastAsia" w:ascii="仿宋" w:hAnsi="仿宋" w:eastAsia="仿宋" w:cs="仿宋"/>
          <w:color w:val="000000"/>
          <w:sz w:val="32"/>
          <w:szCs w:val="32"/>
        </w:rPr>
        <w:t>经营支出：指事业单位在专业业务活动及其辅助活动之外开展非独立核算经营活动发生的支出。</w:t>
      </w:r>
    </w:p>
    <w:p w14:paraId="2A2F3843">
      <w:pPr>
        <w:pStyle w:val="27"/>
        <w:spacing w:line="560" w:lineRule="exact"/>
        <w:ind w:firstLine="640" w:firstLineChars="200"/>
        <w:rPr>
          <w:rFonts w:hint="eastAsia" w:ascii="仿宋" w:hAnsi="仿宋" w:eastAsia="仿宋" w:cs="仿宋"/>
          <w:sz w:val="32"/>
          <w:szCs w:val="32"/>
        </w:rPr>
      </w:pPr>
      <w:r>
        <w:rPr>
          <w:rFonts w:hint="eastAsia" w:hAnsi="仿宋" w:cs="仿宋"/>
          <w:sz w:val="32"/>
          <w:szCs w:val="32"/>
          <w:lang w:val="en-US" w:eastAsia="zh-CN"/>
        </w:rPr>
        <w:t>22、</w:t>
      </w:r>
      <w:r>
        <w:rPr>
          <w:rFonts w:hint="eastAsia" w:ascii="仿宋" w:hAnsi="仿宋" w:eastAsia="仿宋" w:cs="仿宋"/>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1BB80EFE">
      <w:pPr>
        <w:pStyle w:val="27"/>
        <w:spacing w:line="560" w:lineRule="exact"/>
        <w:ind w:firstLine="640" w:firstLineChars="200"/>
        <w:rPr>
          <w:rFonts w:hint="eastAsia" w:ascii="仿宋" w:hAnsi="仿宋" w:eastAsia="仿宋" w:cs="仿宋"/>
          <w:sz w:val="32"/>
          <w:szCs w:val="32"/>
        </w:rPr>
      </w:pPr>
      <w:r>
        <w:rPr>
          <w:rFonts w:hint="eastAsia" w:hAnsi="仿宋" w:cs="仿宋"/>
          <w:sz w:val="32"/>
          <w:szCs w:val="32"/>
          <w:lang w:val="en-US" w:eastAsia="zh-CN"/>
        </w:rPr>
        <w:t>23、</w:t>
      </w:r>
      <w:r>
        <w:rPr>
          <w:rFonts w:hint="eastAsia" w:ascii="仿宋" w:hAnsi="仿宋" w:eastAsia="仿宋" w:cs="仿宋"/>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33BC7BE3">
      <w:pPr>
        <w:spacing w:line="600" w:lineRule="exact"/>
        <w:jc w:val="center"/>
        <w:outlineLvl w:val="0"/>
        <w:rPr>
          <w:rStyle w:val="29"/>
          <w:rFonts w:ascii="黑体" w:hAnsi="黑体" w:eastAsia="黑体"/>
          <w:b w:val="0"/>
        </w:rPr>
      </w:pPr>
      <w:r>
        <w:rPr>
          <w:rFonts w:ascii="宋体"/>
          <w:b/>
          <w:sz w:val="44"/>
          <w:szCs w:val="44"/>
        </w:rPr>
        <w:br w:type="page"/>
      </w:r>
      <w:bookmarkStart w:id="71" w:name="_Toc15396614"/>
      <w:bookmarkStart w:id="72" w:name="_Toc4653"/>
      <w:r>
        <w:rPr>
          <w:rFonts w:hint="eastAsia" w:ascii="黑体" w:hAnsi="黑体" w:eastAsia="黑体"/>
          <w:sz w:val="44"/>
          <w:szCs w:val="44"/>
        </w:rPr>
        <w:t>第</w:t>
      </w:r>
      <w:r>
        <w:rPr>
          <w:rStyle w:val="29"/>
          <w:rFonts w:hint="eastAsia" w:ascii="黑体" w:hAnsi="黑体" w:eastAsia="黑体"/>
          <w:b w:val="0"/>
        </w:rPr>
        <w:t>四部分 附件</w:t>
      </w:r>
      <w:bookmarkEnd w:id="71"/>
      <w:bookmarkEnd w:id="72"/>
    </w:p>
    <w:p w14:paraId="6973112A">
      <w:pPr>
        <w:spacing w:line="572" w:lineRule="exact"/>
        <w:jc w:val="left"/>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部门预算项目支出绩效自评表（2024年度）</w:t>
      </w:r>
    </w:p>
    <w:p w14:paraId="23D29DF3">
      <w:pPr>
        <w:spacing w:line="572" w:lineRule="exact"/>
        <w:jc w:val="left"/>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本单位202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年度无项目支出。</w:t>
      </w:r>
    </w:p>
    <w:bookmarkEnd w:id="70"/>
    <w:p w14:paraId="7621A2C9">
      <w:pPr>
        <w:pStyle w:val="6"/>
        <w:jc w:val="center"/>
        <w:rPr>
          <w:rFonts w:hint="eastAsia" w:ascii="黑体" w:hAnsi="黑体" w:eastAsia="黑体" w:cs="黑体"/>
          <w:b w:val="0"/>
          <w:sz w:val="40"/>
          <w:szCs w:val="40"/>
        </w:rPr>
      </w:pPr>
      <w:bookmarkStart w:id="73" w:name="_Toc18903"/>
      <w:bookmarkStart w:id="74" w:name="_Toc15396619"/>
      <w:r>
        <w:rPr>
          <w:rFonts w:hint="eastAsia" w:ascii="黑体" w:hAnsi="黑体" w:eastAsia="黑体" w:cs="黑体"/>
          <w:b w:val="0"/>
          <w:sz w:val="40"/>
          <w:szCs w:val="40"/>
        </w:rPr>
        <w:t>第五部分</w:t>
      </w:r>
      <w:r>
        <w:rPr>
          <w:rFonts w:hint="eastAsia" w:ascii="黑体" w:hAnsi="黑体" w:eastAsia="黑体" w:cs="黑体"/>
          <w:b w:val="0"/>
          <w:sz w:val="40"/>
          <w:szCs w:val="40"/>
          <w:lang w:val="en-US" w:eastAsia="zh-CN"/>
        </w:rPr>
        <w:t xml:space="preserve"> </w:t>
      </w:r>
      <w:r>
        <w:rPr>
          <w:rFonts w:hint="eastAsia" w:ascii="黑体" w:hAnsi="黑体" w:eastAsia="黑体" w:cs="黑体"/>
          <w:b w:val="0"/>
          <w:sz w:val="40"/>
          <w:szCs w:val="40"/>
        </w:rPr>
        <w:t>附表</w:t>
      </w:r>
    </w:p>
    <w:p w14:paraId="7CB66922">
      <w:pPr>
        <w:pStyle w:val="6"/>
        <w:rPr>
          <w:rFonts w:ascii="仿宋" w:hAnsi="仿宋" w:eastAsia="仿宋"/>
        </w:rPr>
      </w:pPr>
      <w:r>
        <w:rPr>
          <w:rFonts w:hint="eastAsia" w:ascii="仿宋" w:hAnsi="仿宋" w:eastAsia="仿宋"/>
          <w:b w:val="0"/>
        </w:rPr>
        <w:t>一、收</w:t>
      </w:r>
      <w:r>
        <w:rPr>
          <w:rStyle w:val="30"/>
          <w:rFonts w:hint="eastAsia" w:ascii="仿宋" w:hAnsi="仿宋" w:eastAsia="仿宋"/>
          <w:b w:val="0"/>
          <w:bCs w:val="0"/>
        </w:rPr>
        <w:t>入支出决算总表</w:t>
      </w:r>
      <w:bookmarkEnd w:id="73"/>
      <w:bookmarkEnd w:id="74"/>
    </w:p>
    <w:p w14:paraId="4A942E36">
      <w:pPr>
        <w:pStyle w:val="6"/>
        <w:rPr>
          <w:rFonts w:ascii="仿宋" w:hAnsi="仿宋" w:eastAsia="仿宋"/>
        </w:rPr>
      </w:pPr>
      <w:bookmarkStart w:id="75" w:name="_Toc15396620"/>
      <w:bookmarkStart w:id="76" w:name="_Toc24427"/>
      <w:r>
        <w:rPr>
          <w:rFonts w:hint="eastAsia" w:ascii="仿宋" w:hAnsi="仿宋" w:eastAsia="仿宋"/>
          <w:b w:val="0"/>
        </w:rPr>
        <w:t>二、收</w:t>
      </w:r>
      <w:r>
        <w:rPr>
          <w:rStyle w:val="30"/>
          <w:rFonts w:hint="eastAsia" w:ascii="仿宋" w:hAnsi="仿宋" w:eastAsia="仿宋"/>
          <w:b w:val="0"/>
          <w:bCs w:val="0"/>
        </w:rPr>
        <w:t>入决算表</w:t>
      </w:r>
      <w:bookmarkEnd w:id="75"/>
      <w:bookmarkEnd w:id="76"/>
    </w:p>
    <w:p w14:paraId="3959C686">
      <w:pPr>
        <w:pStyle w:val="6"/>
        <w:rPr>
          <w:rFonts w:ascii="仿宋" w:hAnsi="仿宋" w:eastAsia="仿宋"/>
        </w:rPr>
      </w:pPr>
      <w:bookmarkStart w:id="77" w:name="_Toc15396621"/>
      <w:bookmarkStart w:id="78" w:name="_Toc1770"/>
      <w:r>
        <w:rPr>
          <w:rStyle w:val="30"/>
          <w:rFonts w:hint="eastAsia" w:ascii="仿宋" w:hAnsi="仿宋" w:eastAsia="仿宋"/>
          <w:b w:val="0"/>
          <w:bCs w:val="0"/>
        </w:rPr>
        <w:t>三、</w:t>
      </w:r>
      <w:r>
        <w:rPr>
          <w:rFonts w:hint="eastAsia" w:ascii="仿宋" w:hAnsi="仿宋" w:eastAsia="仿宋"/>
          <w:b w:val="0"/>
        </w:rPr>
        <w:t>支</w:t>
      </w:r>
      <w:r>
        <w:rPr>
          <w:rStyle w:val="30"/>
          <w:rFonts w:hint="eastAsia" w:ascii="仿宋" w:hAnsi="仿宋" w:eastAsia="仿宋"/>
          <w:b w:val="0"/>
          <w:bCs w:val="0"/>
        </w:rPr>
        <w:t>出决算表</w:t>
      </w:r>
      <w:bookmarkEnd w:id="77"/>
      <w:bookmarkEnd w:id="78"/>
    </w:p>
    <w:p w14:paraId="65370312">
      <w:pPr>
        <w:pStyle w:val="6"/>
        <w:rPr>
          <w:rFonts w:ascii="仿宋" w:hAnsi="仿宋" w:eastAsia="仿宋"/>
          <w:b w:val="0"/>
        </w:rPr>
      </w:pPr>
      <w:bookmarkStart w:id="79" w:name="_Toc15396622"/>
      <w:bookmarkStart w:id="80" w:name="_Toc3627"/>
      <w:r>
        <w:rPr>
          <w:rStyle w:val="30"/>
          <w:rFonts w:hint="eastAsia" w:ascii="仿宋" w:hAnsi="仿宋" w:eastAsia="仿宋"/>
          <w:b w:val="0"/>
          <w:bCs w:val="0"/>
        </w:rPr>
        <w:t>四、</w:t>
      </w:r>
      <w:r>
        <w:rPr>
          <w:rFonts w:hint="eastAsia" w:ascii="仿宋" w:hAnsi="仿宋" w:eastAsia="仿宋"/>
          <w:b w:val="0"/>
        </w:rPr>
        <w:t>财</w:t>
      </w:r>
      <w:r>
        <w:rPr>
          <w:rStyle w:val="30"/>
          <w:rFonts w:hint="eastAsia" w:ascii="仿宋" w:hAnsi="仿宋" w:eastAsia="仿宋"/>
          <w:b w:val="0"/>
          <w:bCs w:val="0"/>
        </w:rPr>
        <w:t>政拨款收入支出决算总表</w:t>
      </w:r>
      <w:bookmarkEnd w:id="79"/>
      <w:bookmarkEnd w:id="80"/>
    </w:p>
    <w:p w14:paraId="72413AFF">
      <w:pPr>
        <w:pStyle w:val="6"/>
        <w:rPr>
          <w:rStyle w:val="30"/>
          <w:rFonts w:ascii="仿宋" w:hAnsi="仿宋" w:eastAsia="仿宋"/>
          <w:b w:val="0"/>
          <w:bCs w:val="0"/>
        </w:rPr>
      </w:pPr>
      <w:bookmarkStart w:id="81" w:name="_Toc15396623"/>
      <w:bookmarkStart w:id="82" w:name="_Toc7131"/>
      <w:r>
        <w:rPr>
          <w:rStyle w:val="30"/>
          <w:rFonts w:hint="eastAsia" w:ascii="仿宋" w:hAnsi="仿宋" w:eastAsia="仿宋"/>
          <w:b w:val="0"/>
          <w:bCs w:val="0"/>
        </w:rPr>
        <w:t>五、</w:t>
      </w:r>
      <w:r>
        <w:rPr>
          <w:rFonts w:hint="eastAsia" w:ascii="仿宋" w:hAnsi="仿宋" w:eastAsia="仿宋"/>
          <w:b w:val="0"/>
        </w:rPr>
        <w:t>财</w:t>
      </w:r>
      <w:r>
        <w:rPr>
          <w:rStyle w:val="30"/>
          <w:rFonts w:hint="eastAsia" w:ascii="仿宋" w:hAnsi="仿宋" w:eastAsia="仿宋"/>
          <w:b w:val="0"/>
          <w:bCs w:val="0"/>
        </w:rPr>
        <w:t>政拨款支出决算明细表</w:t>
      </w:r>
      <w:bookmarkEnd w:id="81"/>
      <w:bookmarkEnd w:id="82"/>
      <w:bookmarkStart w:id="83" w:name="_Toc15396624"/>
    </w:p>
    <w:p w14:paraId="1D3D8438">
      <w:pPr>
        <w:pStyle w:val="6"/>
        <w:rPr>
          <w:rFonts w:ascii="仿宋" w:hAnsi="仿宋" w:eastAsia="仿宋"/>
        </w:rPr>
      </w:pPr>
      <w:bookmarkStart w:id="84" w:name="_Toc29284"/>
      <w:r>
        <w:rPr>
          <w:rStyle w:val="30"/>
          <w:rFonts w:hint="eastAsia" w:ascii="仿宋" w:hAnsi="仿宋" w:eastAsia="仿宋"/>
          <w:b w:val="0"/>
          <w:bCs w:val="0"/>
        </w:rPr>
        <w:t>六、</w:t>
      </w:r>
      <w:r>
        <w:rPr>
          <w:rFonts w:hint="eastAsia" w:ascii="仿宋" w:hAnsi="仿宋" w:eastAsia="仿宋"/>
          <w:b w:val="0"/>
        </w:rPr>
        <w:t>一</w:t>
      </w:r>
      <w:r>
        <w:rPr>
          <w:rStyle w:val="30"/>
          <w:rFonts w:hint="eastAsia" w:ascii="仿宋" w:hAnsi="仿宋" w:eastAsia="仿宋"/>
          <w:b w:val="0"/>
          <w:bCs w:val="0"/>
        </w:rPr>
        <w:t>般公共预算财政拨款支出决算表</w:t>
      </w:r>
      <w:bookmarkEnd w:id="83"/>
      <w:bookmarkEnd w:id="84"/>
    </w:p>
    <w:p w14:paraId="17C0D37F">
      <w:pPr>
        <w:pStyle w:val="6"/>
        <w:rPr>
          <w:rFonts w:ascii="仿宋" w:hAnsi="仿宋" w:eastAsia="仿宋"/>
        </w:rPr>
      </w:pPr>
      <w:bookmarkStart w:id="85" w:name="_Toc15396625"/>
      <w:bookmarkStart w:id="86" w:name="_Toc29225"/>
      <w:r>
        <w:rPr>
          <w:rStyle w:val="30"/>
          <w:rFonts w:hint="eastAsia" w:ascii="仿宋" w:hAnsi="仿宋" w:eastAsia="仿宋"/>
          <w:b w:val="0"/>
          <w:bCs w:val="0"/>
        </w:rPr>
        <w:t>七、</w:t>
      </w:r>
      <w:r>
        <w:rPr>
          <w:rFonts w:hint="eastAsia" w:ascii="仿宋" w:hAnsi="仿宋" w:eastAsia="仿宋"/>
          <w:b w:val="0"/>
        </w:rPr>
        <w:t>一</w:t>
      </w:r>
      <w:r>
        <w:rPr>
          <w:rStyle w:val="30"/>
          <w:rFonts w:hint="eastAsia" w:ascii="仿宋" w:hAnsi="仿宋" w:eastAsia="仿宋"/>
          <w:b w:val="0"/>
          <w:bCs w:val="0"/>
        </w:rPr>
        <w:t>般公共预算财政拨款支出决算明细表</w:t>
      </w:r>
      <w:bookmarkEnd w:id="85"/>
      <w:bookmarkEnd w:id="86"/>
    </w:p>
    <w:p w14:paraId="3AFEABAB">
      <w:pPr>
        <w:pStyle w:val="6"/>
        <w:rPr>
          <w:rFonts w:ascii="仿宋" w:hAnsi="仿宋" w:eastAsia="仿宋"/>
        </w:rPr>
      </w:pPr>
      <w:bookmarkStart w:id="87" w:name="_Toc8746"/>
      <w:bookmarkStart w:id="88" w:name="_Toc15396626"/>
      <w:r>
        <w:rPr>
          <w:rStyle w:val="30"/>
          <w:rFonts w:hint="eastAsia" w:ascii="仿宋" w:hAnsi="仿宋" w:eastAsia="仿宋"/>
          <w:b w:val="0"/>
          <w:bCs w:val="0"/>
        </w:rPr>
        <w:t>八、</w:t>
      </w:r>
      <w:r>
        <w:rPr>
          <w:rFonts w:hint="eastAsia" w:ascii="仿宋" w:hAnsi="仿宋" w:eastAsia="仿宋"/>
          <w:b w:val="0"/>
        </w:rPr>
        <w:t>一</w:t>
      </w:r>
      <w:r>
        <w:rPr>
          <w:rStyle w:val="30"/>
          <w:rFonts w:hint="eastAsia" w:ascii="仿宋" w:hAnsi="仿宋" w:eastAsia="仿宋"/>
          <w:b w:val="0"/>
          <w:bCs w:val="0"/>
        </w:rPr>
        <w:t>般公共预算财政拨款基本支出决算表</w:t>
      </w:r>
      <w:bookmarkEnd w:id="87"/>
      <w:bookmarkEnd w:id="88"/>
    </w:p>
    <w:p w14:paraId="66FE11BA">
      <w:pPr>
        <w:pStyle w:val="6"/>
        <w:rPr>
          <w:rFonts w:ascii="仿宋" w:hAnsi="仿宋" w:eastAsia="仿宋"/>
        </w:rPr>
      </w:pPr>
      <w:bookmarkStart w:id="89" w:name="_Toc15396627"/>
      <w:bookmarkStart w:id="90" w:name="_Toc6116"/>
      <w:r>
        <w:rPr>
          <w:rStyle w:val="30"/>
          <w:rFonts w:hint="eastAsia" w:ascii="仿宋" w:hAnsi="仿宋" w:eastAsia="仿宋"/>
          <w:b w:val="0"/>
          <w:bCs w:val="0"/>
        </w:rPr>
        <w:t>九、</w:t>
      </w:r>
      <w:r>
        <w:rPr>
          <w:rFonts w:hint="eastAsia" w:ascii="仿宋" w:hAnsi="仿宋" w:eastAsia="仿宋"/>
          <w:b w:val="0"/>
        </w:rPr>
        <w:t>一</w:t>
      </w:r>
      <w:r>
        <w:rPr>
          <w:rStyle w:val="30"/>
          <w:rFonts w:hint="eastAsia" w:ascii="仿宋" w:hAnsi="仿宋" w:eastAsia="仿宋"/>
          <w:b w:val="0"/>
          <w:bCs w:val="0"/>
        </w:rPr>
        <w:t>般公共预算财政拨款项目支出决算表</w:t>
      </w:r>
      <w:bookmarkEnd w:id="89"/>
      <w:bookmarkEnd w:id="90"/>
    </w:p>
    <w:p w14:paraId="39951A92">
      <w:pPr>
        <w:pStyle w:val="6"/>
        <w:rPr>
          <w:rFonts w:ascii="仿宋" w:hAnsi="仿宋" w:eastAsia="仿宋"/>
        </w:rPr>
      </w:pPr>
      <w:bookmarkStart w:id="91" w:name="_Toc15396628"/>
      <w:bookmarkStart w:id="92" w:name="_Toc10865"/>
      <w:r>
        <w:rPr>
          <w:rStyle w:val="30"/>
          <w:rFonts w:hint="eastAsia" w:ascii="仿宋" w:hAnsi="仿宋" w:eastAsia="仿宋"/>
          <w:b w:val="0"/>
          <w:bCs w:val="0"/>
        </w:rPr>
        <w:t>十、</w:t>
      </w:r>
      <w:bookmarkEnd w:id="91"/>
      <w:r>
        <w:rPr>
          <w:rFonts w:hint="eastAsia" w:ascii="仿宋" w:hAnsi="仿宋" w:eastAsia="仿宋"/>
          <w:b w:val="0"/>
        </w:rPr>
        <w:t>政</w:t>
      </w:r>
      <w:r>
        <w:rPr>
          <w:rStyle w:val="30"/>
          <w:rFonts w:hint="eastAsia" w:ascii="仿宋" w:hAnsi="仿宋" w:eastAsia="仿宋"/>
          <w:b w:val="0"/>
          <w:bCs w:val="0"/>
        </w:rPr>
        <w:t>府性基金预算财政拨款收入支出决算表</w:t>
      </w:r>
      <w:bookmarkEnd w:id="92"/>
    </w:p>
    <w:p w14:paraId="4696CC16">
      <w:pPr>
        <w:pStyle w:val="6"/>
        <w:rPr>
          <w:rFonts w:ascii="仿宋" w:hAnsi="仿宋" w:eastAsia="仿宋"/>
        </w:rPr>
      </w:pPr>
      <w:bookmarkStart w:id="93" w:name="_Toc15396629"/>
      <w:bookmarkStart w:id="94" w:name="_Toc18634"/>
      <w:r>
        <w:rPr>
          <w:rStyle w:val="30"/>
          <w:rFonts w:hint="eastAsia" w:ascii="仿宋" w:hAnsi="仿宋" w:eastAsia="仿宋"/>
          <w:b w:val="0"/>
          <w:bCs w:val="0"/>
        </w:rPr>
        <w:t>十一、</w:t>
      </w:r>
      <w:bookmarkEnd w:id="93"/>
      <w:r>
        <w:rPr>
          <w:rFonts w:hint="eastAsia" w:ascii="仿宋" w:hAnsi="仿宋" w:eastAsia="仿宋"/>
          <w:b w:val="0"/>
        </w:rPr>
        <w:t>国</w:t>
      </w:r>
      <w:r>
        <w:rPr>
          <w:rStyle w:val="30"/>
          <w:rFonts w:hint="eastAsia" w:ascii="仿宋" w:hAnsi="仿宋" w:eastAsia="仿宋"/>
          <w:b w:val="0"/>
          <w:bCs w:val="0"/>
        </w:rPr>
        <w:t>有资本经营预算财政拨款收入支出决算表</w:t>
      </w:r>
      <w:bookmarkEnd w:id="94"/>
    </w:p>
    <w:p w14:paraId="6BE88286">
      <w:pPr>
        <w:pStyle w:val="6"/>
        <w:rPr>
          <w:rFonts w:ascii="仿宋" w:hAnsi="仿宋" w:eastAsia="仿宋"/>
        </w:rPr>
      </w:pPr>
      <w:bookmarkStart w:id="95" w:name="_Toc15396630"/>
      <w:bookmarkStart w:id="96" w:name="_Toc6192"/>
      <w:r>
        <w:rPr>
          <w:rStyle w:val="30"/>
          <w:rFonts w:hint="eastAsia" w:ascii="仿宋" w:hAnsi="仿宋" w:eastAsia="仿宋"/>
          <w:b w:val="0"/>
          <w:bCs w:val="0"/>
        </w:rPr>
        <w:t>十二、</w:t>
      </w:r>
      <w:bookmarkEnd w:id="95"/>
      <w:r>
        <w:rPr>
          <w:rStyle w:val="30"/>
          <w:rFonts w:hint="eastAsia" w:ascii="仿宋" w:hAnsi="仿宋" w:eastAsia="仿宋"/>
          <w:b w:val="0"/>
          <w:bCs w:val="0"/>
        </w:rPr>
        <w:t>国有资本经营预算财政拨款支出决算表</w:t>
      </w:r>
      <w:bookmarkEnd w:id="96"/>
    </w:p>
    <w:p w14:paraId="7E7F3FA7">
      <w:pPr>
        <w:pStyle w:val="6"/>
        <w:rPr>
          <w:rStyle w:val="30"/>
          <w:rFonts w:hint="eastAsia" w:ascii="仿宋" w:hAnsi="仿宋" w:eastAsia="仿宋"/>
          <w:b w:val="0"/>
          <w:bCs w:val="0"/>
        </w:rPr>
      </w:pPr>
      <w:bookmarkStart w:id="97" w:name="_Toc15396631"/>
      <w:bookmarkStart w:id="98" w:name="_Toc25952"/>
      <w:r>
        <w:rPr>
          <w:rStyle w:val="30"/>
          <w:rFonts w:hint="eastAsia" w:ascii="仿宋" w:hAnsi="仿宋" w:eastAsia="仿宋"/>
          <w:b w:val="0"/>
          <w:bCs w:val="0"/>
        </w:rPr>
        <w:t>十三、</w:t>
      </w:r>
      <w:bookmarkEnd w:id="97"/>
      <w:r>
        <w:rPr>
          <w:rStyle w:val="30"/>
          <w:rFonts w:hint="eastAsia" w:ascii="仿宋" w:hAnsi="仿宋" w:eastAsia="仿宋"/>
          <w:b w:val="0"/>
          <w:bCs w:val="0"/>
        </w:rPr>
        <w:t>财政拨款“三公”经费支出决算表</w:t>
      </w:r>
      <w:bookmarkEnd w:id="98"/>
    </w:p>
    <w:p w14:paraId="2E6CF972">
      <w:pPr>
        <w:pStyle w:val="6"/>
      </w:pPr>
      <w:bookmarkStart w:id="99" w:name="_Toc23448"/>
      <w:r>
        <w:rPr>
          <w:rStyle w:val="37"/>
          <w:rFonts w:hint="eastAsia" w:ascii="仿宋" w:hAnsi="仿宋" w:eastAsia="仿宋"/>
          <w:b w:val="0"/>
          <w:bCs w:val="0"/>
          <w:color w:val="auto"/>
          <w:highlight w:val="none"/>
          <w:lang w:eastAsia="zh-CN"/>
        </w:rPr>
        <w:t>注：以上附表详见《</w:t>
      </w:r>
      <w:r>
        <w:rPr>
          <w:rStyle w:val="38"/>
          <w:rFonts w:hint="eastAsia" w:ascii="仿宋" w:hAnsi="仿宋" w:eastAsia="仿宋" w:cs="仿宋"/>
          <w:b w:val="0"/>
          <w:bCs/>
          <w:color w:val="auto"/>
          <w:sz w:val="32"/>
          <w:szCs w:val="32"/>
          <w:highlight w:val="none"/>
          <w:lang w:eastAsia="zh-CN"/>
        </w:rPr>
        <w:t>五通桥区城市管理监察大队</w:t>
      </w:r>
      <w:r>
        <w:rPr>
          <w:rStyle w:val="37"/>
          <w:rFonts w:hint="eastAsia" w:ascii="仿宋" w:hAnsi="仿宋" w:eastAsia="仿宋"/>
          <w:b w:val="0"/>
          <w:bCs w:val="0"/>
          <w:color w:val="auto"/>
          <w:highlight w:val="none"/>
          <w:lang w:eastAsia="zh-CN"/>
        </w:rPr>
        <w:t>2024年决算公开表》</w:t>
      </w:r>
      <w:bookmarkEnd w:id="99"/>
    </w:p>
    <w:sectPr>
      <w:headerReference r:id="rId4" w:type="first"/>
      <w:footerReference r:id="rId6" w:type="first"/>
      <w:headerReference r:id="rId3" w:type="default"/>
      <w:footerReference r:id="rId5" w:type="default"/>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auto"/>
    <w:pitch w:val="default"/>
    <w:sig w:usb0="E4002EFF" w:usb1="C000247B" w:usb2="00000009" w:usb3="00000000" w:csb0="200001FF" w:csb1="00000000"/>
  </w:font>
  <w:font w:name="方正小标宋简体">
    <w:altName w:val="黑体"/>
    <w:panose1 w:val="03000509000000000000"/>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781956"/>
    </w:sdtPr>
    <w:sdtContent>
      <w:p w14:paraId="4A7AA607">
        <w:pPr>
          <w:pStyle w:val="10"/>
          <w:jc w:val="center"/>
        </w:pPr>
        <w:r>
          <w:fldChar w:fldCharType="begin"/>
        </w:r>
        <w:r>
          <w:instrText xml:space="preserve">PAGE   \* MERGEFORMAT</w:instrText>
        </w:r>
        <w:r>
          <w:fldChar w:fldCharType="separate"/>
        </w:r>
        <w:r>
          <w:rPr>
            <w:lang w:val="zh-CN"/>
          </w:rPr>
          <w:t>15</w:t>
        </w:r>
        <w:r>
          <w:fldChar w:fldCharType="end"/>
        </w:r>
      </w:p>
    </w:sdtContent>
  </w:sdt>
  <w:p w14:paraId="67DF079C">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23810C">
    <w:pPr>
      <w:pStyle w:val="1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0A5233B">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30A5233B">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FE80BD">
    <w:pPr>
      <w:pStyle w:val="11"/>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D8296E">
    <w:pPr>
      <w:pStyle w:val="1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2">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VkY2FlMGQyNDEzM2Q3ODNlYmRhZTM0YmMzNGFlY2M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A1DAD"/>
    <w:rsid w:val="001C0962"/>
    <w:rsid w:val="001D7531"/>
    <w:rsid w:val="001E737D"/>
    <w:rsid w:val="001F0592"/>
    <w:rsid w:val="001F7506"/>
    <w:rsid w:val="002006CD"/>
    <w:rsid w:val="00202B36"/>
    <w:rsid w:val="00204B7A"/>
    <w:rsid w:val="00204CDE"/>
    <w:rsid w:val="00206907"/>
    <w:rsid w:val="0021101A"/>
    <w:rsid w:val="00212B4A"/>
    <w:rsid w:val="00220536"/>
    <w:rsid w:val="00235629"/>
    <w:rsid w:val="00260C38"/>
    <w:rsid w:val="002616C0"/>
    <w:rsid w:val="00265372"/>
    <w:rsid w:val="002662AA"/>
    <w:rsid w:val="00280496"/>
    <w:rsid w:val="00294DC9"/>
    <w:rsid w:val="00295495"/>
    <w:rsid w:val="002A31DE"/>
    <w:rsid w:val="002B2613"/>
    <w:rsid w:val="002C5004"/>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25C50"/>
    <w:rsid w:val="0043177C"/>
    <w:rsid w:val="00434489"/>
    <w:rsid w:val="00437085"/>
    <w:rsid w:val="00443880"/>
    <w:rsid w:val="004464F4"/>
    <w:rsid w:val="0046049C"/>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533CF"/>
    <w:rsid w:val="005664BB"/>
    <w:rsid w:val="00566FFA"/>
    <w:rsid w:val="0057481D"/>
    <w:rsid w:val="0058486E"/>
    <w:rsid w:val="00585B33"/>
    <w:rsid w:val="0059014D"/>
    <w:rsid w:val="005B5C64"/>
    <w:rsid w:val="005B6E8A"/>
    <w:rsid w:val="005C5337"/>
    <w:rsid w:val="005C6BD0"/>
    <w:rsid w:val="005D1C8B"/>
    <w:rsid w:val="005D468D"/>
    <w:rsid w:val="005D5CED"/>
    <w:rsid w:val="005F10BC"/>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55FC5"/>
    <w:rsid w:val="0066343B"/>
    <w:rsid w:val="00664777"/>
    <w:rsid w:val="006748A4"/>
    <w:rsid w:val="00681A31"/>
    <w:rsid w:val="00683E73"/>
    <w:rsid w:val="006A3141"/>
    <w:rsid w:val="006A5E34"/>
    <w:rsid w:val="006B2422"/>
    <w:rsid w:val="006B2B9A"/>
    <w:rsid w:val="006C1937"/>
    <w:rsid w:val="006F020C"/>
    <w:rsid w:val="0071021A"/>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102"/>
    <w:rsid w:val="00813348"/>
    <w:rsid w:val="008253BB"/>
    <w:rsid w:val="0083706E"/>
    <w:rsid w:val="008408F6"/>
    <w:rsid w:val="008423A5"/>
    <w:rsid w:val="00850625"/>
    <w:rsid w:val="00853718"/>
    <w:rsid w:val="00855221"/>
    <w:rsid w:val="00860645"/>
    <w:rsid w:val="0087167F"/>
    <w:rsid w:val="00871F71"/>
    <w:rsid w:val="00872FD8"/>
    <w:rsid w:val="00885AF4"/>
    <w:rsid w:val="008939CD"/>
    <w:rsid w:val="008B768C"/>
    <w:rsid w:val="008C4DB1"/>
    <w:rsid w:val="008C4EAF"/>
    <w:rsid w:val="008C5176"/>
    <w:rsid w:val="008C7FD0"/>
    <w:rsid w:val="008C7FD8"/>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1E6F"/>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4C6B51"/>
    <w:rsid w:val="01650688"/>
    <w:rsid w:val="01EC3E90"/>
    <w:rsid w:val="021127C6"/>
    <w:rsid w:val="03DC2831"/>
    <w:rsid w:val="04071455"/>
    <w:rsid w:val="056A57F8"/>
    <w:rsid w:val="06BA455D"/>
    <w:rsid w:val="07126147"/>
    <w:rsid w:val="081B5E94"/>
    <w:rsid w:val="082563B7"/>
    <w:rsid w:val="086C7A3D"/>
    <w:rsid w:val="09151807"/>
    <w:rsid w:val="09C00652"/>
    <w:rsid w:val="0A2032A3"/>
    <w:rsid w:val="0A2F4616"/>
    <w:rsid w:val="0ACD1DF8"/>
    <w:rsid w:val="0B8A37D8"/>
    <w:rsid w:val="0BC91C49"/>
    <w:rsid w:val="0C7C4062"/>
    <w:rsid w:val="0D441024"/>
    <w:rsid w:val="0E010BCA"/>
    <w:rsid w:val="0E364E11"/>
    <w:rsid w:val="0E4A528C"/>
    <w:rsid w:val="0F20064F"/>
    <w:rsid w:val="0F5FFB2F"/>
    <w:rsid w:val="0FB3423F"/>
    <w:rsid w:val="0FFFCF60"/>
    <w:rsid w:val="108030D5"/>
    <w:rsid w:val="10C055FF"/>
    <w:rsid w:val="118107EC"/>
    <w:rsid w:val="11DD6519"/>
    <w:rsid w:val="122431D2"/>
    <w:rsid w:val="125941F4"/>
    <w:rsid w:val="12A25A36"/>
    <w:rsid w:val="12DD4691"/>
    <w:rsid w:val="130A686C"/>
    <w:rsid w:val="132A4EF0"/>
    <w:rsid w:val="13FD1F2D"/>
    <w:rsid w:val="149503B7"/>
    <w:rsid w:val="1514752E"/>
    <w:rsid w:val="156F5830"/>
    <w:rsid w:val="16074DE4"/>
    <w:rsid w:val="16192424"/>
    <w:rsid w:val="16BB723D"/>
    <w:rsid w:val="17CC0594"/>
    <w:rsid w:val="18015F3F"/>
    <w:rsid w:val="18351C95"/>
    <w:rsid w:val="186E5950"/>
    <w:rsid w:val="191A0E8B"/>
    <w:rsid w:val="1A3A17E5"/>
    <w:rsid w:val="1A7B4BA5"/>
    <w:rsid w:val="1A8E1B30"/>
    <w:rsid w:val="1A9908E0"/>
    <w:rsid w:val="1BE8440E"/>
    <w:rsid w:val="1C4701E9"/>
    <w:rsid w:val="1C4A5F90"/>
    <w:rsid w:val="1CF57C45"/>
    <w:rsid w:val="1D155CEE"/>
    <w:rsid w:val="1DDC2BB3"/>
    <w:rsid w:val="1E2A133F"/>
    <w:rsid w:val="1EB458DE"/>
    <w:rsid w:val="1F523D91"/>
    <w:rsid w:val="1F634658"/>
    <w:rsid w:val="1FD954E8"/>
    <w:rsid w:val="1FDBBF84"/>
    <w:rsid w:val="20B3409F"/>
    <w:rsid w:val="20F57F95"/>
    <w:rsid w:val="21020B82"/>
    <w:rsid w:val="211014F1"/>
    <w:rsid w:val="2342170A"/>
    <w:rsid w:val="2390568A"/>
    <w:rsid w:val="240371BF"/>
    <w:rsid w:val="241C052D"/>
    <w:rsid w:val="246464A4"/>
    <w:rsid w:val="24FF7E3F"/>
    <w:rsid w:val="25711CC6"/>
    <w:rsid w:val="25C741E6"/>
    <w:rsid w:val="26870085"/>
    <w:rsid w:val="276F80C0"/>
    <w:rsid w:val="27842671"/>
    <w:rsid w:val="27F9431E"/>
    <w:rsid w:val="28092488"/>
    <w:rsid w:val="28D154D1"/>
    <w:rsid w:val="29445AC2"/>
    <w:rsid w:val="2983172A"/>
    <w:rsid w:val="29FD04D3"/>
    <w:rsid w:val="2AB90504"/>
    <w:rsid w:val="2ABE7A3E"/>
    <w:rsid w:val="2AFF09B6"/>
    <w:rsid w:val="2B4B2D6A"/>
    <w:rsid w:val="2BB62F23"/>
    <w:rsid w:val="2BBE346C"/>
    <w:rsid w:val="2CA234A8"/>
    <w:rsid w:val="2DFA0AE1"/>
    <w:rsid w:val="2E6C4895"/>
    <w:rsid w:val="2EFA178C"/>
    <w:rsid w:val="2EFDF86C"/>
    <w:rsid w:val="2F740E9D"/>
    <w:rsid w:val="2F9D17E1"/>
    <w:rsid w:val="2FA573DE"/>
    <w:rsid w:val="2FF45F4C"/>
    <w:rsid w:val="306E166F"/>
    <w:rsid w:val="30B46D73"/>
    <w:rsid w:val="31885BDB"/>
    <w:rsid w:val="319F7F4E"/>
    <w:rsid w:val="33751688"/>
    <w:rsid w:val="343736BD"/>
    <w:rsid w:val="345D2848"/>
    <w:rsid w:val="34D13DB9"/>
    <w:rsid w:val="350D4826"/>
    <w:rsid w:val="356A28F1"/>
    <w:rsid w:val="357C035A"/>
    <w:rsid w:val="35CC76C7"/>
    <w:rsid w:val="368E000D"/>
    <w:rsid w:val="372245FF"/>
    <w:rsid w:val="376672CB"/>
    <w:rsid w:val="37877158"/>
    <w:rsid w:val="383D272C"/>
    <w:rsid w:val="39AE70AB"/>
    <w:rsid w:val="3A4DCE41"/>
    <w:rsid w:val="3A66393D"/>
    <w:rsid w:val="3AFD49B6"/>
    <w:rsid w:val="3B9036CF"/>
    <w:rsid w:val="3BCB56FA"/>
    <w:rsid w:val="3C0C0783"/>
    <w:rsid w:val="3C2E0F2B"/>
    <w:rsid w:val="3C5E19B0"/>
    <w:rsid w:val="3D1617E6"/>
    <w:rsid w:val="3D353F7F"/>
    <w:rsid w:val="3D8E3A72"/>
    <w:rsid w:val="3D986CD1"/>
    <w:rsid w:val="3E7E400E"/>
    <w:rsid w:val="3E946E66"/>
    <w:rsid w:val="3EE01818"/>
    <w:rsid w:val="3EE7C2F4"/>
    <w:rsid w:val="3EF416A3"/>
    <w:rsid w:val="3EFF7691"/>
    <w:rsid w:val="3F371B56"/>
    <w:rsid w:val="3F792ED8"/>
    <w:rsid w:val="3F9F3A96"/>
    <w:rsid w:val="3FDA4D4C"/>
    <w:rsid w:val="3FECA4B2"/>
    <w:rsid w:val="3FF58C48"/>
    <w:rsid w:val="41590859"/>
    <w:rsid w:val="415C14CF"/>
    <w:rsid w:val="41647407"/>
    <w:rsid w:val="41C65D95"/>
    <w:rsid w:val="42FF6694"/>
    <w:rsid w:val="43212C92"/>
    <w:rsid w:val="43236A0A"/>
    <w:rsid w:val="43553AE5"/>
    <w:rsid w:val="4469669F"/>
    <w:rsid w:val="44B0581C"/>
    <w:rsid w:val="4582210E"/>
    <w:rsid w:val="46061804"/>
    <w:rsid w:val="464B055C"/>
    <w:rsid w:val="468C48C7"/>
    <w:rsid w:val="47B665E8"/>
    <w:rsid w:val="48BF60AB"/>
    <w:rsid w:val="48D52555"/>
    <w:rsid w:val="493C27E9"/>
    <w:rsid w:val="496F39ED"/>
    <w:rsid w:val="49FF41D3"/>
    <w:rsid w:val="4A6F0787"/>
    <w:rsid w:val="4AC5270B"/>
    <w:rsid w:val="4BE068DB"/>
    <w:rsid w:val="4BF6002B"/>
    <w:rsid w:val="4BFFC6BE"/>
    <w:rsid w:val="4C26756B"/>
    <w:rsid w:val="4CE608BA"/>
    <w:rsid w:val="4CFD79B0"/>
    <w:rsid w:val="4DA150FB"/>
    <w:rsid w:val="4E5B34FC"/>
    <w:rsid w:val="4ECE2238"/>
    <w:rsid w:val="4EE37B71"/>
    <w:rsid w:val="500876B4"/>
    <w:rsid w:val="501C0E6E"/>
    <w:rsid w:val="50CF3D2E"/>
    <w:rsid w:val="50EC2B32"/>
    <w:rsid w:val="510C6D30"/>
    <w:rsid w:val="514A6C36"/>
    <w:rsid w:val="51A4428B"/>
    <w:rsid w:val="51B64EEE"/>
    <w:rsid w:val="51DB4B86"/>
    <w:rsid w:val="51F64DB0"/>
    <w:rsid w:val="54014B46"/>
    <w:rsid w:val="542F3A94"/>
    <w:rsid w:val="546629EA"/>
    <w:rsid w:val="55063EF1"/>
    <w:rsid w:val="55333C3E"/>
    <w:rsid w:val="55A347E0"/>
    <w:rsid w:val="55BA1E53"/>
    <w:rsid w:val="569D57E6"/>
    <w:rsid w:val="56BF369A"/>
    <w:rsid w:val="56C629C3"/>
    <w:rsid w:val="575F7FC3"/>
    <w:rsid w:val="58B33D72"/>
    <w:rsid w:val="58B65AA2"/>
    <w:rsid w:val="59E87E4F"/>
    <w:rsid w:val="5A251F14"/>
    <w:rsid w:val="5AA71877"/>
    <w:rsid w:val="5AA77AC9"/>
    <w:rsid w:val="5D292A17"/>
    <w:rsid w:val="5D6934A9"/>
    <w:rsid w:val="5DA327CA"/>
    <w:rsid w:val="5DEA37ED"/>
    <w:rsid w:val="5F67802D"/>
    <w:rsid w:val="5F7DC4F2"/>
    <w:rsid w:val="5FB36814"/>
    <w:rsid w:val="5FB83662"/>
    <w:rsid w:val="5FBB8E56"/>
    <w:rsid w:val="5FF92476"/>
    <w:rsid w:val="5FFB5535"/>
    <w:rsid w:val="5FFE018B"/>
    <w:rsid w:val="610E2650"/>
    <w:rsid w:val="613D4CE3"/>
    <w:rsid w:val="619012B7"/>
    <w:rsid w:val="630D0A06"/>
    <w:rsid w:val="63220635"/>
    <w:rsid w:val="63C139AA"/>
    <w:rsid w:val="642F00A4"/>
    <w:rsid w:val="64896619"/>
    <w:rsid w:val="64CA39A1"/>
    <w:rsid w:val="65B55934"/>
    <w:rsid w:val="66890CF7"/>
    <w:rsid w:val="68040309"/>
    <w:rsid w:val="681929A9"/>
    <w:rsid w:val="68826D60"/>
    <w:rsid w:val="68D93544"/>
    <w:rsid w:val="6946316D"/>
    <w:rsid w:val="69630ADE"/>
    <w:rsid w:val="69BD5F13"/>
    <w:rsid w:val="69FB0B4B"/>
    <w:rsid w:val="6A294057"/>
    <w:rsid w:val="6A941E18"/>
    <w:rsid w:val="6BFFE1FB"/>
    <w:rsid w:val="6C4A05C8"/>
    <w:rsid w:val="6C4B4758"/>
    <w:rsid w:val="6C8C577A"/>
    <w:rsid w:val="6CD36D8E"/>
    <w:rsid w:val="6CF070AE"/>
    <w:rsid w:val="6D303D76"/>
    <w:rsid w:val="6D3B1A89"/>
    <w:rsid w:val="6D636719"/>
    <w:rsid w:val="6D690584"/>
    <w:rsid w:val="6DA03089"/>
    <w:rsid w:val="6DB7D8A3"/>
    <w:rsid w:val="6E7B63EF"/>
    <w:rsid w:val="6EC66318"/>
    <w:rsid w:val="6EC78701"/>
    <w:rsid w:val="6ECA2F22"/>
    <w:rsid w:val="6F7A5481"/>
    <w:rsid w:val="6FFE07A9"/>
    <w:rsid w:val="70910BA8"/>
    <w:rsid w:val="70F16808"/>
    <w:rsid w:val="713779A1"/>
    <w:rsid w:val="71966F90"/>
    <w:rsid w:val="71BF4EC2"/>
    <w:rsid w:val="723238A2"/>
    <w:rsid w:val="72734D90"/>
    <w:rsid w:val="72B03567"/>
    <w:rsid w:val="73E75B71"/>
    <w:rsid w:val="7412278C"/>
    <w:rsid w:val="748103F8"/>
    <w:rsid w:val="758F6D18"/>
    <w:rsid w:val="758F6E2D"/>
    <w:rsid w:val="75A65DC5"/>
    <w:rsid w:val="75DDCDA9"/>
    <w:rsid w:val="75FF44B1"/>
    <w:rsid w:val="764F52B8"/>
    <w:rsid w:val="77193CE7"/>
    <w:rsid w:val="77670518"/>
    <w:rsid w:val="777FA627"/>
    <w:rsid w:val="779C55E7"/>
    <w:rsid w:val="77DF1B5F"/>
    <w:rsid w:val="77EF2D9D"/>
    <w:rsid w:val="786170B2"/>
    <w:rsid w:val="78E35D19"/>
    <w:rsid w:val="79054145"/>
    <w:rsid w:val="792115FE"/>
    <w:rsid w:val="79E7B28D"/>
    <w:rsid w:val="7A831561"/>
    <w:rsid w:val="7AC01C0F"/>
    <w:rsid w:val="7ACFF0C2"/>
    <w:rsid w:val="7AFB9108"/>
    <w:rsid w:val="7BD5340C"/>
    <w:rsid w:val="7BFB19D2"/>
    <w:rsid w:val="7BFD1750"/>
    <w:rsid w:val="7BFDAA1B"/>
    <w:rsid w:val="7C105077"/>
    <w:rsid w:val="7C352D2F"/>
    <w:rsid w:val="7CDF9A82"/>
    <w:rsid w:val="7CF03A0A"/>
    <w:rsid w:val="7CFFA1BD"/>
    <w:rsid w:val="7D2E3F7A"/>
    <w:rsid w:val="7DDF4311"/>
    <w:rsid w:val="7DED9490"/>
    <w:rsid w:val="7DFF4872"/>
    <w:rsid w:val="7E7487E6"/>
    <w:rsid w:val="7E7C2A54"/>
    <w:rsid w:val="7EEEFD72"/>
    <w:rsid w:val="7F1D517C"/>
    <w:rsid w:val="7F2705A8"/>
    <w:rsid w:val="7F2F23C4"/>
    <w:rsid w:val="7F5DA057"/>
    <w:rsid w:val="7F6C2237"/>
    <w:rsid w:val="7F7F319B"/>
    <w:rsid w:val="7F9F20EE"/>
    <w:rsid w:val="7FBBE890"/>
    <w:rsid w:val="7FBC2ABD"/>
    <w:rsid w:val="7FBF5D48"/>
    <w:rsid w:val="7FCCFC01"/>
    <w:rsid w:val="7FDD1748"/>
    <w:rsid w:val="7FDE10E6"/>
    <w:rsid w:val="7FE769C6"/>
    <w:rsid w:val="7FE86BC0"/>
    <w:rsid w:val="7FFD083E"/>
    <w:rsid w:val="7FFF9372"/>
    <w:rsid w:val="84BF1F3B"/>
    <w:rsid w:val="8F55B106"/>
    <w:rsid w:val="95DF317D"/>
    <w:rsid w:val="97E77C70"/>
    <w:rsid w:val="9E3A10E2"/>
    <w:rsid w:val="9FB91FBD"/>
    <w:rsid w:val="9FD54998"/>
    <w:rsid w:val="A671883B"/>
    <w:rsid w:val="A7EFD17F"/>
    <w:rsid w:val="A7FFE43F"/>
    <w:rsid w:val="BDFEA317"/>
    <w:rsid w:val="CD9BBABB"/>
    <w:rsid w:val="CF99F292"/>
    <w:rsid w:val="D5DA60B3"/>
    <w:rsid w:val="D7C6F579"/>
    <w:rsid w:val="D8FECA92"/>
    <w:rsid w:val="DAFFBE66"/>
    <w:rsid w:val="DD2C0BFE"/>
    <w:rsid w:val="DE3F332B"/>
    <w:rsid w:val="DE6F4A3D"/>
    <w:rsid w:val="DF69F8B0"/>
    <w:rsid w:val="DFC71555"/>
    <w:rsid w:val="DFFC559C"/>
    <w:rsid w:val="DFFEDFAE"/>
    <w:rsid w:val="DFFFB5EB"/>
    <w:rsid w:val="E4B33E57"/>
    <w:rsid w:val="E5BF946A"/>
    <w:rsid w:val="EB39BD45"/>
    <w:rsid w:val="EBCF1FC2"/>
    <w:rsid w:val="EBD18F66"/>
    <w:rsid w:val="ED17392C"/>
    <w:rsid w:val="ED9FFD9A"/>
    <w:rsid w:val="EDB7968B"/>
    <w:rsid w:val="EEF73F60"/>
    <w:rsid w:val="EFED9E42"/>
    <w:rsid w:val="EFFFB194"/>
    <w:rsid w:val="F2E1F9D4"/>
    <w:rsid w:val="F5FF7449"/>
    <w:rsid w:val="F7880819"/>
    <w:rsid w:val="F7AF180D"/>
    <w:rsid w:val="F7BDBFA7"/>
    <w:rsid w:val="F7FAD68F"/>
    <w:rsid w:val="F7FB14CF"/>
    <w:rsid w:val="FB3FC69C"/>
    <w:rsid w:val="FBDFF225"/>
    <w:rsid w:val="FBF7AB63"/>
    <w:rsid w:val="FC2F3373"/>
    <w:rsid w:val="FCF51535"/>
    <w:rsid w:val="FD77F6B8"/>
    <w:rsid w:val="FDD69328"/>
    <w:rsid w:val="FDDFEC0E"/>
    <w:rsid w:val="FDE58BDD"/>
    <w:rsid w:val="FDEC7001"/>
    <w:rsid w:val="FEDFE87F"/>
    <w:rsid w:val="FEF1D25B"/>
    <w:rsid w:val="FF3EF90F"/>
    <w:rsid w:val="FFAF6081"/>
    <w:rsid w:val="FFECCD8C"/>
    <w:rsid w:val="FFED60BD"/>
    <w:rsid w:val="FFEE08F0"/>
    <w:rsid w:val="FFEE7F9F"/>
    <w:rsid w:val="FFFF319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1"/>
    <w:basedOn w:val="1"/>
    <w:next w:val="1"/>
    <w:link w:val="38"/>
    <w:qFormat/>
    <w:uiPriority w:val="9"/>
    <w:pPr>
      <w:keepNext/>
      <w:keepLines/>
      <w:spacing w:before="340" w:after="330" w:line="578" w:lineRule="auto"/>
      <w:outlineLvl w:val="0"/>
    </w:pPr>
    <w:rPr>
      <w:b/>
      <w:bCs/>
      <w:kern w:val="44"/>
      <w:sz w:val="44"/>
      <w:szCs w:val="44"/>
    </w:rPr>
  </w:style>
  <w:style w:type="paragraph" w:styleId="6">
    <w:name w:val="heading 2"/>
    <w:basedOn w:val="1"/>
    <w:next w:val="1"/>
    <w:link w:val="37"/>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7">
    <w:name w:val="heading 3"/>
    <w:basedOn w:val="1"/>
    <w:next w:val="1"/>
    <w:link w:val="33"/>
    <w:unhideWhenUsed/>
    <w:qFormat/>
    <w:uiPriority w:val="9"/>
    <w:pPr>
      <w:keepNext/>
      <w:keepLines/>
      <w:spacing w:before="260" w:after="260" w:line="416" w:lineRule="auto"/>
      <w:outlineLvl w:val="2"/>
    </w:pPr>
    <w:rPr>
      <w:b/>
      <w:bCs/>
      <w:sz w:val="32"/>
      <w:szCs w:val="3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4"/>
    <w:unhideWhenUsed/>
    <w:qFormat/>
    <w:uiPriority w:val="99"/>
    <w:pPr>
      <w:ind w:firstLine="420" w:firstLineChars="200"/>
    </w:pPr>
  </w:style>
  <w:style w:type="paragraph" w:styleId="3">
    <w:name w:val="Body Text Indent"/>
    <w:basedOn w:val="1"/>
    <w:next w:val="2"/>
    <w:qFormat/>
    <w:uiPriority w:val="0"/>
    <w:pPr>
      <w:spacing w:after="120"/>
      <w:ind w:left="200" w:leftChars="200"/>
    </w:pPr>
    <w:rPr>
      <w:rFonts w:ascii="仿宋_GB2312"/>
      <w:szCs w:val="32"/>
    </w:rPr>
  </w:style>
  <w:style w:type="paragraph" w:styleId="4">
    <w:name w:val="Body Text"/>
    <w:basedOn w:val="1"/>
    <w:link w:val="26"/>
    <w:qFormat/>
    <w:uiPriority w:val="99"/>
    <w:pPr>
      <w:spacing w:beforeLines="30"/>
    </w:pPr>
    <w:rPr>
      <w:rFonts w:ascii="仿宋_GB2312" w:eastAsia="仿宋_GB2312"/>
      <w:kern w:val="0"/>
      <w:sz w:val="30"/>
    </w:rPr>
  </w:style>
  <w:style w:type="paragraph" w:styleId="8">
    <w:name w:val="toc 3"/>
    <w:basedOn w:val="1"/>
    <w:next w:val="1"/>
    <w:unhideWhenUsed/>
    <w:qFormat/>
    <w:uiPriority w:val="39"/>
    <w:pPr>
      <w:tabs>
        <w:tab w:val="right" w:leader="dot" w:pos="8296"/>
      </w:tabs>
      <w:ind w:left="840" w:leftChars="400"/>
    </w:pPr>
  </w:style>
  <w:style w:type="paragraph" w:styleId="9">
    <w:name w:val="Balloon Text"/>
    <w:basedOn w:val="1"/>
    <w:link w:val="32"/>
    <w:semiHidden/>
    <w:unhideWhenUsed/>
    <w:qFormat/>
    <w:uiPriority w:val="99"/>
    <w:rPr>
      <w:sz w:val="18"/>
      <w:szCs w:val="18"/>
    </w:rPr>
  </w:style>
  <w:style w:type="paragraph" w:styleId="10">
    <w:name w:val="footer"/>
    <w:basedOn w:val="1"/>
    <w:link w:val="24"/>
    <w:qFormat/>
    <w:uiPriority w:val="99"/>
    <w:pPr>
      <w:tabs>
        <w:tab w:val="center" w:pos="4153"/>
        <w:tab w:val="right" w:pos="8306"/>
      </w:tabs>
      <w:snapToGrid w:val="0"/>
      <w:jc w:val="left"/>
    </w:pPr>
    <w:rPr>
      <w:rFonts w:ascii="Calibri" w:hAnsi="Calibri"/>
      <w:kern w:val="0"/>
      <w:sz w:val="18"/>
      <w:szCs w:val="18"/>
    </w:rPr>
  </w:style>
  <w:style w:type="paragraph" w:styleId="11">
    <w:name w:val="header"/>
    <w:basedOn w:val="1"/>
    <w:link w:val="22"/>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2">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3">
    <w:name w:val="footnote text"/>
    <w:basedOn w:val="1"/>
    <w:next w:val="2"/>
    <w:semiHidden/>
    <w:qFormat/>
    <w:uiPriority w:val="0"/>
    <w:pPr>
      <w:snapToGrid w:val="0"/>
      <w:jc w:val="left"/>
    </w:pPr>
    <w:rPr>
      <w:sz w:val="18"/>
      <w:szCs w:val="18"/>
    </w:rPr>
  </w:style>
  <w:style w:type="paragraph" w:styleId="14">
    <w:name w:val="toc 2"/>
    <w:basedOn w:val="1"/>
    <w:next w:val="1"/>
    <w:unhideWhenUsed/>
    <w:qFormat/>
    <w:uiPriority w:val="39"/>
    <w:pPr>
      <w:tabs>
        <w:tab w:val="right" w:leader="dot" w:pos="8296"/>
      </w:tabs>
      <w:ind w:left="420" w:leftChars="200"/>
    </w:pPr>
  </w:style>
  <w:style w:type="paragraph" w:styleId="15">
    <w:name w:val="Normal (Web)"/>
    <w:basedOn w:val="1"/>
    <w:unhideWhenUsed/>
    <w:qFormat/>
    <w:uiPriority w:val="99"/>
    <w:rPr>
      <w:sz w:val="24"/>
    </w:rPr>
  </w:style>
  <w:style w:type="character" w:styleId="18">
    <w:name w:val="Strong"/>
    <w:basedOn w:val="17"/>
    <w:qFormat/>
    <w:uiPriority w:val="99"/>
    <w:rPr>
      <w:b/>
    </w:rPr>
  </w:style>
  <w:style w:type="character" w:styleId="19">
    <w:name w:val="Hyperlink"/>
    <w:basedOn w:val="17"/>
    <w:unhideWhenUsed/>
    <w:qFormat/>
    <w:uiPriority w:val="99"/>
    <w:rPr>
      <w:color w:val="0000FF" w:themeColor="hyperlink"/>
      <w:u w:val="single"/>
      <w14:textFill>
        <w14:solidFill>
          <w14:schemeClr w14:val="hlink"/>
        </w14:solidFill>
      </w14:textFill>
    </w:rPr>
  </w:style>
  <w:style w:type="paragraph" w:customStyle="1" w:styleId="20">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character" w:customStyle="1" w:styleId="21">
    <w:name w:val="Header Char"/>
    <w:basedOn w:val="17"/>
    <w:semiHidden/>
    <w:qFormat/>
    <w:uiPriority w:val="99"/>
    <w:rPr>
      <w:rFonts w:ascii="Times New Roman" w:hAnsi="Times New Roman"/>
      <w:sz w:val="18"/>
      <w:szCs w:val="18"/>
    </w:rPr>
  </w:style>
  <w:style w:type="character" w:customStyle="1" w:styleId="22">
    <w:name w:val="页眉 字符"/>
    <w:link w:val="11"/>
    <w:semiHidden/>
    <w:qFormat/>
    <w:locked/>
    <w:uiPriority w:val="99"/>
    <w:rPr>
      <w:sz w:val="18"/>
    </w:rPr>
  </w:style>
  <w:style w:type="character" w:customStyle="1" w:styleId="23">
    <w:name w:val="Footer Char"/>
    <w:basedOn w:val="17"/>
    <w:semiHidden/>
    <w:qFormat/>
    <w:uiPriority w:val="99"/>
    <w:rPr>
      <w:rFonts w:ascii="Times New Roman" w:hAnsi="Times New Roman"/>
      <w:sz w:val="18"/>
      <w:szCs w:val="18"/>
    </w:rPr>
  </w:style>
  <w:style w:type="character" w:customStyle="1" w:styleId="24">
    <w:name w:val="页脚 字符"/>
    <w:link w:val="10"/>
    <w:qFormat/>
    <w:locked/>
    <w:uiPriority w:val="99"/>
    <w:rPr>
      <w:sz w:val="18"/>
    </w:rPr>
  </w:style>
  <w:style w:type="character" w:customStyle="1" w:styleId="25">
    <w:name w:val="Body Text Char"/>
    <w:basedOn w:val="17"/>
    <w:semiHidden/>
    <w:qFormat/>
    <w:uiPriority w:val="99"/>
    <w:rPr>
      <w:rFonts w:ascii="Times New Roman" w:hAnsi="Times New Roman"/>
      <w:szCs w:val="24"/>
    </w:rPr>
  </w:style>
  <w:style w:type="character" w:customStyle="1" w:styleId="26">
    <w:name w:val="正文文本 字符"/>
    <w:link w:val="4"/>
    <w:qFormat/>
    <w:locked/>
    <w:uiPriority w:val="99"/>
    <w:rPr>
      <w:rFonts w:ascii="仿宋_GB2312" w:hAnsi="Times New Roman" w:eastAsia="仿宋_GB2312"/>
      <w:sz w:val="24"/>
    </w:rPr>
  </w:style>
  <w:style w:type="paragraph" w:customStyle="1" w:styleId="27">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8">
    <w:name w:val="List Paragraph"/>
    <w:basedOn w:val="1"/>
    <w:qFormat/>
    <w:uiPriority w:val="34"/>
    <w:pPr>
      <w:ind w:firstLine="420" w:firstLineChars="200"/>
    </w:pPr>
  </w:style>
  <w:style w:type="character" w:customStyle="1" w:styleId="29">
    <w:name w:val="标题 1 字符"/>
    <w:basedOn w:val="17"/>
    <w:link w:val="5"/>
    <w:qFormat/>
    <w:uiPriority w:val="9"/>
    <w:rPr>
      <w:rFonts w:ascii="Times New Roman" w:hAnsi="Times New Roman"/>
      <w:b/>
      <w:bCs/>
      <w:kern w:val="44"/>
      <w:sz w:val="44"/>
      <w:szCs w:val="44"/>
    </w:rPr>
  </w:style>
  <w:style w:type="character" w:customStyle="1" w:styleId="30">
    <w:name w:val="标题 2 字符"/>
    <w:basedOn w:val="17"/>
    <w:link w:val="6"/>
    <w:qFormat/>
    <w:uiPriority w:val="9"/>
    <w:rPr>
      <w:rFonts w:asciiTheme="majorHAnsi" w:hAnsiTheme="majorHAnsi" w:eastAsiaTheme="majorEastAsia" w:cstheme="majorBidi"/>
      <w:b/>
      <w:bCs/>
      <w:kern w:val="2"/>
      <w:sz w:val="32"/>
      <w:szCs w:val="32"/>
    </w:rPr>
  </w:style>
  <w:style w:type="paragraph" w:customStyle="1" w:styleId="31">
    <w:name w:val="TOC 标题1"/>
    <w:basedOn w:val="5"/>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2">
    <w:name w:val="批注框文本 字符"/>
    <w:basedOn w:val="17"/>
    <w:link w:val="9"/>
    <w:semiHidden/>
    <w:qFormat/>
    <w:uiPriority w:val="99"/>
    <w:rPr>
      <w:rFonts w:ascii="Times New Roman" w:hAnsi="Times New Roman"/>
      <w:kern w:val="2"/>
      <w:sz w:val="18"/>
      <w:szCs w:val="18"/>
    </w:rPr>
  </w:style>
  <w:style w:type="character" w:customStyle="1" w:styleId="33">
    <w:name w:val="标题 3 字符"/>
    <w:basedOn w:val="17"/>
    <w:link w:val="7"/>
    <w:qFormat/>
    <w:uiPriority w:val="9"/>
    <w:rPr>
      <w:rFonts w:ascii="Times New Roman" w:hAnsi="Times New Roman"/>
      <w:b/>
      <w:bCs/>
      <w:kern w:val="2"/>
      <w:sz w:val="32"/>
      <w:szCs w:val="32"/>
    </w:rPr>
  </w:style>
  <w:style w:type="paragraph" w:customStyle="1" w:styleId="34">
    <w:name w:val="TOC 标题2"/>
    <w:basedOn w:val="5"/>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5">
    <w:name w:val="WPSOffice手动目录 1"/>
    <w:qFormat/>
    <w:uiPriority w:val="0"/>
    <w:pPr>
      <w:ind w:leftChars="0"/>
    </w:pPr>
    <w:rPr>
      <w:rFonts w:asciiTheme="minorHAnsi" w:hAnsiTheme="minorHAnsi" w:eastAsiaTheme="minorEastAsia" w:cstheme="minorBidi"/>
      <w:sz w:val="20"/>
      <w:szCs w:val="20"/>
    </w:rPr>
  </w:style>
  <w:style w:type="paragraph" w:customStyle="1" w:styleId="36">
    <w:name w:val="WPSOffice手动目录 2"/>
    <w:qFormat/>
    <w:uiPriority w:val="0"/>
    <w:pPr>
      <w:ind w:leftChars="200"/>
    </w:pPr>
    <w:rPr>
      <w:rFonts w:asciiTheme="minorHAnsi" w:hAnsiTheme="minorHAnsi" w:eastAsiaTheme="minorEastAsia" w:cstheme="minorBidi"/>
      <w:sz w:val="20"/>
      <w:szCs w:val="20"/>
    </w:rPr>
  </w:style>
  <w:style w:type="character" w:customStyle="1" w:styleId="37">
    <w:name w:val="标题 2 Char"/>
    <w:basedOn w:val="17"/>
    <w:link w:val="6"/>
    <w:qFormat/>
    <w:uiPriority w:val="9"/>
    <w:rPr>
      <w:rFonts w:ascii="Calibri Light" w:hAnsi="Calibri Light" w:eastAsia="宋体" w:cs="Times New Roman"/>
      <w:b/>
      <w:bCs/>
      <w:sz w:val="32"/>
      <w:szCs w:val="32"/>
    </w:rPr>
  </w:style>
  <w:style w:type="character" w:customStyle="1" w:styleId="38">
    <w:name w:val="标题 1 Char"/>
    <w:basedOn w:val="17"/>
    <w:link w:val="5"/>
    <w:qFormat/>
    <w:uiPriority w:val="9"/>
    <w:rPr>
      <w:b/>
      <w:bCs/>
      <w:kern w:val="44"/>
      <w:sz w:val="44"/>
      <w:szCs w:val="44"/>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5.png"/><Relationship Id="rId13" Type="http://schemas.openxmlformats.org/officeDocument/2006/relationships/chart" Target="charts/chart2.xml"/><Relationship Id="rId12" Type="http://schemas.openxmlformats.org/officeDocument/2006/relationships/chart" Target="charts/chart1.xml"/><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一般公共预算财政拨款支出决算变动情况图</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系列 1</c:v>
                </c:pt>
              </c:strCache>
            </c:strRef>
          </c:tx>
          <c:spPr>
            <a:solidFill>
              <a:schemeClr val="accent1"/>
            </a:solidFill>
            <a:ln>
              <a:noFill/>
            </a:ln>
            <a:effectLst/>
          </c:spPr>
          <c:invertIfNegative val="0"/>
          <c:dPt>
            <c:idx val="0"/>
            <c:invertIfNegative val="0"/>
            <c:bubble3D val="0"/>
            <c:spPr>
              <a:solidFill>
                <a:schemeClr val="accent1"/>
              </a:solidFill>
              <a:ln>
                <a:noFill/>
              </a:ln>
              <a:effectLst/>
              <a:sp3d>
                <a:extrusionClr>
                  <a:srgbClr val="FFFFFF"/>
                </a:extrusionClr>
                <a:contourClr>
                  <a:srgbClr val="FFFFFF"/>
                </a:contourClr>
              </a:sp3d>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社会保障和就业支出（万元）</c:v>
                </c:pt>
                <c:pt idx="1">
                  <c:v>卫生健康支出（万元）</c:v>
                </c:pt>
                <c:pt idx="2">
                  <c:v>城市社区支出（万元）</c:v>
                </c:pt>
                <c:pt idx="3">
                  <c:v>住房保障支出（万元）</c:v>
                </c:pt>
              </c:strCache>
            </c:strRef>
          </c:cat>
          <c:val>
            <c:numRef>
              <c:f>Sheet1!$B$2:$B$5</c:f>
              <c:numCache>
                <c:formatCode>General</c:formatCode>
                <c:ptCount val="4"/>
                <c:pt idx="0">
                  <c:v>34.53</c:v>
                </c:pt>
                <c:pt idx="1">
                  <c:v>8.72</c:v>
                </c:pt>
                <c:pt idx="2">
                  <c:v>215.48</c:v>
                </c:pt>
                <c:pt idx="3">
                  <c:v>16.9</c:v>
                </c:pt>
              </c:numCache>
            </c:numRef>
          </c:val>
        </c:ser>
        <c:dLbls>
          <c:showLegendKey val="0"/>
          <c:showVal val="1"/>
          <c:showCatName val="0"/>
          <c:showSerName val="0"/>
          <c:showPercent val="0"/>
          <c:showBubbleSize val="0"/>
        </c:dLbls>
        <c:gapWidth val="246"/>
        <c:overlap val="-28"/>
        <c:axId val="237176623"/>
        <c:axId val="833009748"/>
      </c:barChart>
      <c:catAx>
        <c:axId val="237176623"/>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33009748"/>
        <c:crosses val="autoZero"/>
        <c:auto val="1"/>
        <c:lblAlgn val="ctr"/>
        <c:lblOffset val="100"/>
        <c:noMultiLvlLbl val="0"/>
      </c:catAx>
      <c:valAx>
        <c:axId val="833009748"/>
        <c:scaling>
          <c:orientation val="minMax"/>
          <c:max val="250"/>
        </c:scaling>
        <c:delete val="0"/>
        <c:axPos val="l"/>
        <c:majorGridlines>
          <c:spPr>
            <a:ln w="9525" cap="flat" cmpd="sng" algn="ctr">
              <a:solidFill>
                <a:schemeClr val="lt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37176623"/>
        <c:crosses val="autoZero"/>
        <c:crossBetween val="between"/>
      </c:valAx>
      <c:spPr>
        <a:noFill/>
        <a:ln>
          <a:noFill/>
        </a:ln>
        <a:effectLst/>
      </c:spPr>
    </c:plotArea>
    <c:plotVisOnly val="1"/>
    <c:dispBlanksAs val="gap"/>
    <c:showDLblsOverMax val="0"/>
    <c:extLst>
      <c:ext uri="{0b15fc19-7d7d-44ad-8c2d-2c3a37ce22c3}">
        <chartProps xmlns="https://web.wps.cn/et/2018/main" chartId="{9d23f305-936c-44e1-8fa0-617ca83247ae}"/>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一般公共预算财政拨款支出决算结构图</a:t>
            </a:r>
          </a:p>
        </c:rich>
      </c:tx>
      <c:layout/>
      <c:overlay val="0"/>
      <c:spPr>
        <a:noFill/>
        <a:ln>
          <a:noFill/>
        </a:ln>
        <a:effectLst/>
      </c:spPr>
    </c:title>
    <c:autoTitleDeleted val="0"/>
    <c:plotArea>
      <c:layout/>
      <c:pieChart>
        <c:varyColors val="1"/>
        <c:ser>
          <c:idx val="0"/>
          <c:order val="0"/>
          <c:tx>
            <c:strRef>
              <c:f>Sheet1!$B$1</c:f>
              <c:strCache>
                <c:ptCount val="1"/>
                <c:pt idx="0">
                  <c:v>销售额</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Pt>
            <c:idx val="3"/>
            <c:bubble3D val="0"/>
            <c:spPr>
              <a:solidFill>
                <a:schemeClr val="accent4"/>
              </a:solidFill>
              <a:ln>
                <a:solidFill>
                  <a:schemeClr val="bg1"/>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社会保障和就业支出106.81万元</c:v>
                </c:pt>
                <c:pt idx="1">
                  <c:v>卫生健康支出23.66万元</c:v>
                </c:pt>
                <c:pt idx="2">
                  <c:v>城乡社区支出984.53万元</c:v>
                </c:pt>
                <c:pt idx="3">
                  <c:v>住房保障支出52.48万元</c:v>
                </c:pt>
              </c:strCache>
            </c:strRef>
          </c:cat>
          <c:val>
            <c:numRef>
              <c:f>Sheet1!$B$2:$B$5</c:f>
              <c:numCache>
                <c:formatCode>0.00%</c:formatCode>
                <c:ptCount val="4"/>
                <c:pt idx="0">
                  <c:v>0.092</c:v>
                </c:pt>
                <c:pt idx="1">
                  <c:v>0.02</c:v>
                </c:pt>
                <c:pt idx="2">
                  <c:v>0.843</c:v>
                </c:pt>
                <c:pt idx="3">
                  <c:v>0.045</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4df339dd-1aa1-42f2-b1e4-bfa065c42a49}"/>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19</Pages>
  <Words>5496</Words>
  <Characters>6035</Characters>
  <Lines>54</Lines>
  <Paragraphs>15</Paragraphs>
  <TotalTime>1</TotalTime>
  <ScaleCrop>false</ScaleCrop>
  <LinksUpToDate>false</LinksUpToDate>
  <CharactersWithSpaces>6197</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2020-08-08T01:49:00Z</dcterms:created>
  <dc:creator>曹颖</dc:creator>
  <cp:lastModifiedBy>余厚继</cp:lastModifiedBy>
  <cp:lastPrinted>2025-10-29T02:25:30Z</cp:lastPrinted>
  <dcterms:modified xsi:type="dcterms:W3CDTF">2025-10-29T02:25:34Z</dcterms:modified>
  <dc:title>四川省***</dc:title>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F764F64A442442869D45DA1A27EE22F4_13</vt:lpwstr>
  </property>
  <property fmtid="{D5CDD505-2E9C-101B-9397-08002B2CF9AE}" pid="4" name="KSOTemplateDocerSaveRecord">
    <vt:lpwstr>eyJoZGlkIjoiZGE2ZjUyMTVlZTUyN2I4ODM5MDIzMDEyMmQ0ODY0NzMiLCJ1c2VySWQiOiIxNDg0NTY2ODEzIn0=</vt:lpwstr>
  </property>
</Properties>
</file>