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30"/>
        <w:gridCol w:w="2141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83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  <w:t>2023年1-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  <w:t>月五通桥区主要经济指标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3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                         单位：万元、万人、%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指         标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数值</w:t>
            </w:r>
          </w:p>
        </w:tc>
        <w:tc>
          <w:tcPr>
            <w:tcW w:w="2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累计±%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3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地区生产总值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3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第一产业增加值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3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第二产业增加值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3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    其中：工业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3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第三产业增加值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3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工业增加值(规模以上)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3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全社会固定资产投资完成额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13.5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3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社会消费品零售总额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270601 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6.3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3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城镇居民人均可支配收入（元）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3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农村居民人均可支配收入（元）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3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地方一般公共预算收入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96396 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3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税收收入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385047 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3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金融机构存款余额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2659206 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3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金融机构贷款余额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1359257 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41.9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366DA"/>
    <w:rsid w:val="779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2023-10-23T08:56:00Z</dcterms:created>
  <dc:creator>Administrator</dc:creator>
  <cp:lastModifiedBy>Administrator</cp:lastModifiedBy>
  <dcterms:modified xsi:type="dcterms:W3CDTF">2023-11-13T07:17:58Z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