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黑体"/>
          <w:sz w:val="44"/>
          <w:szCs w:val="44"/>
        </w:rPr>
      </w:pPr>
      <w:r>
        <w:rPr>
          <w:rFonts w:ascii="Times New Roman" w:hAnsi="Times New Roman" w:eastAsia="黑体"/>
          <w:sz w:val="44"/>
          <w:szCs w:val="44"/>
        </w:rPr>
        <w:t>乐山市五通桥区</w:t>
      </w:r>
    </w:p>
    <w:p>
      <w:pPr>
        <w:spacing w:line="360" w:lineRule="auto"/>
        <w:jc w:val="center"/>
        <w:rPr>
          <w:rFonts w:ascii="Times New Roman" w:hAnsi="Times New Roman" w:eastAsia="黑体"/>
          <w:sz w:val="44"/>
          <w:szCs w:val="44"/>
        </w:rPr>
      </w:pPr>
      <w:r>
        <w:rPr>
          <w:rFonts w:ascii="Times New Roman" w:hAnsi="Times New Roman" w:eastAsia="黑体"/>
          <w:sz w:val="44"/>
          <w:szCs w:val="44"/>
        </w:rPr>
        <w:t>新云乡土地利用总体规划（2006-2020年）</w:t>
      </w:r>
    </w:p>
    <w:p>
      <w:pPr>
        <w:spacing w:line="360" w:lineRule="auto"/>
        <w:jc w:val="center"/>
        <w:rPr>
          <w:rFonts w:ascii="Times New Roman" w:hAnsi="Times New Roman" w:eastAsia="黑体"/>
          <w:sz w:val="44"/>
          <w:szCs w:val="44"/>
        </w:rPr>
      </w:pPr>
      <w:r>
        <w:rPr>
          <w:rFonts w:ascii="Times New Roman" w:hAnsi="Times New Roman" w:eastAsia="黑体"/>
          <w:sz w:val="44"/>
          <w:szCs w:val="44"/>
        </w:rPr>
        <w:t>调整完善方案</w:t>
      </w: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b/>
          <w:sz w:val="44"/>
          <w:szCs w:val="44"/>
        </w:rPr>
      </w:pPr>
      <w:r>
        <w:rPr>
          <w:rFonts w:ascii="Times New Roman" w:hAnsi="Times New Roman"/>
          <w:b/>
          <w:sz w:val="44"/>
          <w:szCs w:val="44"/>
        </w:rPr>
        <w:t>五通桥区新云乡人民政府</w:t>
      </w:r>
    </w:p>
    <w:p>
      <w:pPr>
        <w:spacing w:line="360" w:lineRule="auto"/>
        <w:jc w:val="center"/>
        <w:rPr>
          <w:rFonts w:ascii="Times New Roman" w:hAnsi="Times New Roman"/>
          <w:b/>
          <w:sz w:val="44"/>
          <w:szCs w:val="44"/>
        </w:rPr>
      </w:pPr>
      <w:r>
        <w:rPr>
          <w:rFonts w:ascii="Times New Roman" w:hAnsi="Times New Roman"/>
          <w:b/>
          <w:sz w:val="44"/>
          <w:szCs w:val="44"/>
        </w:rPr>
        <w:t>二〇一七年</w:t>
      </w:r>
      <w:r>
        <w:rPr>
          <w:rFonts w:hint="eastAsia" w:ascii="Times New Roman" w:hAnsi="Times New Roman"/>
          <w:b/>
          <w:sz w:val="44"/>
          <w:szCs w:val="44"/>
        </w:rPr>
        <w:t>七</w:t>
      </w:r>
      <w:r>
        <w:rPr>
          <w:rFonts w:ascii="Times New Roman" w:hAnsi="Times New Roman"/>
          <w:b/>
          <w:sz w:val="44"/>
          <w:szCs w:val="44"/>
        </w:rPr>
        <w:t>月</w:t>
      </w:r>
    </w:p>
    <w:p>
      <w:pPr>
        <w:spacing w:line="360" w:lineRule="auto"/>
        <w:jc w:val="center"/>
        <w:rPr>
          <w:rFonts w:ascii="Times New Roman" w:hAnsi="Times New Roman" w:eastAsia="仿宋_GB2312"/>
          <w:sz w:val="44"/>
          <w:szCs w:val="44"/>
        </w:rPr>
      </w:pPr>
    </w:p>
    <w:p>
      <w:pPr>
        <w:spacing w:line="500" w:lineRule="exact"/>
        <w:jc w:val="center"/>
        <w:rPr>
          <w:rFonts w:ascii="Times New Roman" w:hAnsi="Times New Roman"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Times New Roman" w:hAnsi="Times New Roman" w:eastAsia="仿宋_GB2312"/>
        </w:rPr>
      </w:pPr>
    </w:p>
    <w:p>
      <w:pPr>
        <w:pStyle w:val="11"/>
        <w:rPr>
          <w:rFonts w:ascii="Times New Roman" w:hAnsi="Times New Roman" w:eastAsia="仿宋_GB2312"/>
        </w:rPr>
      </w:pPr>
      <w:r>
        <w:rPr>
          <w:rFonts w:ascii="Times New Roman" w:hAnsi="Times New Roman" w:eastAsia="仿宋_GB2312"/>
        </w:rPr>
        <w:t>目  录</w:t>
      </w:r>
    </w:p>
    <w:p>
      <w:pPr>
        <w:pStyle w:val="11"/>
        <w:rPr>
          <w:rFonts w:ascii="Times New Roman" w:hAnsi="Times New Roman" w:eastAsia="仿宋_GB2312"/>
          <w:b w:val="0"/>
          <w:sz w:val="28"/>
          <w:szCs w:val="28"/>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"1-2" \h \z \u </w:instrText>
      </w:r>
      <w:r>
        <w:rPr>
          <w:rFonts w:ascii="Times New Roman" w:hAnsi="Times New Roman" w:eastAsia="仿宋_GB2312"/>
          <w:sz w:val="28"/>
          <w:szCs w:val="28"/>
        </w:rPr>
        <w:fldChar w:fldCharType="separate"/>
      </w:r>
      <w:r>
        <w:fldChar w:fldCharType="begin"/>
      </w:r>
      <w:r>
        <w:instrText xml:space="preserve"> HYPERLINK \l "_Toc486428839" </w:instrText>
      </w:r>
      <w:r>
        <w:fldChar w:fldCharType="separate"/>
      </w:r>
      <w:r>
        <w:rPr>
          <w:rStyle w:val="16"/>
          <w:rFonts w:ascii="Times New Roman" w:hAnsi="Times New Roman" w:eastAsia="仿宋_GB2312"/>
          <w:sz w:val="28"/>
          <w:szCs w:val="28"/>
        </w:rPr>
        <w:t>一、2014年土地利用现状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_Toc486428839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"_Toc486428840" </w:instrText>
      </w:r>
      <w:r>
        <w:fldChar w:fldCharType="separate"/>
      </w:r>
      <w:r>
        <w:rPr>
          <w:rStyle w:val="16"/>
          <w:rFonts w:ascii="Times New Roman" w:hAnsi="Times New Roman" w:eastAsia="仿宋_GB2312"/>
          <w:sz w:val="28"/>
          <w:szCs w:val="28"/>
        </w:rPr>
        <w:t>（一）土地利用现状及分布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_Toc486428840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"_Toc486428841" </w:instrText>
      </w:r>
      <w:r>
        <w:fldChar w:fldCharType="separate"/>
      </w:r>
      <w:r>
        <w:rPr>
          <w:rStyle w:val="16"/>
          <w:rFonts w:ascii="Times New Roman" w:hAnsi="Times New Roman" w:eastAsia="仿宋_GB2312"/>
          <w:sz w:val="28"/>
          <w:szCs w:val="28"/>
        </w:rPr>
        <w:t>（二）土地利用的特点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_Toc486428841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"_Toc486428842" </w:instrText>
      </w:r>
      <w:r>
        <w:fldChar w:fldCharType="separate"/>
      </w:r>
      <w:r>
        <w:rPr>
          <w:rStyle w:val="16"/>
          <w:rFonts w:ascii="Times New Roman" w:hAnsi="Times New Roman" w:eastAsia="仿宋_GB2312"/>
          <w:sz w:val="28"/>
          <w:szCs w:val="28"/>
        </w:rPr>
        <w:t>（三）土地利用中存在的问题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"_Toc486428843" </w:instrText>
      </w:r>
      <w:r>
        <w:fldChar w:fldCharType="separate"/>
      </w:r>
      <w:r>
        <w:rPr>
          <w:rStyle w:val="16"/>
          <w:rFonts w:ascii="Times New Roman" w:hAnsi="Times New Roman" w:eastAsia="仿宋_GB2312"/>
          <w:sz w:val="28"/>
          <w:szCs w:val="28"/>
        </w:rPr>
        <w:t>二、规划目标调整情况</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_Toc486428843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"_Toc486428844" </w:instrText>
      </w:r>
      <w:r>
        <w:fldChar w:fldCharType="separate"/>
      </w:r>
      <w:r>
        <w:rPr>
          <w:rStyle w:val="16"/>
          <w:rFonts w:ascii="Times New Roman" w:hAnsi="Times New Roman" w:eastAsia="仿宋_GB2312"/>
          <w:sz w:val="28"/>
          <w:szCs w:val="28"/>
        </w:rPr>
        <w:t>（一）耕地保有量调整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"_Toc486428845" </w:instrText>
      </w:r>
      <w:r>
        <w:fldChar w:fldCharType="separate"/>
      </w:r>
      <w:r>
        <w:rPr>
          <w:rStyle w:val="16"/>
          <w:rFonts w:ascii="Times New Roman" w:hAnsi="Times New Roman" w:eastAsia="仿宋_GB2312"/>
          <w:sz w:val="28"/>
          <w:szCs w:val="28"/>
        </w:rPr>
        <w:t>（二）基本农田保护面积调整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"_Toc486428846" </w:instrText>
      </w:r>
      <w:r>
        <w:fldChar w:fldCharType="separate"/>
      </w:r>
      <w:r>
        <w:rPr>
          <w:rStyle w:val="16"/>
          <w:rFonts w:ascii="Times New Roman" w:hAnsi="Times New Roman" w:eastAsia="仿宋_GB2312"/>
          <w:sz w:val="28"/>
          <w:szCs w:val="28"/>
        </w:rPr>
        <w:t>（三）建设用地规模调整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_Toc486428846 \h </w:instrText>
      </w:r>
      <w:r>
        <w:rPr>
          <w:rFonts w:ascii="Times New Roman" w:hAnsi="Times New Roman" w:eastAsia="仿宋_GB2312"/>
          <w:sz w:val="28"/>
          <w:szCs w:val="28"/>
        </w:rPr>
        <w:fldChar w:fldCharType="separate"/>
      </w:r>
      <w:r>
        <w:rPr>
          <w:rFonts w:ascii="Times New Roman" w:hAnsi="Times New Roman" w:eastAsia="仿宋_GB2312"/>
          <w:sz w:val="28"/>
          <w:szCs w:val="28"/>
        </w:rPr>
        <w:t>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"_Toc486428847" </w:instrText>
      </w:r>
      <w:r>
        <w:fldChar w:fldCharType="separate"/>
      </w:r>
      <w:r>
        <w:rPr>
          <w:rStyle w:val="16"/>
          <w:rFonts w:ascii="Times New Roman" w:hAnsi="Times New Roman" w:eastAsia="仿宋_GB2312"/>
          <w:sz w:val="28"/>
          <w:szCs w:val="28"/>
        </w:rPr>
        <w:t>（四）城乡建设用地规模调整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_Toc486428847 \h </w:instrText>
      </w:r>
      <w:r>
        <w:rPr>
          <w:rFonts w:ascii="Times New Roman" w:hAnsi="Times New Roman" w:eastAsia="仿宋_GB2312"/>
          <w:sz w:val="28"/>
          <w:szCs w:val="28"/>
        </w:rPr>
        <w:fldChar w:fldCharType="separate"/>
      </w:r>
      <w:r>
        <w:rPr>
          <w:rFonts w:ascii="Times New Roman" w:hAnsi="Times New Roman" w:eastAsia="仿宋_GB2312"/>
          <w:sz w:val="28"/>
          <w:szCs w:val="28"/>
        </w:rPr>
        <w:t>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"_Toc486428848" </w:instrText>
      </w:r>
      <w:r>
        <w:fldChar w:fldCharType="separate"/>
      </w:r>
      <w:r>
        <w:rPr>
          <w:rStyle w:val="16"/>
          <w:rFonts w:ascii="Times New Roman" w:hAnsi="Times New Roman" w:eastAsia="仿宋_GB2312"/>
          <w:sz w:val="28"/>
          <w:szCs w:val="28"/>
        </w:rPr>
        <w:t>（五）城镇工矿用地规模调整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_Toc486428848 \h </w:instrText>
      </w:r>
      <w:r>
        <w:rPr>
          <w:rFonts w:ascii="Times New Roman" w:hAnsi="Times New Roman" w:eastAsia="仿宋_GB2312"/>
          <w:sz w:val="28"/>
          <w:szCs w:val="28"/>
        </w:rPr>
        <w:fldChar w:fldCharType="separate"/>
      </w:r>
      <w:r>
        <w:rPr>
          <w:rFonts w:ascii="Times New Roman" w:hAnsi="Times New Roman" w:eastAsia="仿宋_GB2312"/>
          <w:sz w:val="28"/>
          <w:szCs w:val="28"/>
        </w:rPr>
        <w:t>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"_Toc486428849" </w:instrText>
      </w:r>
      <w:r>
        <w:fldChar w:fldCharType="separate"/>
      </w:r>
      <w:r>
        <w:rPr>
          <w:rStyle w:val="16"/>
          <w:rFonts w:ascii="Times New Roman" w:hAnsi="Times New Roman" w:eastAsia="仿宋_GB2312"/>
          <w:sz w:val="28"/>
          <w:szCs w:val="28"/>
        </w:rPr>
        <w:t>（六）新增建设用地总量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_Toc486428849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"_Toc486428850" </w:instrText>
      </w:r>
      <w:r>
        <w:fldChar w:fldCharType="separate"/>
      </w:r>
      <w:r>
        <w:rPr>
          <w:rStyle w:val="16"/>
          <w:rFonts w:ascii="Times New Roman" w:hAnsi="Times New Roman" w:eastAsia="仿宋_GB2312"/>
          <w:sz w:val="28"/>
          <w:szCs w:val="28"/>
        </w:rPr>
        <w:t>（七）新增建设用地占用耕地指标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_Toc486428850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"_Toc486428851" </w:instrText>
      </w:r>
      <w:r>
        <w:fldChar w:fldCharType="separate"/>
      </w:r>
      <w:r>
        <w:rPr>
          <w:rStyle w:val="16"/>
          <w:rFonts w:ascii="Times New Roman" w:hAnsi="Times New Roman" w:eastAsia="仿宋_GB2312"/>
          <w:sz w:val="28"/>
          <w:szCs w:val="28"/>
        </w:rPr>
        <w:t>（八）新增建设用地占用农用地指标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_Toc486428851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"_Toc486428852" </w:instrText>
      </w:r>
      <w:r>
        <w:fldChar w:fldCharType="separate"/>
      </w:r>
      <w:r>
        <w:rPr>
          <w:rStyle w:val="16"/>
          <w:rFonts w:ascii="Times New Roman" w:hAnsi="Times New Roman" w:eastAsia="仿宋_GB2312"/>
          <w:sz w:val="28"/>
          <w:szCs w:val="28"/>
        </w:rPr>
        <w:t>（九）土地整治补充耕地规模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_Toc486428852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"_Toc486428853" </w:instrText>
      </w:r>
      <w:r>
        <w:fldChar w:fldCharType="separate"/>
      </w:r>
      <w:r>
        <w:rPr>
          <w:rStyle w:val="16"/>
          <w:rFonts w:ascii="Times New Roman" w:hAnsi="Times New Roman" w:eastAsia="仿宋_GB2312"/>
          <w:sz w:val="28"/>
          <w:szCs w:val="28"/>
        </w:rPr>
        <w:t>（十）人均城镇工矿用地规模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_Toc486428853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"_Toc486428854" </w:instrText>
      </w:r>
      <w:r>
        <w:fldChar w:fldCharType="separate"/>
      </w:r>
      <w:r>
        <w:rPr>
          <w:rStyle w:val="16"/>
          <w:rFonts w:ascii="Times New Roman" w:hAnsi="Times New Roman" w:eastAsia="仿宋_GB2312"/>
          <w:sz w:val="28"/>
          <w:szCs w:val="28"/>
        </w:rPr>
        <w:t>（十一）园地面积调整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_Toc486428854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"_Toc486428855" </w:instrText>
      </w:r>
      <w:r>
        <w:fldChar w:fldCharType="separate"/>
      </w:r>
      <w:r>
        <w:rPr>
          <w:rStyle w:val="16"/>
          <w:rFonts w:ascii="Times New Roman" w:hAnsi="Times New Roman" w:eastAsia="仿宋_GB2312"/>
          <w:sz w:val="28"/>
          <w:szCs w:val="28"/>
        </w:rPr>
        <w:t>（十二）林地面积调整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_Toc486428855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"_Toc486428856" </w:instrText>
      </w:r>
      <w:r>
        <w:fldChar w:fldCharType="separate"/>
      </w:r>
      <w:r>
        <w:rPr>
          <w:rStyle w:val="16"/>
          <w:rFonts w:ascii="Times New Roman" w:hAnsi="Times New Roman" w:eastAsia="仿宋_GB2312"/>
          <w:sz w:val="28"/>
          <w:szCs w:val="28"/>
        </w:rPr>
        <w:t>三、土地利用结构和布局调整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_Toc486428856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"_Toc486428857" </w:instrText>
      </w:r>
      <w:r>
        <w:fldChar w:fldCharType="separate"/>
      </w:r>
      <w:r>
        <w:rPr>
          <w:rStyle w:val="16"/>
          <w:rFonts w:ascii="Times New Roman" w:hAnsi="Times New Roman" w:eastAsia="仿宋_GB2312"/>
          <w:sz w:val="28"/>
          <w:szCs w:val="28"/>
        </w:rPr>
        <w:t>（一）农用地结构和布局调整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_Toc486428857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"_Toc486428858" </w:instrText>
      </w:r>
      <w:r>
        <w:fldChar w:fldCharType="separate"/>
      </w:r>
      <w:r>
        <w:rPr>
          <w:rStyle w:val="16"/>
          <w:rFonts w:ascii="Times New Roman" w:hAnsi="Times New Roman" w:eastAsia="仿宋_GB2312"/>
          <w:sz w:val="28"/>
          <w:szCs w:val="28"/>
        </w:rPr>
        <w:t>（二）建设用地结构和布局调整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"_Toc486428859" </w:instrText>
      </w:r>
      <w:r>
        <w:fldChar w:fldCharType="separate"/>
      </w:r>
      <w:r>
        <w:rPr>
          <w:rStyle w:val="16"/>
          <w:rFonts w:ascii="Times New Roman" w:hAnsi="Times New Roman" w:eastAsia="仿宋_GB2312"/>
          <w:sz w:val="28"/>
          <w:szCs w:val="28"/>
        </w:rPr>
        <w:t>（三）其他用地结构和布局调整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"_Toc486428860" </w:instrText>
      </w:r>
      <w:r>
        <w:fldChar w:fldCharType="separate"/>
      </w:r>
      <w:r>
        <w:rPr>
          <w:rStyle w:val="16"/>
          <w:rFonts w:ascii="Times New Roman" w:hAnsi="Times New Roman" w:eastAsia="仿宋_GB2312"/>
          <w:sz w:val="28"/>
          <w:szCs w:val="28"/>
        </w:rPr>
        <w:t>四、耕地和基本农田保护规划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_Toc486428860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"_Toc486428861" </w:instrText>
      </w:r>
      <w:r>
        <w:fldChar w:fldCharType="separate"/>
      </w:r>
      <w:r>
        <w:rPr>
          <w:rStyle w:val="16"/>
          <w:rFonts w:ascii="Times New Roman" w:hAnsi="Times New Roman" w:eastAsia="仿宋_GB2312"/>
          <w:sz w:val="28"/>
          <w:szCs w:val="28"/>
        </w:rPr>
        <w:t>（一）耕地和基本农田保护目标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"_Toc486428862" </w:instrText>
      </w:r>
      <w:r>
        <w:fldChar w:fldCharType="separate"/>
      </w:r>
      <w:r>
        <w:rPr>
          <w:rStyle w:val="16"/>
          <w:rFonts w:ascii="Times New Roman" w:hAnsi="Times New Roman" w:eastAsia="仿宋_GB2312"/>
          <w:sz w:val="28"/>
          <w:szCs w:val="28"/>
        </w:rPr>
        <w:t>（二）土地综合整治</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_Toc486428862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"_Toc486428863" </w:instrText>
      </w:r>
      <w:r>
        <w:fldChar w:fldCharType="separate"/>
      </w:r>
      <w:r>
        <w:rPr>
          <w:rStyle w:val="16"/>
          <w:rFonts w:ascii="Times New Roman" w:hAnsi="Times New Roman" w:eastAsia="仿宋_GB2312"/>
          <w:sz w:val="28"/>
          <w:szCs w:val="28"/>
        </w:rPr>
        <w:t>（三）基本农田数量保护、质量建设和管护的措施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"_Toc486428864" </w:instrText>
      </w:r>
      <w:r>
        <w:fldChar w:fldCharType="separate"/>
      </w:r>
      <w:r>
        <w:rPr>
          <w:rStyle w:val="16"/>
          <w:rFonts w:ascii="Times New Roman" w:hAnsi="Times New Roman" w:eastAsia="仿宋_GB2312"/>
          <w:sz w:val="28"/>
          <w:szCs w:val="28"/>
        </w:rPr>
        <w:t>五、建设用地规划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_Toc486428864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"_Toc486428865" </w:instrText>
      </w:r>
      <w:r>
        <w:fldChar w:fldCharType="separate"/>
      </w:r>
      <w:r>
        <w:rPr>
          <w:rStyle w:val="16"/>
          <w:rFonts w:ascii="Times New Roman" w:hAnsi="Times New Roman" w:eastAsia="仿宋_GB2312"/>
          <w:sz w:val="28"/>
          <w:szCs w:val="28"/>
        </w:rPr>
        <w:t>（一）城镇和农村居民点用地控制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_Toc486428865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"_Toc486428866" </w:instrText>
      </w:r>
      <w:r>
        <w:fldChar w:fldCharType="separate"/>
      </w:r>
      <w:r>
        <w:rPr>
          <w:rStyle w:val="16"/>
          <w:rFonts w:ascii="Times New Roman" w:hAnsi="Times New Roman" w:eastAsia="仿宋_GB2312"/>
          <w:sz w:val="28"/>
          <w:szCs w:val="28"/>
        </w:rPr>
        <w:t>（二）重点建设项目用地安排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_Toc486428866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"_Toc486428867" </w:instrText>
      </w:r>
      <w:r>
        <w:fldChar w:fldCharType="separate"/>
      </w:r>
      <w:r>
        <w:rPr>
          <w:rStyle w:val="16"/>
          <w:rFonts w:ascii="Times New Roman" w:hAnsi="Times New Roman" w:eastAsia="仿宋_GB2312"/>
          <w:sz w:val="28"/>
          <w:szCs w:val="28"/>
        </w:rPr>
        <w:t>（三）建设用地空间管制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_Toc486428867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"_Toc486428868" </w:instrText>
      </w:r>
      <w:r>
        <w:fldChar w:fldCharType="separate"/>
      </w:r>
      <w:r>
        <w:rPr>
          <w:rStyle w:val="16"/>
          <w:rFonts w:ascii="Times New Roman" w:hAnsi="Times New Roman" w:eastAsia="仿宋_GB2312"/>
          <w:sz w:val="28"/>
          <w:szCs w:val="28"/>
        </w:rPr>
        <w:t>六、用途分区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"_Toc486428869" </w:instrText>
      </w:r>
      <w:r>
        <w:fldChar w:fldCharType="separate"/>
      </w:r>
      <w:r>
        <w:rPr>
          <w:rStyle w:val="16"/>
          <w:rFonts w:ascii="Times New Roman" w:hAnsi="Times New Roman" w:eastAsia="仿宋_GB2312"/>
          <w:sz w:val="28"/>
          <w:szCs w:val="28"/>
        </w:rPr>
        <w:t>（一）基本农田保护区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"_Toc486428870" </w:instrText>
      </w:r>
      <w:r>
        <w:fldChar w:fldCharType="separate"/>
      </w:r>
      <w:r>
        <w:rPr>
          <w:rStyle w:val="16"/>
          <w:rFonts w:ascii="Times New Roman" w:hAnsi="Times New Roman" w:eastAsia="仿宋_GB2312"/>
          <w:sz w:val="28"/>
          <w:szCs w:val="28"/>
        </w:rPr>
        <w:t>（二）一般农地区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"_Toc486428871" </w:instrText>
      </w:r>
      <w:r>
        <w:fldChar w:fldCharType="separate"/>
      </w:r>
      <w:r>
        <w:rPr>
          <w:rStyle w:val="16"/>
          <w:rFonts w:ascii="Times New Roman" w:hAnsi="Times New Roman" w:eastAsia="仿宋_GB2312"/>
          <w:sz w:val="28"/>
          <w:szCs w:val="28"/>
        </w:rPr>
        <w:t>（三）城镇建设用地区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_Toc486428871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"_Toc486428872" </w:instrText>
      </w:r>
      <w:r>
        <w:fldChar w:fldCharType="separate"/>
      </w:r>
      <w:r>
        <w:rPr>
          <w:rStyle w:val="16"/>
          <w:rFonts w:ascii="Times New Roman" w:hAnsi="Times New Roman" w:eastAsia="仿宋_GB2312"/>
          <w:sz w:val="28"/>
          <w:szCs w:val="28"/>
        </w:rPr>
        <w:t>（四）村镇建设用地区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_Toc486428872 \h </w:instrText>
      </w:r>
      <w:r>
        <w:rPr>
          <w:rFonts w:ascii="Times New Roman" w:hAnsi="Times New Roman" w:eastAsia="仿宋_GB2312"/>
          <w:sz w:val="28"/>
          <w:szCs w:val="28"/>
        </w:rPr>
        <w:fldChar w:fldCharType="separate"/>
      </w:r>
      <w:r>
        <w:rPr>
          <w:rFonts w:ascii="Times New Roman" w:hAnsi="Times New Roman" w:eastAsia="仿宋_GB2312"/>
          <w:sz w:val="28"/>
          <w:szCs w:val="28"/>
        </w:rPr>
        <w:t>25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"_Toc486428873" </w:instrText>
      </w:r>
      <w:r>
        <w:fldChar w:fldCharType="separate"/>
      </w:r>
      <w:r>
        <w:rPr>
          <w:rStyle w:val="16"/>
          <w:rFonts w:ascii="Times New Roman" w:hAnsi="Times New Roman" w:eastAsia="仿宋_GB2312"/>
          <w:sz w:val="28"/>
          <w:szCs w:val="28"/>
        </w:rPr>
        <w:t>（五）独立工矿用地区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_Toc486428873 \h </w:instrText>
      </w:r>
      <w:r>
        <w:rPr>
          <w:rFonts w:ascii="Times New Roman" w:hAnsi="Times New Roman" w:eastAsia="仿宋_GB2312"/>
          <w:sz w:val="28"/>
          <w:szCs w:val="28"/>
        </w:rPr>
        <w:fldChar w:fldCharType="separate"/>
      </w:r>
      <w:r>
        <w:rPr>
          <w:rFonts w:ascii="Times New Roman" w:hAnsi="Times New Roman" w:eastAsia="仿宋_GB2312"/>
          <w:sz w:val="28"/>
          <w:szCs w:val="28"/>
        </w:rPr>
        <w:t>25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"_Toc486428874" </w:instrText>
      </w:r>
      <w:r>
        <w:fldChar w:fldCharType="separate"/>
      </w:r>
      <w:r>
        <w:rPr>
          <w:rStyle w:val="16"/>
          <w:rFonts w:ascii="Times New Roman" w:hAnsi="Times New Roman" w:eastAsia="仿宋_GB2312"/>
          <w:sz w:val="28"/>
          <w:szCs w:val="28"/>
        </w:rPr>
        <w:t>（六）林业用地区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_Toc486428874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"_Toc486428875" </w:instrText>
      </w:r>
      <w:r>
        <w:fldChar w:fldCharType="separate"/>
      </w:r>
      <w:r>
        <w:rPr>
          <w:rStyle w:val="16"/>
          <w:rFonts w:ascii="Times New Roman" w:hAnsi="Times New Roman" w:eastAsia="仿宋_GB2312"/>
          <w:sz w:val="28"/>
          <w:szCs w:val="28"/>
        </w:rPr>
        <w:t>（七）其他用地区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_Toc486428875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"_Toc486428876" </w:instrText>
      </w:r>
      <w:r>
        <w:fldChar w:fldCharType="separate"/>
      </w:r>
      <w:r>
        <w:rPr>
          <w:rStyle w:val="16"/>
          <w:rFonts w:ascii="Times New Roman" w:hAnsi="Times New Roman" w:eastAsia="仿宋_GB2312"/>
          <w:sz w:val="28"/>
          <w:szCs w:val="28"/>
        </w:rPr>
        <w:t>七、生态保护用地规划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_Toc486428876 \h </w:instrText>
      </w:r>
      <w:r>
        <w:rPr>
          <w:rFonts w:ascii="Times New Roman" w:hAnsi="Times New Roman" w:eastAsia="仿宋_GB2312"/>
          <w:sz w:val="28"/>
          <w:szCs w:val="28"/>
        </w:rPr>
        <w:fldChar w:fldCharType="separate"/>
      </w:r>
      <w:r>
        <w:rPr>
          <w:rFonts w:ascii="Times New Roman" w:hAnsi="Times New Roman" w:eastAsia="仿宋_GB2312"/>
          <w:sz w:val="28"/>
          <w:szCs w:val="28"/>
        </w:rPr>
        <w:t>28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"_Toc486428877" </w:instrText>
      </w:r>
      <w:r>
        <w:fldChar w:fldCharType="separate"/>
      </w:r>
      <w:r>
        <w:rPr>
          <w:rStyle w:val="16"/>
          <w:rFonts w:ascii="Times New Roman" w:hAnsi="Times New Roman" w:eastAsia="仿宋_GB2312"/>
          <w:sz w:val="28"/>
          <w:szCs w:val="28"/>
        </w:rPr>
        <w:t>（一）构建良好的农业生态环境基础</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_Toc486428877 \h </w:instrText>
      </w:r>
      <w:r>
        <w:rPr>
          <w:rFonts w:ascii="Times New Roman" w:hAnsi="Times New Roman" w:eastAsia="仿宋_GB2312"/>
          <w:sz w:val="28"/>
          <w:szCs w:val="28"/>
        </w:rPr>
        <w:fldChar w:fldCharType="separate"/>
      </w:r>
      <w:r>
        <w:rPr>
          <w:rFonts w:ascii="Times New Roman" w:hAnsi="Times New Roman" w:eastAsia="仿宋_GB2312"/>
          <w:sz w:val="28"/>
          <w:szCs w:val="28"/>
        </w:rPr>
        <w:t>28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"_Toc486428878" </w:instrText>
      </w:r>
      <w:r>
        <w:fldChar w:fldCharType="separate"/>
      </w:r>
      <w:r>
        <w:rPr>
          <w:rStyle w:val="16"/>
          <w:rFonts w:ascii="Times New Roman" w:hAnsi="Times New Roman" w:eastAsia="仿宋_GB2312"/>
          <w:sz w:val="28"/>
          <w:szCs w:val="28"/>
        </w:rPr>
        <w:t>（二）加强城镇生态环境建设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_Toc486428878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"_Toc486428879" </w:instrText>
      </w:r>
      <w:r>
        <w:fldChar w:fldCharType="separate"/>
      </w:r>
      <w:r>
        <w:rPr>
          <w:rStyle w:val="16"/>
          <w:rFonts w:ascii="Times New Roman" w:hAnsi="Times New Roman" w:eastAsia="仿宋_GB2312"/>
          <w:sz w:val="28"/>
          <w:szCs w:val="28"/>
        </w:rPr>
        <w:t>（三）加强农村地区生态环境建设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_Toc486428879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"_Toc486428880" </w:instrText>
      </w:r>
      <w:r>
        <w:fldChar w:fldCharType="separate"/>
      </w:r>
      <w:r>
        <w:rPr>
          <w:rStyle w:val="16"/>
          <w:rFonts w:ascii="Times New Roman" w:hAnsi="Times New Roman" w:eastAsia="仿宋_GB2312"/>
          <w:sz w:val="28"/>
          <w:szCs w:val="28"/>
        </w:rPr>
        <w:t>附表一  新云乡土地利用主要调控指标表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"_Toc486428881" </w:instrText>
      </w:r>
      <w:r>
        <w:fldChar w:fldCharType="separate"/>
      </w:r>
      <w:r>
        <w:rPr>
          <w:rStyle w:val="16"/>
          <w:rFonts w:ascii="Times New Roman" w:hAnsi="Times New Roman" w:eastAsia="仿宋_GB2312"/>
          <w:sz w:val="28"/>
          <w:szCs w:val="28"/>
        </w:rPr>
        <w:t>附表二  新云乡土地利用结构调整表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"_Toc486428882" </w:instrText>
      </w:r>
      <w:r>
        <w:fldChar w:fldCharType="separate"/>
      </w:r>
      <w:r>
        <w:rPr>
          <w:rStyle w:val="16"/>
          <w:rFonts w:ascii="Times New Roman" w:hAnsi="Times New Roman" w:eastAsia="仿宋_GB2312"/>
          <w:sz w:val="28"/>
          <w:szCs w:val="28"/>
        </w:rPr>
        <w:t>附表三  新云乡各乡村土地用途分区面积表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_Toc486428882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"_Toc486428883" </w:instrText>
      </w:r>
      <w:r>
        <w:fldChar w:fldCharType="separate"/>
      </w:r>
      <w:r>
        <w:rPr>
          <w:rStyle w:val="16"/>
          <w:rFonts w:ascii="Times New Roman" w:hAnsi="Times New Roman" w:eastAsia="仿宋_GB2312"/>
          <w:sz w:val="28"/>
          <w:szCs w:val="28"/>
        </w:rPr>
        <w:t>附表四   新云乡耕地保有量、基本农田情况表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_Toc486428883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"_Toc486428884" </w:instrText>
      </w:r>
      <w:r>
        <w:fldChar w:fldCharType="separate"/>
      </w:r>
      <w:r>
        <w:rPr>
          <w:rStyle w:val="16"/>
          <w:rFonts w:ascii="Times New Roman" w:hAnsi="Times New Roman" w:eastAsia="仿宋_GB2312"/>
          <w:sz w:val="28"/>
          <w:szCs w:val="28"/>
        </w:rPr>
        <w:t>附表五  新云乡省、市、县重点建设项目规划表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_Toc486428884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"_Toc486428885" </w:instrText>
      </w:r>
      <w:r>
        <w:fldChar w:fldCharType="separate"/>
      </w:r>
      <w:r>
        <w:rPr>
          <w:rStyle w:val="16"/>
          <w:rFonts w:ascii="Times New Roman" w:hAnsi="Times New Roman" w:eastAsia="仿宋_GB2312"/>
          <w:sz w:val="28"/>
          <w:szCs w:val="28"/>
        </w:rPr>
        <w:t>附表六  新云乡各乡村规划控制指标表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_Toc486428885 \h </w:instrText>
      </w:r>
      <w:r>
        <w:rPr>
          <w:rFonts w:ascii="Times New Roman" w:hAnsi="Times New Roman" w:eastAsia="仿宋_GB2312"/>
          <w:sz w:val="28"/>
          <w:szCs w:val="28"/>
        </w:rPr>
        <w:fldChar w:fldCharType="separate"/>
      </w:r>
      <w:r>
        <w:rPr>
          <w:rFonts w:ascii="Times New Roman" w:hAnsi="Times New Roman" w:eastAsia="仿宋_GB2312"/>
          <w:sz w:val="28"/>
          <w:szCs w:val="28"/>
        </w:rPr>
        <w:t>37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spacing w:line="500" w:lineRule="exact"/>
        <w:jc w:val="center"/>
        <w:rPr>
          <w:rFonts w:ascii="Times New Roman" w:hAnsi="Times New Roman" w:eastAsia="仿宋_GB2312"/>
          <w:sz w:val="28"/>
          <w:szCs w:val="28"/>
        </w:rPr>
      </w:pPr>
      <w:r>
        <w:rPr>
          <w:rFonts w:ascii="Times New Roman" w:hAnsi="Times New Roman" w:eastAsia="仿宋_GB2312"/>
          <w:sz w:val="28"/>
          <w:szCs w:val="28"/>
        </w:rPr>
        <w:fldChar w:fldCharType="end"/>
      </w:r>
    </w:p>
    <w:p>
      <w:pPr>
        <w:spacing w:line="500" w:lineRule="exact"/>
        <w:jc w:val="center"/>
        <w:rPr>
          <w:rFonts w:ascii="Times New Roman" w:hAnsi="Times New Roman" w:eastAsia="仿宋_GB2312"/>
          <w:sz w:val="28"/>
          <w:szCs w:val="28"/>
        </w:rPr>
      </w:pPr>
    </w:p>
    <w:p>
      <w:pPr>
        <w:widowControl/>
        <w:jc w:val="left"/>
        <w:rPr>
          <w:rFonts w:ascii="Times New Roman" w:hAnsi="Times New Roman"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pStyle w:val="2"/>
        <w:rPr>
          <w:rFonts w:ascii="Times New Roman" w:hAnsi="Times New Roman"/>
        </w:rPr>
      </w:pPr>
      <w:bookmarkStart w:id="0" w:name="_Toc486428839"/>
      <w:r>
        <w:rPr>
          <w:rFonts w:ascii="Times New Roman" w:hAnsi="Times New Roman"/>
        </w:rPr>
        <w:t>一、2014年土地利用现状</w:t>
      </w:r>
      <w:bookmarkEnd w:id="0"/>
    </w:p>
    <w:p>
      <w:pPr>
        <w:pStyle w:val="3"/>
        <w:rPr>
          <w:rFonts w:ascii="Times New Roman" w:hAnsi="Times New Roman" w:cs="Times New Roman"/>
        </w:rPr>
      </w:pPr>
      <w:bookmarkStart w:id="1" w:name="_Toc486428840"/>
      <w:r>
        <w:rPr>
          <w:rFonts w:ascii="Times New Roman" w:hAnsi="Times New Roman" w:cs="Times New Roman"/>
        </w:rPr>
        <w:t>（一）土地利用现状及分布</w:t>
      </w:r>
      <w:bookmarkEnd w:id="1"/>
    </w:p>
    <w:p>
      <w:pPr>
        <w:ind w:firstLine="560" w:firstLineChars="200"/>
        <w:rPr>
          <w:rFonts w:ascii="Times New Roman" w:hAnsi="Times New Roman" w:eastAsia="仿宋_GB2312"/>
          <w:color w:val="000000"/>
          <w:kern w:val="0"/>
          <w:sz w:val="22"/>
        </w:rPr>
      </w:pPr>
      <w:r>
        <w:rPr>
          <w:rFonts w:ascii="Times New Roman" w:hAnsi="Times New Roman" w:eastAsia="仿宋_GB2312"/>
          <w:sz w:val="28"/>
          <w:szCs w:val="28"/>
        </w:rPr>
        <w:t>根据五通桥2014年土地利用现状变更调查结果，2014年新云乡土地总面积2306.23公顷。其中农用地面积2162.29公顷，占土地总面积的93.76%；建设用地面积123.58 公顷，占土地总面积的5.36%；其他土地面积20.36  公顷，占土地总面积的0.88%。</w:t>
      </w:r>
    </w:p>
    <w:p>
      <w:pPr>
        <w:pStyle w:val="4"/>
        <w:ind w:firstLine="562"/>
        <w:rPr>
          <w:rFonts w:ascii="Times New Roman" w:hAnsi="Times New Roman"/>
        </w:rPr>
      </w:pPr>
      <w:r>
        <w:rPr>
          <w:rFonts w:ascii="Times New Roman" w:hAnsi="Times New Roman"/>
        </w:rPr>
        <w:t>1．农用地</w:t>
      </w:r>
    </w:p>
    <w:p>
      <w:pPr>
        <w:spacing w:line="50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（1）耕地</w:t>
      </w:r>
    </w:p>
    <w:p>
      <w:pPr>
        <w:ind w:left="2" w:firstLine="560" w:firstLineChars="200"/>
        <w:rPr>
          <w:rFonts w:ascii="Times New Roman" w:hAnsi="Times New Roman" w:eastAsia="仿宋_GB2312"/>
          <w:sz w:val="28"/>
          <w:szCs w:val="28"/>
        </w:rPr>
      </w:pPr>
      <w:r>
        <w:rPr>
          <w:rFonts w:ascii="Times New Roman" w:hAnsi="Times New Roman" w:eastAsia="仿宋_GB2312"/>
          <w:sz w:val="28"/>
          <w:szCs w:val="28"/>
        </w:rPr>
        <w:t>全镇耕地面积为1079.97 公顷，占农用地面积的49.95%；</w:t>
      </w:r>
      <w:bookmarkStart w:id="2" w:name="_Hlk486281055"/>
      <w:bookmarkStart w:id="3" w:name="_Hlk486263791"/>
      <w:r>
        <w:rPr>
          <w:rFonts w:ascii="Times New Roman" w:hAnsi="Times New Roman" w:eastAsia="仿宋_GB2312"/>
          <w:sz w:val="28"/>
          <w:szCs w:val="28"/>
        </w:rPr>
        <w:t>主要分布情况为</w:t>
      </w:r>
      <w:r>
        <w:rPr>
          <w:rFonts w:hint="eastAsia" w:ascii="Times New Roman" w:hAnsi="Times New Roman" w:eastAsia="仿宋_GB2312"/>
          <w:sz w:val="28"/>
          <w:szCs w:val="28"/>
        </w:rPr>
        <w:t>灯杆村</w:t>
      </w:r>
      <w:r>
        <w:rPr>
          <w:rFonts w:ascii="Times New Roman" w:hAnsi="Times New Roman" w:eastAsia="仿宋_GB2312"/>
          <w:sz w:val="28"/>
          <w:szCs w:val="28"/>
        </w:rPr>
        <w:t>89.21公顷、</w:t>
      </w:r>
      <w:r>
        <w:rPr>
          <w:rFonts w:hint="eastAsia" w:ascii="Times New Roman" w:hAnsi="Times New Roman" w:eastAsia="仿宋_GB2312"/>
          <w:sz w:val="28"/>
          <w:szCs w:val="28"/>
        </w:rPr>
        <w:t>真武村</w:t>
      </w:r>
      <w:r>
        <w:rPr>
          <w:rFonts w:ascii="Times New Roman" w:hAnsi="Times New Roman" w:eastAsia="仿宋_GB2312"/>
          <w:sz w:val="28"/>
          <w:szCs w:val="28"/>
        </w:rPr>
        <w:t>87.51公顷、</w:t>
      </w:r>
      <w:r>
        <w:rPr>
          <w:rFonts w:hint="eastAsia" w:ascii="Times New Roman" w:hAnsi="Times New Roman" w:eastAsia="仿宋_GB2312"/>
          <w:sz w:val="28"/>
          <w:szCs w:val="28"/>
        </w:rPr>
        <w:t>加阳村</w:t>
      </w:r>
      <w:r>
        <w:rPr>
          <w:rFonts w:ascii="Times New Roman" w:hAnsi="Times New Roman" w:eastAsia="仿宋_GB2312"/>
          <w:sz w:val="28"/>
          <w:szCs w:val="28"/>
        </w:rPr>
        <w:t>117.71公顷、</w:t>
      </w:r>
      <w:r>
        <w:rPr>
          <w:rFonts w:hint="eastAsia" w:ascii="Times New Roman" w:hAnsi="Times New Roman" w:eastAsia="仿宋_GB2312"/>
          <w:sz w:val="28"/>
          <w:szCs w:val="28"/>
        </w:rPr>
        <w:t>新云村</w:t>
      </w:r>
      <w:r>
        <w:rPr>
          <w:rFonts w:ascii="Times New Roman" w:hAnsi="Times New Roman" w:eastAsia="仿宋_GB2312"/>
          <w:sz w:val="28"/>
          <w:szCs w:val="28"/>
        </w:rPr>
        <w:t>121.79公顷、</w:t>
      </w:r>
      <w:r>
        <w:rPr>
          <w:rFonts w:hint="eastAsia" w:ascii="Times New Roman" w:hAnsi="Times New Roman" w:eastAsia="仿宋_GB2312"/>
          <w:sz w:val="28"/>
          <w:szCs w:val="28"/>
        </w:rPr>
        <w:t>中华村</w:t>
      </w:r>
      <w:r>
        <w:rPr>
          <w:rFonts w:ascii="Times New Roman" w:hAnsi="Times New Roman" w:eastAsia="仿宋_GB2312"/>
          <w:sz w:val="28"/>
          <w:szCs w:val="28"/>
        </w:rPr>
        <w:t>97.25公顷、</w:t>
      </w:r>
      <w:r>
        <w:rPr>
          <w:rFonts w:hint="eastAsia" w:ascii="Times New Roman" w:hAnsi="Times New Roman" w:eastAsia="仿宋_GB2312"/>
          <w:sz w:val="28"/>
          <w:szCs w:val="28"/>
        </w:rPr>
        <w:t>上游村</w:t>
      </w:r>
      <w:r>
        <w:rPr>
          <w:rFonts w:ascii="Times New Roman" w:hAnsi="Times New Roman" w:eastAsia="仿宋_GB2312"/>
          <w:sz w:val="28"/>
          <w:szCs w:val="28"/>
        </w:rPr>
        <w:t>104.94公顷、</w:t>
      </w:r>
      <w:r>
        <w:rPr>
          <w:rFonts w:hint="eastAsia" w:ascii="Times New Roman" w:hAnsi="Times New Roman" w:eastAsia="仿宋_GB2312"/>
          <w:sz w:val="28"/>
          <w:szCs w:val="28"/>
        </w:rPr>
        <w:t>燕山村</w:t>
      </w:r>
      <w:r>
        <w:rPr>
          <w:rFonts w:ascii="Times New Roman" w:hAnsi="Times New Roman" w:eastAsia="仿宋_GB2312"/>
          <w:sz w:val="28"/>
          <w:szCs w:val="28"/>
        </w:rPr>
        <w:t>182.68公顷、</w:t>
      </w:r>
      <w:r>
        <w:rPr>
          <w:rFonts w:hint="eastAsia" w:ascii="Times New Roman" w:hAnsi="Times New Roman" w:eastAsia="仿宋_GB2312"/>
          <w:sz w:val="28"/>
          <w:szCs w:val="28"/>
        </w:rPr>
        <w:t>华联村</w:t>
      </w:r>
      <w:r>
        <w:rPr>
          <w:rFonts w:ascii="Times New Roman" w:hAnsi="Times New Roman" w:eastAsia="仿宋_GB2312"/>
          <w:sz w:val="28"/>
          <w:szCs w:val="28"/>
        </w:rPr>
        <w:t>69.87公顷、</w:t>
      </w:r>
      <w:r>
        <w:rPr>
          <w:rFonts w:hint="eastAsia" w:ascii="Times New Roman" w:hAnsi="Times New Roman" w:eastAsia="仿宋_GB2312"/>
          <w:sz w:val="28"/>
          <w:szCs w:val="28"/>
        </w:rPr>
        <w:t>农乐村</w:t>
      </w:r>
      <w:r>
        <w:rPr>
          <w:rFonts w:ascii="Times New Roman" w:hAnsi="Times New Roman" w:eastAsia="仿宋_GB2312"/>
          <w:sz w:val="28"/>
          <w:szCs w:val="28"/>
        </w:rPr>
        <w:t>105.58公顷、</w:t>
      </w:r>
      <w:r>
        <w:rPr>
          <w:rFonts w:hint="eastAsia" w:ascii="Times New Roman" w:hAnsi="Times New Roman" w:eastAsia="仿宋_GB2312"/>
          <w:sz w:val="28"/>
          <w:szCs w:val="28"/>
        </w:rPr>
        <w:t>代河村</w:t>
      </w:r>
      <w:r>
        <w:rPr>
          <w:rFonts w:ascii="Times New Roman" w:hAnsi="Times New Roman" w:eastAsia="仿宋_GB2312"/>
          <w:sz w:val="28"/>
          <w:szCs w:val="28"/>
        </w:rPr>
        <w:t>103.43公顷。</w:t>
      </w:r>
      <w:bookmarkEnd w:id="2"/>
    </w:p>
    <w:bookmarkEnd w:id="3"/>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（2）园地</w:t>
      </w:r>
    </w:p>
    <w:p>
      <w:pPr>
        <w:ind w:left="2" w:firstLine="560" w:firstLineChars="200"/>
        <w:rPr>
          <w:rFonts w:ascii="Times New Roman" w:hAnsi="Times New Roman" w:eastAsia="仿宋_GB2312"/>
          <w:sz w:val="28"/>
          <w:szCs w:val="28"/>
        </w:rPr>
      </w:pPr>
      <w:r>
        <w:rPr>
          <w:rFonts w:ascii="Times New Roman" w:hAnsi="Times New Roman" w:eastAsia="仿宋_GB2312"/>
          <w:sz w:val="28"/>
          <w:szCs w:val="28"/>
        </w:rPr>
        <w:t>全镇园地面积为30.70 公顷，占农用地面积的1.42%；主要分布情况为</w:t>
      </w:r>
      <w:r>
        <w:rPr>
          <w:rFonts w:hint="eastAsia" w:ascii="Times New Roman" w:hAnsi="Times New Roman" w:eastAsia="仿宋_GB2312"/>
          <w:sz w:val="28"/>
          <w:szCs w:val="28"/>
        </w:rPr>
        <w:t>灯杆村</w:t>
      </w:r>
      <w:r>
        <w:rPr>
          <w:rFonts w:ascii="Times New Roman" w:hAnsi="Times New Roman" w:eastAsia="仿宋_GB2312"/>
          <w:sz w:val="28"/>
          <w:szCs w:val="28"/>
        </w:rPr>
        <w:t>3.19公顷、</w:t>
      </w:r>
      <w:r>
        <w:rPr>
          <w:rFonts w:hint="eastAsia" w:ascii="Times New Roman" w:hAnsi="Times New Roman" w:eastAsia="仿宋_GB2312"/>
          <w:sz w:val="28"/>
          <w:szCs w:val="28"/>
        </w:rPr>
        <w:t>真武村</w:t>
      </w:r>
      <w:r>
        <w:rPr>
          <w:rFonts w:ascii="Times New Roman" w:hAnsi="Times New Roman" w:eastAsia="仿宋_GB2312"/>
          <w:sz w:val="28"/>
          <w:szCs w:val="28"/>
        </w:rPr>
        <w:t>2.45公顷、</w:t>
      </w:r>
      <w:r>
        <w:rPr>
          <w:rFonts w:hint="eastAsia" w:ascii="Times New Roman" w:hAnsi="Times New Roman" w:eastAsia="仿宋_GB2312"/>
          <w:sz w:val="28"/>
          <w:szCs w:val="28"/>
        </w:rPr>
        <w:t>加阳村</w:t>
      </w:r>
      <w:r>
        <w:rPr>
          <w:rFonts w:ascii="Times New Roman" w:hAnsi="Times New Roman" w:eastAsia="仿宋_GB2312"/>
          <w:sz w:val="28"/>
          <w:szCs w:val="28"/>
        </w:rPr>
        <w:t>2.19公顷、</w:t>
      </w:r>
      <w:r>
        <w:rPr>
          <w:rFonts w:hint="eastAsia" w:ascii="Times New Roman" w:hAnsi="Times New Roman" w:eastAsia="仿宋_GB2312"/>
          <w:sz w:val="28"/>
          <w:szCs w:val="28"/>
        </w:rPr>
        <w:t>新云村</w:t>
      </w:r>
      <w:r>
        <w:rPr>
          <w:rFonts w:ascii="Times New Roman" w:hAnsi="Times New Roman" w:eastAsia="仿宋_GB2312"/>
          <w:sz w:val="28"/>
          <w:szCs w:val="28"/>
        </w:rPr>
        <w:t>5.29公顷、</w:t>
      </w:r>
      <w:r>
        <w:rPr>
          <w:rFonts w:hint="eastAsia" w:ascii="Times New Roman" w:hAnsi="Times New Roman" w:eastAsia="仿宋_GB2312"/>
          <w:sz w:val="28"/>
          <w:szCs w:val="28"/>
        </w:rPr>
        <w:t>中华村</w:t>
      </w:r>
      <w:r>
        <w:rPr>
          <w:rFonts w:ascii="Times New Roman" w:hAnsi="Times New Roman" w:eastAsia="仿宋_GB2312"/>
          <w:sz w:val="28"/>
          <w:szCs w:val="28"/>
        </w:rPr>
        <w:t>2.58公顷、</w:t>
      </w:r>
      <w:r>
        <w:rPr>
          <w:rFonts w:hint="eastAsia" w:ascii="Times New Roman" w:hAnsi="Times New Roman" w:eastAsia="仿宋_GB2312"/>
          <w:sz w:val="28"/>
          <w:szCs w:val="28"/>
        </w:rPr>
        <w:t>上游村</w:t>
      </w:r>
      <w:r>
        <w:rPr>
          <w:rFonts w:ascii="Times New Roman" w:hAnsi="Times New Roman" w:eastAsia="仿宋_GB2312"/>
          <w:sz w:val="28"/>
          <w:szCs w:val="28"/>
        </w:rPr>
        <w:t>4.67公顷、</w:t>
      </w:r>
      <w:r>
        <w:rPr>
          <w:rFonts w:hint="eastAsia" w:ascii="Times New Roman" w:hAnsi="Times New Roman" w:eastAsia="仿宋_GB2312"/>
          <w:sz w:val="28"/>
          <w:szCs w:val="28"/>
        </w:rPr>
        <w:t>燕山村</w:t>
      </w:r>
      <w:r>
        <w:rPr>
          <w:rFonts w:ascii="Times New Roman" w:hAnsi="Times New Roman" w:eastAsia="仿宋_GB2312"/>
          <w:sz w:val="28"/>
          <w:szCs w:val="28"/>
        </w:rPr>
        <w:t>5.6</w:t>
      </w:r>
      <w:r>
        <w:rPr>
          <w:rFonts w:hint="eastAsia" w:ascii="Times New Roman" w:hAnsi="Times New Roman" w:eastAsia="仿宋_GB2312"/>
          <w:sz w:val="28"/>
          <w:szCs w:val="28"/>
        </w:rPr>
        <w:t>0</w:t>
      </w:r>
      <w:r>
        <w:rPr>
          <w:rFonts w:ascii="Times New Roman" w:hAnsi="Times New Roman" w:eastAsia="仿宋_GB2312"/>
          <w:sz w:val="28"/>
          <w:szCs w:val="28"/>
        </w:rPr>
        <w:t>公顷、</w:t>
      </w:r>
      <w:r>
        <w:rPr>
          <w:rFonts w:hint="eastAsia" w:ascii="Times New Roman" w:hAnsi="Times New Roman" w:eastAsia="仿宋_GB2312"/>
          <w:sz w:val="28"/>
          <w:szCs w:val="28"/>
        </w:rPr>
        <w:t>华联村</w:t>
      </w:r>
      <w:r>
        <w:rPr>
          <w:rFonts w:ascii="Times New Roman" w:hAnsi="Times New Roman" w:eastAsia="仿宋_GB2312"/>
          <w:sz w:val="28"/>
          <w:szCs w:val="28"/>
        </w:rPr>
        <w:t>1.37公顷、</w:t>
      </w:r>
      <w:r>
        <w:rPr>
          <w:rFonts w:hint="eastAsia" w:ascii="Times New Roman" w:hAnsi="Times New Roman" w:eastAsia="仿宋_GB2312"/>
          <w:sz w:val="28"/>
          <w:szCs w:val="28"/>
        </w:rPr>
        <w:t>农乐村</w:t>
      </w:r>
      <w:r>
        <w:rPr>
          <w:rFonts w:ascii="Times New Roman" w:hAnsi="Times New Roman" w:eastAsia="仿宋_GB2312"/>
          <w:sz w:val="28"/>
          <w:szCs w:val="28"/>
        </w:rPr>
        <w:t>2.28公顷、</w:t>
      </w:r>
      <w:r>
        <w:rPr>
          <w:rFonts w:hint="eastAsia" w:ascii="Times New Roman" w:hAnsi="Times New Roman" w:eastAsia="仿宋_GB2312"/>
          <w:sz w:val="28"/>
          <w:szCs w:val="28"/>
        </w:rPr>
        <w:t>代河村</w:t>
      </w:r>
      <w:r>
        <w:rPr>
          <w:rFonts w:ascii="Times New Roman" w:hAnsi="Times New Roman" w:eastAsia="仿宋_GB2312"/>
          <w:sz w:val="28"/>
          <w:szCs w:val="28"/>
        </w:rPr>
        <w:t>1.08公顷。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（3）林地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全镇林地面积为880.21 公顷，占农用地面积的40.71%；主要分布情况为</w:t>
      </w:r>
      <w:r>
        <w:rPr>
          <w:rFonts w:hint="eastAsia" w:ascii="Times New Roman" w:hAnsi="Times New Roman" w:eastAsia="仿宋_GB2312"/>
          <w:sz w:val="28"/>
          <w:szCs w:val="28"/>
        </w:rPr>
        <w:t>灯杆村</w:t>
      </w:r>
      <w:r>
        <w:rPr>
          <w:rFonts w:ascii="Times New Roman" w:hAnsi="Times New Roman" w:eastAsia="仿宋_GB2312"/>
          <w:sz w:val="28"/>
          <w:szCs w:val="28"/>
        </w:rPr>
        <w:t>57.03公顷、</w:t>
      </w:r>
      <w:r>
        <w:rPr>
          <w:rFonts w:hint="eastAsia" w:ascii="Times New Roman" w:hAnsi="Times New Roman" w:eastAsia="仿宋_GB2312"/>
          <w:sz w:val="28"/>
          <w:szCs w:val="28"/>
        </w:rPr>
        <w:t>真武村</w:t>
      </w:r>
      <w:r>
        <w:rPr>
          <w:rFonts w:ascii="Times New Roman" w:hAnsi="Times New Roman" w:eastAsia="仿宋_GB2312"/>
          <w:sz w:val="28"/>
          <w:szCs w:val="28"/>
        </w:rPr>
        <w:t>94.71公顷、</w:t>
      </w:r>
      <w:r>
        <w:rPr>
          <w:rFonts w:hint="eastAsia" w:ascii="Times New Roman" w:hAnsi="Times New Roman" w:eastAsia="仿宋_GB2312"/>
          <w:sz w:val="28"/>
          <w:szCs w:val="28"/>
        </w:rPr>
        <w:t>加阳村</w:t>
      </w:r>
      <w:r>
        <w:rPr>
          <w:rFonts w:ascii="Times New Roman" w:hAnsi="Times New Roman" w:eastAsia="仿宋_GB2312"/>
          <w:sz w:val="28"/>
          <w:szCs w:val="28"/>
        </w:rPr>
        <w:t>114.88公顷、</w:t>
      </w:r>
      <w:r>
        <w:rPr>
          <w:rFonts w:hint="eastAsia" w:ascii="Times New Roman" w:hAnsi="Times New Roman" w:eastAsia="仿宋_GB2312"/>
          <w:sz w:val="28"/>
          <w:szCs w:val="28"/>
        </w:rPr>
        <w:t>新云村</w:t>
      </w:r>
      <w:r>
        <w:rPr>
          <w:rFonts w:ascii="Times New Roman" w:hAnsi="Times New Roman" w:eastAsia="仿宋_GB2312"/>
          <w:sz w:val="28"/>
          <w:szCs w:val="28"/>
        </w:rPr>
        <w:t>90.97公顷、</w:t>
      </w:r>
      <w:r>
        <w:rPr>
          <w:rFonts w:hint="eastAsia" w:ascii="Times New Roman" w:hAnsi="Times New Roman" w:eastAsia="仿宋_GB2312"/>
          <w:sz w:val="28"/>
          <w:szCs w:val="28"/>
        </w:rPr>
        <w:t>中华村</w:t>
      </w:r>
      <w:r>
        <w:rPr>
          <w:rFonts w:ascii="Times New Roman" w:hAnsi="Times New Roman" w:eastAsia="仿宋_GB2312"/>
          <w:sz w:val="28"/>
          <w:szCs w:val="28"/>
        </w:rPr>
        <w:t>83.67公顷、</w:t>
      </w:r>
      <w:r>
        <w:rPr>
          <w:rFonts w:hint="eastAsia" w:ascii="Times New Roman" w:hAnsi="Times New Roman" w:eastAsia="仿宋_GB2312"/>
          <w:sz w:val="28"/>
          <w:szCs w:val="28"/>
        </w:rPr>
        <w:t>上游村</w:t>
      </w:r>
      <w:r>
        <w:rPr>
          <w:rFonts w:ascii="Times New Roman" w:hAnsi="Times New Roman" w:eastAsia="仿宋_GB2312"/>
          <w:sz w:val="28"/>
          <w:szCs w:val="28"/>
        </w:rPr>
        <w:t>64.19公顷、</w:t>
      </w:r>
      <w:r>
        <w:rPr>
          <w:rFonts w:hint="eastAsia" w:ascii="Times New Roman" w:hAnsi="Times New Roman" w:eastAsia="仿宋_GB2312"/>
          <w:sz w:val="28"/>
          <w:szCs w:val="28"/>
        </w:rPr>
        <w:t>燕山村</w:t>
      </w:r>
      <w:r>
        <w:rPr>
          <w:rFonts w:ascii="Times New Roman" w:hAnsi="Times New Roman" w:eastAsia="仿宋_GB2312"/>
          <w:sz w:val="28"/>
          <w:szCs w:val="28"/>
        </w:rPr>
        <w:t>70.54公顷、</w:t>
      </w:r>
      <w:r>
        <w:rPr>
          <w:rFonts w:hint="eastAsia" w:ascii="Times New Roman" w:hAnsi="Times New Roman" w:eastAsia="仿宋_GB2312"/>
          <w:sz w:val="28"/>
          <w:szCs w:val="28"/>
        </w:rPr>
        <w:t>华联村</w:t>
      </w:r>
      <w:r>
        <w:rPr>
          <w:rFonts w:ascii="Times New Roman" w:hAnsi="Times New Roman" w:eastAsia="仿宋_GB2312"/>
          <w:sz w:val="28"/>
          <w:szCs w:val="28"/>
        </w:rPr>
        <w:t>110.35公顷、</w:t>
      </w:r>
      <w:r>
        <w:rPr>
          <w:rFonts w:hint="eastAsia" w:ascii="Times New Roman" w:hAnsi="Times New Roman" w:eastAsia="仿宋_GB2312"/>
          <w:sz w:val="28"/>
          <w:szCs w:val="28"/>
        </w:rPr>
        <w:t>农乐村</w:t>
      </w:r>
      <w:r>
        <w:rPr>
          <w:rFonts w:ascii="Times New Roman" w:hAnsi="Times New Roman" w:eastAsia="仿宋_GB2312"/>
          <w:sz w:val="28"/>
          <w:szCs w:val="28"/>
        </w:rPr>
        <w:t>92.73公顷、</w:t>
      </w:r>
      <w:r>
        <w:rPr>
          <w:rFonts w:hint="eastAsia" w:ascii="Times New Roman" w:hAnsi="Times New Roman" w:eastAsia="仿宋_GB2312"/>
          <w:sz w:val="28"/>
          <w:szCs w:val="28"/>
        </w:rPr>
        <w:t>代河村</w:t>
      </w:r>
      <w:r>
        <w:rPr>
          <w:rFonts w:ascii="Times New Roman" w:hAnsi="Times New Roman" w:eastAsia="仿宋_GB2312"/>
          <w:sz w:val="28"/>
          <w:szCs w:val="28"/>
        </w:rPr>
        <w:t>101.14公顷。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（4）其他农用地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全镇其他农用地面积为171.41 公顷，占农用地面积的7.93%；主要分布情况为</w:t>
      </w:r>
      <w:r>
        <w:rPr>
          <w:rFonts w:hint="eastAsia" w:ascii="Times New Roman" w:hAnsi="Times New Roman" w:eastAsia="仿宋_GB2312"/>
          <w:sz w:val="28"/>
          <w:szCs w:val="28"/>
        </w:rPr>
        <w:t>灯杆村</w:t>
      </w:r>
      <w:r>
        <w:rPr>
          <w:rFonts w:ascii="Times New Roman" w:hAnsi="Times New Roman" w:eastAsia="仿宋_GB2312"/>
          <w:sz w:val="28"/>
          <w:szCs w:val="28"/>
        </w:rPr>
        <w:t>20.36公顷、</w:t>
      </w:r>
      <w:r>
        <w:rPr>
          <w:rFonts w:hint="eastAsia" w:ascii="Times New Roman" w:hAnsi="Times New Roman" w:eastAsia="仿宋_GB2312"/>
          <w:sz w:val="28"/>
          <w:szCs w:val="28"/>
        </w:rPr>
        <w:t>真武村</w:t>
      </w:r>
      <w:r>
        <w:rPr>
          <w:rFonts w:ascii="Times New Roman" w:hAnsi="Times New Roman" w:eastAsia="仿宋_GB2312"/>
          <w:sz w:val="28"/>
          <w:szCs w:val="28"/>
        </w:rPr>
        <w:t>25.02公顷、</w:t>
      </w:r>
      <w:r>
        <w:rPr>
          <w:rFonts w:hint="eastAsia" w:ascii="Times New Roman" w:hAnsi="Times New Roman" w:eastAsia="仿宋_GB2312"/>
          <w:sz w:val="28"/>
          <w:szCs w:val="28"/>
        </w:rPr>
        <w:t>加阳村</w:t>
      </w:r>
      <w:r>
        <w:rPr>
          <w:rFonts w:ascii="Times New Roman" w:hAnsi="Times New Roman" w:eastAsia="仿宋_GB2312"/>
          <w:sz w:val="28"/>
          <w:szCs w:val="28"/>
        </w:rPr>
        <w:t>15.20公顷、</w:t>
      </w:r>
      <w:r>
        <w:rPr>
          <w:rFonts w:hint="eastAsia" w:ascii="Times New Roman" w:hAnsi="Times New Roman" w:eastAsia="仿宋_GB2312"/>
          <w:sz w:val="28"/>
          <w:szCs w:val="28"/>
        </w:rPr>
        <w:t>新云村</w:t>
      </w:r>
      <w:r>
        <w:rPr>
          <w:rFonts w:ascii="Times New Roman" w:hAnsi="Times New Roman" w:eastAsia="仿宋_GB2312"/>
          <w:sz w:val="28"/>
          <w:szCs w:val="28"/>
        </w:rPr>
        <w:t>14.62公顷、</w:t>
      </w:r>
      <w:r>
        <w:rPr>
          <w:rFonts w:hint="eastAsia" w:ascii="Times New Roman" w:hAnsi="Times New Roman" w:eastAsia="仿宋_GB2312"/>
          <w:sz w:val="28"/>
          <w:szCs w:val="28"/>
        </w:rPr>
        <w:t>中华村</w:t>
      </w:r>
      <w:r>
        <w:rPr>
          <w:rFonts w:ascii="Times New Roman" w:hAnsi="Times New Roman" w:eastAsia="仿宋_GB2312"/>
          <w:sz w:val="28"/>
          <w:szCs w:val="28"/>
        </w:rPr>
        <w:t>25.71公顷、</w:t>
      </w:r>
      <w:r>
        <w:rPr>
          <w:rFonts w:hint="eastAsia" w:ascii="Times New Roman" w:hAnsi="Times New Roman" w:eastAsia="仿宋_GB2312"/>
          <w:sz w:val="28"/>
          <w:szCs w:val="28"/>
        </w:rPr>
        <w:t>上游村</w:t>
      </w:r>
      <w:r>
        <w:rPr>
          <w:rFonts w:ascii="Times New Roman" w:hAnsi="Times New Roman" w:eastAsia="仿宋_GB2312"/>
          <w:sz w:val="28"/>
          <w:szCs w:val="28"/>
        </w:rPr>
        <w:t>11.07公顷、</w:t>
      </w:r>
      <w:r>
        <w:rPr>
          <w:rFonts w:hint="eastAsia" w:ascii="Times New Roman" w:hAnsi="Times New Roman" w:eastAsia="仿宋_GB2312"/>
          <w:sz w:val="28"/>
          <w:szCs w:val="28"/>
        </w:rPr>
        <w:t>燕山村</w:t>
      </w:r>
      <w:r>
        <w:rPr>
          <w:rFonts w:ascii="Times New Roman" w:hAnsi="Times New Roman" w:eastAsia="仿宋_GB2312"/>
          <w:sz w:val="28"/>
          <w:szCs w:val="28"/>
        </w:rPr>
        <w:t>13.73公顷、</w:t>
      </w:r>
      <w:r>
        <w:rPr>
          <w:rFonts w:hint="eastAsia" w:ascii="Times New Roman" w:hAnsi="Times New Roman" w:eastAsia="仿宋_GB2312"/>
          <w:sz w:val="28"/>
          <w:szCs w:val="28"/>
        </w:rPr>
        <w:t>华联村</w:t>
      </w:r>
      <w:r>
        <w:rPr>
          <w:rFonts w:ascii="Times New Roman" w:hAnsi="Times New Roman" w:eastAsia="仿宋_GB2312"/>
          <w:sz w:val="28"/>
          <w:szCs w:val="28"/>
        </w:rPr>
        <w:t>10.69公顷、</w:t>
      </w:r>
      <w:r>
        <w:rPr>
          <w:rFonts w:hint="eastAsia" w:ascii="Times New Roman" w:hAnsi="Times New Roman" w:eastAsia="仿宋_GB2312"/>
          <w:sz w:val="28"/>
          <w:szCs w:val="28"/>
        </w:rPr>
        <w:t>农乐村</w:t>
      </w:r>
      <w:r>
        <w:rPr>
          <w:rFonts w:ascii="Times New Roman" w:hAnsi="Times New Roman" w:eastAsia="仿宋_GB2312"/>
          <w:sz w:val="28"/>
          <w:szCs w:val="28"/>
        </w:rPr>
        <w:t>11.6</w:t>
      </w:r>
      <w:r>
        <w:rPr>
          <w:rFonts w:hint="eastAsia" w:ascii="Times New Roman" w:hAnsi="Times New Roman" w:eastAsia="仿宋_GB2312"/>
          <w:sz w:val="28"/>
          <w:szCs w:val="28"/>
        </w:rPr>
        <w:t>0</w:t>
      </w:r>
      <w:r>
        <w:rPr>
          <w:rFonts w:ascii="Times New Roman" w:hAnsi="Times New Roman" w:eastAsia="仿宋_GB2312"/>
          <w:sz w:val="28"/>
          <w:szCs w:val="28"/>
        </w:rPr>
        <w:t>公顷、</w:t>
      </w:r>
      <w:r>
        <w:rPr>
          <w:rFonts w:hint="eastAsia" w:ascii="Times New Roman" w:hAnsi="Times New Roman" w:eastAsia="仿宋_GB2312"/>
          <w:sz w:val="28"/>
          <w:szCs w:val="28"/>
        </w:rPr>
        <w:t>代河村</w:t>
      </w:r>
      <w:r>
        <w:rPr>
          <w:rFonts w:ascii="Times New Roman" w:hAnsi="Times New Roman" w:eastAsia="仿宋_GB2312"/>
          <w:sz w:val="28"/>
          <w:szCs w:val="28"/>
        </w:rPr>
        <w:t>23.41公顷。</w:t>
      </w:r>
    </w:p>
    <w:p>
      <w:pPr>
        <w:pStyle w:val="4"/>
        <w:ind w:firstLine="562"/>
        <w:rPr>
          <w:rFonts w:ascii="Times New Roman" w:hAnsi="Times New Roman"/>
        </w:rPr>
      </w:pPr>
      <w:r>
        <w:rPr>
          <w:rFonts w:ascii="Times New Roman" w:hAnsi="Times New Roman"/>
        </w:rPr>
        <w:t>2．建设用地</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（1）城乡建设用地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全镇城乡建设用地面积为118.62  公顷，占建设用地的95.99%；其中，城镇用地面积为</w:t>
      </w:r>
      <w:r>
        <w:rPr>
          <w:rFonts w:hint="eastAsia" w:ascii="Times New Roman" w:hAnsi="Times New Roman" w:eastAsia="仿宋_GB2312"/>
          <w:sz w:val="28"/>
          <w:szCs w:val="28"/>
        </w:rPr>
        <w:t>0.00</w:t>
      </w:r>
      <w:r>
        <w:rPr>
          <w:rFonts w:ascii="Times New Roman" w:hAnsi="Times New Roman" w:eastAsia="仿宋_GB2312"/>
          <w:sz w:val="28"/>
          <w:szCs w:val="28"/>
        </w:rPr>
        <w:t>公顷，占城乡建设用地的</w:t>
      </w:r>
      <w:r>
        <w:rPr>
          <w:rFonts w:hint="eastAsia" w:ascii="Times New Roman" w:hAnsi="Times New Roman" w:eastAsia="仿宋_GB2312"/>
          <w:sz w:val="28"/>
          <w:szCs w:val="28"/>
        </w:rPr>
        <w:t>0.00</w:t>
      </w:r>
      <w:r>
        <w:rPr>
          <w:rFonts w:ascii="Times New Roman" w:hAnsi="Times New Roman" w:eastAsia="仿宋_GB2312"/>
          <w:sz w:val="28"/>
          <w:szCs w:val="28"/>
        </w:rPr>
        <w:t>%；农村居民点用地面积为116.37 公顷，占城乡建设用地的98.10%；采矿用地的面积为2.25 公顷，占城乡建设用地的1.90%；其他独立建设用地面积为0.00公顷，占城乡建设用地的0.00%。</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农村居民点用地分布情况为</w:t>
      </w:r>
      <w:r>
        <w:rPr>
          <w:rFonts w:hint="eastAsia" w:ascii="Times New Roman" w:hAnsi="Times New Roman" w:eastAsia="仿宋_GB2312"/>
          <w:sz w:val="28"/>
          <w:szCs w:val="28"/>
        </w:rPr>
        <w:t>灯杆村</w:t>
      </w:r>
      <w:r>
        <w:rPr>
          <w:rFonts w:ascii="Times New Roman" w:hAnsi="Times New Roman" w:eastAsia="仿宋_GB2312"/>
          <w:sz w:val="28"/>
          <w:szCs w:val="28"/>
        </w:rPr>
        <w:t>10.86公顷、</w:t>
      </w:r>
      <w:r>
        <w:rPr>
          <w:rFonts w:hint="eastAsia" w:ascii="Times New Roman" w:hAnsi="Times New Roman" w:eastAsia="仿宋_GB2312"/>
          <w:sz w:val="28"/>
          <w:szCs w:val="28"/>
        </w:rPr>
        <w:t>真武村</w:t>
      </w:r>
      <w:r>
        <w:rPr>
          <w:rFonts w:ascii="Times New Roman" w:hAnsi="Times New Roman" w:eastAsia="仿宋_GB2312"/>
          <w:sz w:val="28"/>
          <w:szCs w:val="28"/>
        </w:rPr>
        <w:t>10.45公顷、</w:t>
      </w:r>
      <w:r>
        <w:rPr>
          <w:rFonts w:hint="eastAsia" w:ascii="Times New Roman" w:hAnsi="Times New Roman" w:eastAsia="仿宋_GB2312"/>
          <w:sz w:val="28"/>
          <w:szCs w:val="28"/>
        </w:rPr>
        <w:t>加阳村</w:t>
      </w:r>
      <w:r>
        <w:rPr>
          <w:rFonts w:ascii="Times New Roman" w:hAnsi="Times New Roman" w:eastAsia="仿宋_GB2312"/>
          <w:sz w:val="28"/>
          <w:szCs w:val="28"/>
        </w:rPr>
        <w:t>12.51公顷、</w:t>
      </w:r>
      <w:r>
        <w:rPr>
          <w:rFonts w:hint="eastAsia" w:ascii="Times New Roman" w:hAnsi="Times New Roman" w:eastAsia="仿宋_GB2312"/>
          <w:sz w:val="28"/>
          <w:szCs w:val="28"/>
        </w:rPr>
        <w:t>新云村</w:t>
      </w:r>
      <w:r>
        <w:rPr>
          <w:rFonts w:ascii="Times New Roman" w:hAnsi="Times New Roman" w:eastAsia="仿宋_GB2312"/>
          <w:sz w:val="28"/>
          <w:szCs w:val="28"/>
        </w:rPr>
        <w:t>19.23公顷、</w:t>
      </w:r>
      <w:r>
        <w:rPr>
          <w:rFonts w:hint="eastAsia" w:ascii="Times New Roman" w:hAnsi="Times New Roman" w:eastAsia="仿宋_GB2312"/>
          <w:sz w:val="28"/>
          <w:szCs w:val="28"/>
        </w:rPr>
        <w:t>中华村</w:t>
      </w:r>
      <w:r>
        <w:rPr>
          <w:rFonts w:ascii="Times New Roman" w:hAnsi="Times New Roman" w:eastAsia="仿宋_GB2312"/>
          <w:sz w:val="28"/>
          <w:szCs w:val="28"/>
        </w:rPr>
        <w:t>9.96公顷、</w:t>
      </w:r>
      <w:r>
        <w:rPr>
          <w:rFonts w:hint="eastAsia" w:ascii="Times New Roman" w:hAnsi="Times New Roman" w:eastAsia="仿宋_GB2312"/>
          <w:sz w:val="28"/>
          <w:szCs w:val="28"/>
        </w:rPr>
        <w:t>上游村</w:t>
      </w:r>
      <w:r>
        <w:rPr>
          <w:rFonts w:ascii="Times New Roman" w:hAnsi="Times New Roman" w:eastAsia="仿宋_GB2312"/>
          <w:sz w:val="28"/>
          <w:szCs w:val="28"/>
        </w:rPr>
        <w:t>9.14公顷、</w:t>
      </w:r>
      <w:r>
        <w:rPr>
          <w:rFonts w:hint="eastAsia" w:ascii="Times New Roman" w:hAnsi="Times New Roman" w:eastAsia="仿宋_GB2312"/>
          <w:sz w:val="28"/>
          <w:szCs w:val="28"/>
        </w:rPr>
        <w:t>燕山村</w:t>
      </w:r>
      <w:r>
        <w:rPr>
          <w:rFonts w:ascii="Times New Roman" w:hAnsi="Times New Roman" w:eastAsia="仿宋_GB2312"/>
          <w:sz w:val="28"/>
          <w:szCs w:val="28"/>
        </w:rPr>
        <w:t>15.48公顷、</w:t>
      </w:r>
      <w:r>
        <w:rPr>
          <w:rFonts w:hint="eastAsia" w:ascii="Times New Roman" w:hAnsi="Times New Roman" w:eastAsia="仿宋_GB2312"/>
          <w:sz w:val="28"/>
          <w:szCs w:val="28"/>
        </w:rPr>
        <w:t>华联村</w:t>
      </w:r>
      <w:r>
        <w:rPr>
          <w:rFonts w:ascii="Times New Roman" w:hAnsi="Times New Roman" w:eastAsia="仿宋_GB2312"/>
          <w:sz w:val="28"/>
          <w:szCs w:val="28"/>
        </w:rPr>
        <w:t>7.85公顷、</w:t>
      </w:r>
      <w:r>
        <w:rPr>
          <w:rFonts w:hint="eastAsia" w:ascii="Times New Roman" w:hAnsi="Times New Roman" w:eastAsia="仿宋_GB2312"/>
          <w:sz w:val="28"/>
          <w:szCs w:val="28"/>
        </w:rPr>
        <w:t>农乐村</w:t>
      </w:r>
      <w:r>
        <w:rPr>
          <w:rFonts w:ascii="Times New Roman" w:hAnsi="Times New Roman" w:eastAsia="仿宋_GB2312"/>
          <w:sz w:val="28"/>
          <w:szCs w:val="28"/>
        </w:rPr>
        <w:t>10.23公顷、</w:t>
      </w:r>
      <w:r>
        <w:rPr>
          <w:rFonts w:hint="eastAsia" w:ascii="Times New Roman" w:hAnsi="Times New Roman" w:eastAsia="仿宋_GB2312"/>
          <w:sz w:val="28"/>
          <w:szCs w:val="28"/>
        </w:rPr>
        <w:t>代河村</w:t>
      </w:r>
      <w:r>
        <w:rPr>
          <w:rFonts w:ascii="Times New Roman" w:hAnsi="Times New Roman" w:eastAsia="仿宋_GB2312"/>
          <w:sz w:val="28"/>
          <w:szCs w:val="28"/>
        </w:rPr>
        <w:t>10.66公顷。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采矿用地分布情况为</w:t>
      </w:r>
      <w:r>
        <w:rPr>
          <w:rFonts w:hint="eastAsia" w:ascii="Times New Roman" w:hAnsi="Times New Roman" w:eastAsia="仿宋_GB2312"/>
          <w:sz w:val="28"/>
          <w:szCs w:val="28"/>
        </w:rPr>
        <w:t>新云村</w:t>
      </w:r>
      <w:r>
        <w:rPr>
          <w:rFonts w:ascii="Times New Roman" w:hAnsi="Times New Roman" w:eastAsia="仿宋_GB2312"/>
          <w:sz w:val="28"/>
          <w:szCs w:val="28"/>
        </w:rPr>
        <w:t>0.83公顷、</w:t>
      </w:r>
      <w:r>
        <w:rPr>
          <w:rFonts w:hint="eastAsia" w:ascii="Times New Roman" w:hAnsi="Times New Roman" w:eastAsia="仿宋_GB2312"/>
          <w:sz w:val="28"/>
          <w:szCs w:val="28"/>
        </w:rPr>
        <w:t>代河村</w:t>
      </w:r>
      <w:r>
        <w:rPr>
          <w:rFonts w:ascii="Times New Roman" w:hAnsi="Times New Roman" w:eastAsia="仿宋_GB2312"/>
          <w:sz w:val="28"/>
          <w:szCs w:val="28"/>
        </w:rPr>
        <w:t>1.42公顷。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（2）交通水利用地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全镇交通水利用地面积为4.74 公顷 ，占建设用地的3.</w:t>
      </w:r>
      <w:r>
        <w:rPr>
          <w:rFonts w:hint="eastAsia" w:ascii="Times New Roman" w:hAnsi="Times New Roman" w:eastAsia="仿宋_GB2312"/>
          <w:sz w:val="28"/>
          <w:szCs w:val="28"/>
        </w:rPr>
        <w:t>84</w:t>
      </w:r>
      <w:r>
        <w:rPr>
          <w:rFonts w:ascii="Times New Roman" w:hAnsi="Times New Roman" w:eastAsia="仿宋_GB2312"/>
          <w:sz w:val="28"/>
          <w:szCs w:val="28"/>
        </w:rPr>
        <w:t>%；主要分布情况为</w:t>
      </w:r>
      <w:r>
        <w:rPr>
          <w:rFonts w:hint="eastAsia" w:ascii="Times New Roman" w:hAnsi="Times New Roman" w:eastAsia="仿宋_GB2312"/>
          <w:sz w:val="28"/>
          <w:szCs w:val="28"/>
        </w:rPr>
        <w:t>真武村</w:t>
      </w:r>
      <w:r>
        <w:rPr>
          <w:rFonts w:ascii="Times New Roman" w:hAnsi="Times New Roman" w:eastAsia="仿宋_GB2312"/>
          <w:sz w:val="28"/>
          <w:szCs w:val="28"/>
        </w:rPr>
        <w:t>0.04公顷、</w:t>
      </w:r>
      <w:r>
        <w:rPr>
          <w:rFonts w:hint="eastAsia" w:ascii="Times New Roman" w:hAnsi="Times New Roman" w:eastAsia="仿宋_GB2312"/>
          <w:sz w:val="28"/>
          <w:szCs w:val="28"/>
        </w:rPr>
        <w:t>加阳村</w:t>
      </w:r>
      <w:r>
        <w:rPr>
          <w:rFonts w:ascii="Times New Roman" w:hAnsi="Times New Roman" w:eastAsia="仿宋_GB2312"/>
          <w:sz w:val="28"/>
          <w:szCs w:val="28"/>
        </w:rPr>
        <w:t>1.50公顷、</w:t>
      </w:r>
      <w:r>
        <w:rPr>
          <w:rFonts w:hint="eastAsia" w:ascii="Times New Roman" w:hAnsi="Times New Roman" w:eastAsia="仿宋_GB2312"/>
          <w:sz w:val="28"/>
          <w:szCs w:val="28"/>
        </w:rPr>
        <w:t>新云村</w:t>
      </w:r>
      <w:r>
        <w:rPr>
          <w:rFonts w:ascii="Times New Roman" w:hAnsi="Times New Roman" w:eastAsia="仿宋_GB2312"/>
          <w:sz w:val="28"/>
          <w:szCs w:val="28"/>
        </w:rPr>
        <w:t>0.47公顷、</w:t>
      </w:r>
      <w:r>
        <w:rPr>
          <w:rFonts w:hint="eastAsia" w:ascii="Times New Roman" w:hAnsi="Times New Roman" w:eastAsia="仿宋_GB2312"/>
          <w:sz w:val="28"/>
          <w:szCs w:val="28"/>
        </w:rPr>
        <w:t>中华村</w:t>
      </w:r>
      <w:r>
        <w:rPr>
          <w:rFonts w:ascii="Times New Roman" w:hAnsi="Times New Roman" w:eastAsia="仿宋_GB2312"/>
          <w:sz w:val="28"/>
          <w:szCs w:val="28"/>
        </w:rPr>
        <w:t>0.2公顷、</w:t>
      </w:r>
      <w:r>
        <w:rPr>
          <w:rFonts w:hint="eastAsia" w:ascii="Times New Roman" w:hAnsi="Times New Roman" w:eastAsia="仿宋_GB2312"/>
          <w:sz w:val="28"/>
          <w:szCs w:val="28"/>
        </w:rPr>
        <w:t>燕山村</w:t>
      </w:r>
      <w:r>
        <w:rPr>
          <w:rFonts w:ascii="Times New Roman" w:hAnsi="Times New Roman" w:eastAsia="仿宋_GB2312"/>
          <w:sz w:val="28"/>
          <w:szCs w:val="28"/>
        </w:rPr>
        <w:t>1.25公顷、</w:t>
      </w:r>
      <w:r>
        <w:rPr>
          <w:rFonts w:hint="eastAsia" w:ascii="Times New Roman" w:hAnsi="Times New Roman" w:eastAsia="仿宋_GB2312"/>
          <w:sz w:val="28"/>
          <w:szCs w:val="28"/>
        </w:rPr>
        <w:t>代河村</w:t>
      </w:r>
      <w:r>
        <w:rPr>
          <w:rFonts w:ascii="Times New Roman" w:hAnsi="Times New Roman" w:eastAsia="仿宋_GB2312"/>
          <w:sz w:val="28"/>
          <w:szCs w:val="28"/>
        </w:rPr>
        <w:t>1.28公顷。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（3）其他建设用地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其他建设用地面积为0.00公顷，占0.00%。</w:t>
      </w:r>
    </w:p>
    <w:p>
      <w:pPr>
        <w:pStyle w:val="4"/>
        <w:ind w:firstLine="562"/>
        <w:rPr>
          <w:rFonts w:ascii="Times New Roman" w:hAnsi="Times New Roman"/>
        </w:rPr>
      </w:pPr>
      <w:r>
        <w:rPr>
          <w:rFonts w:ascii="Times New Roman" w:hAnsi="Times New Roman"/>
        </w:rPr>
        <w:t>3．其他土地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其他土地中，水域面积为19.85 公顷，占其他土地面积的97.50%；自然保留地面积0.51 公顷，占2.50%。</w:t>
      </w:r>
    </w:p>
    <w:p>
      <w:pPr>
        <w:pStyle w:val="3"/>
        <w:rPr>
          <w:rFonts w:ascii="Times New Roman" w:hAnsi="Times New Roman" w:cs="Times New Roman"/>
        </w:rPr>
      </w:pPr>
      <w:bookmarkStart w:id="4" w:name="_Toc486428841"/>
      <w:r>
        <w:rPr>
          <w:rFonts w:ascii="Times New Roman" w:hAnsi="Times New Roman" w:cs="Times New Roman"/>
        </w:rPr>
        <w:t>（二）土地利用的特点</w:t>
      </w:r>
      <w:bookmarkEnd w:id="4"/>
    </w:p>
    <w:p>
      <w:pPr>
        <w:ind w:firstLine="560" w:firstLineChars="200"/>
        <w:rPr>
          <w:rFonts w:ascii="Times New Roman" w:hAnsi="Times New Roman" w:eastAsia="仿宋_GB2312"/>
          <w:sz w:val="28"/>
          <w:szCs w:val="28"/>
        </w:rPr>
      </w:pPr>
      <w:r>
        <w:rPr>
          <w:rFonts w:ascii="Times New Roman" w:hAnsi="Times New Roman" w:eastAsia="仿宋_GB2312"/>
          <w:sz w:val="28"/>
          <w:szCs w:val="28"/>
        </w:rPr>
        <w:t>1 土地开发利用程度较高，后备土地资源有限</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2014年土地利用现状变更调查数据显示全镇2306.23公顷土地面积中，其他土地面积为20.36  公顷，仅占土地总面积的0.88%，土地利用率达到99.12%。在其他土地中，不能被开发利用的河流水面面积为19.85 公顷，占其他土地面积的比重为97.50%；有条件作为后备土地资源的滩涂和自然保留地面积为0.51 公顷，占其他土地面积的比重仅为2.50%，占全镇土地总面积的比重0.0</w:t>
      </w:r>
      <w:r>
        <w:rPr>
          <w:rFonts w:hint="eastAsia" w:ascii="Times New Roman" w:hAnsi="Times New Roman" w:eastAsia="仿宋_GB2312"/>
          <w:sz w:val="28"/>
          <w:szCs w:val="28"/>
        </w:rPr>
        <w:t>2</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 土地以农用地为主，人均耕地面积</w:t>
      </w:r>
      <w:r>
        <w:rPr>
          <w:rFonts w:hint="eastAsia" w:ascii="Times New Roman" w:hAnsi="Times New Roman" w:eastAsia="仿宋_GB2312"/>
          <w:sz w:val="28"/>
          <w:szCs w:val="28"/>
        </w:rPr>
        <w:t>略高于</w:t>
      </w:r>
      <w:r>
        <w:rPr>
          <w:rFonts w:ascii="Times New Roman" w:hAnsi="Times New Roman" w:eastAsia="仿宋_GB2312"/>
          <w:sz w:val="28"/>
          <w:szCs w:val="28"/>
        </w:rPr>
        <w:t>全</w:t>
      </w:r>
      <w:r>
        <w:rPr>
          <w:rFonts w:hint="eastAsia" w:ascii="Times New Roman" w:hAnsi="Times New Roman" w:eastAsia="仿宋_GB2312"/>
          <w:sz w:val="28"/>
          <w:szCs w:val="28"/>
        </w:rPr>
        <w:t>区</w:t>
      </w:r>
      <w:r>
        <w:rPr>
          <w:rFonts w:ascii="Times New Roman" w:hAnsi="Times New Roman" w:eastAsia="仿宋_GB2312"/>
          <w:sz w:val="28"/>
          <w:szCs w:val="28"/>
        </w:rPr>
        <w:t>平均水平</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2014年土地利用现状变更调查数据显示全镇农用地面积2162.29 公顷，占土地总面积的93.76%，土地以农用地为主。农用地中耕地面积为1079.97 公顷，仅占农用地面积49.95%，按照2014年全镇农业人口10751人来计算，人均耕地面积仅为1.51亩，高于全区人均耕地面积1.33亩平均水平，低于全市人均耕地面积1.74亩的平均水平。</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 建设用地结构与人口结构不相适宜，农村居民点比重较高</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2014年土地利用现状变更调查数据显示全镇建设用地总面积为123.58 公顷，其中城镇用地的面积为0.00公顷，占建设用地总面积的</w:t>
      </w:r>
      <w:r>
        <w:rPr>
          <w:rFonts w:hint="eastAsia" w:ascii="Times New Roman" w:hAnsi="Times New Roman" w:eastAsia="仿宋_GB2312"/>
          <w:sz w:val="28"/>
          <w:szCs w:val="28"/>
        </w:rPr>
        <w:t>0.00</w:t>
      </w:r>
      <w:r>
        <w:rPr>
          <w:rFonts w:ascii="Times New Roman" w:hAnsi="Times New Roman" w:eastAsia="仿宋_GB2312"/>
          <w:sz w:val="28"/>
          <w:szCs w:val="28"/>
        </w:rPr>
        <w:t>%，农村居民点用地的面积为116.37 公顷，占建设用地总面积的比重为94.17%；而从2014年全镇人口统计数据来看，全镇非农业人口为661人，占全镇总人口的比例为5.79%；农业人口为10751人占全镇总人口的比例为94.21%，农业人口的规模为城镇人口规模的</w:t>
      </w:r>
      <w:r>
        <w:rPr>
          <w:rFonts w:hint="eastAsia" w:ascii="Times New Roman" w:hAnsi="Times New Roman" w:eastAsia="仿宋_GB2312"/>
          <w:sz w:val="28"/>
          <w:szCs w:val="28"/>
        </w:rPr>
        <w:t>16.26</w:t>
      </w:r>
      <w:r>
        <w:rPr>
          <w:rFonts w:ascii="Times New Roman" w:hAnsi="Times New Roman" w:eastAsia="仿宋_GB2312"/>
          <w:sz w:val="28"/>
          <w:szCs w:val="28"/>
        </w:rPr>
        <w:t>倍。由此可以看出，在新型城镇化建设过程中，新云乡农村建设用地并没有随着农村人口向城镇转移而逐渐减少，建设用地结构与人口结构不相适宜。</w:t>
      </w:r>
    </w:p>
    <w:p>
      <w:pPr>
        <w:pStyle w:val="3"/>
        <w:rPr>
          <w:rFonts w:ascii="Times New Roman" w:hAnsi="Times New Roman" w:cs="Times New Roman"/>
        </w:rPr>
      </w:pPr>
      <w:bookmarkStart w:id="5" w:name="_Toc486428842"/>
      <w:r>
        <w:rPr>
          <w:rFonts w:ascii="Times New Roman" w:hAnsi="Times New Roman" w:cs="Times New Roman"/>
        </w:rPr>
        <w:t>（三）土地利用中存在的问题</w:t>
      </w:r>
      <w:bookmarkEnd w:id="5"/>
    </w:p>
    <w:p>
      <w:pPr>
        <w:ind w:firstLine="560" w:firstLineChars="200"/>
        <w:rPr>
          <w:rFonts w:ascii="Times New Roman" w:hAnsi="Times New Roman" w:eastAsia="仿宋_GB2312"/>
          <w:sz w:val="28"/>
          <w:szCs w:val="28"/>
        </w:rPr>
      </w:pPr>
      <w:r>
        <w:rPr>
          <w:rFonts w:ascii="Times New Roman" w:hAnsi="Times New Roman" w:eastAsia="仿宋_GB2312"/>
          <w:sz w:val="28"/>
          <w:szCs w:val="28"/>
        </w:rPr>
        <w:t>近些年来随着新云乡社会经济的快速发展和城镇化水平的快速提高，全镇建设用地总量也出现了较为明显的增加。从现阶段石麟建设用地总体利用情况来看，较为突出的问题主要表现在节约集约利用程度较低，利用较为粗放。从农村建设用地利用情况来看，全镇2014年农村居民点用地规模为116.37 公顷，同期农业人口规模为10751人，人均农村建设用地规模为1</w:t>
      </w:r>
      <w:r>
        <w:rPr>
          <w:rFonts w:hint="eastAsia" w:ascii="Times New Roman" w:hAnsi="Times New Roman" w:eastAsia="仿宋_GB2312"/>
          <w:sz w:val="28"/>
          <w:szCs w:val="28"/>
        </w:rPr>
        <w:t>08.24</w:t>
      </w:r>
      <w:r>
        <w:rPr>
          <w:rFonts w:ascii="Times New Roman" w:hAnsi="Times New Roman" w:eastAsia="仿宋_GB2312"/>
          <w:sz w:val="28"/>
          <w:szCs w:val="28"/>
        </w:rPr>
        <w:t>平方米，远高于国家规定的人均宅基地规模，农村建设用地粗放利用的现象更为凸出。</w:t>
      </w:r>
    </w:p>
    <w:p>
      <w:pPr>
        <w:widowControl/>
        <w:jc w:val="left"/>
        <w:rPr>
          <w:rFonts w:ascii="Times New Roman" w:hAnsi="Times New Roman" w:eastAsia="仿宋_GB2312"/>
          <w:sz w:val="28"/>
          <w:szCs w:val="28"/>
        </w:rPr>
      </w:pPr>
    </w:p>
    <w:p>
      <w:pPr>
        <w:widowControl/>
        <w:jc w:val="left"/>
        <w:rPr>
          <w:rFonts w:ascii="Times New Roman" w:hAnsi="Times New Roman" w:eastAsia="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rPr>
          <w:rFonts w:ascii="Times New Roman" w:hAnsi="Times New Roman"/>
        </w:rPr>
      </w:pPr>
      <w:bookmarkStart w:id="6" w:name="_Toc486428843"/>
      <w:r>
        <w:rPr>
          <w:rFonts w:ascii="Times New Roman" w:hAnsi="Times New Roman"/>
        </w:rPr>
        <w:t>二、规划目标调整情况</w:t>
      </w:r>
      <w:bookmarkEnd w:id="6"/>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按照五通桥区土地利用总体规划调整完善方案的相关要求，对新云乡2020年土地利用主要指标作如下调整：</w:t>
      </w:r>
    </w:p>
    <w:p>
      <w:pPr>
        <w:pStyle w:val="3"/>
        <w:rPr>
          <w:rFonts w:ascii="Times New Roman" w:hAnsi="Times New Roman" w:cs="Times New Roman"/>
        </w:rPr>
      </w:pPr>
      <w:bookmarkStart w:id="7" w:name="_Toc486428844"/>
      <w:bookmarkStart w:id="8" w:name="_Toc477699465"/>
      <w:r>
        <w:rPr>
          <w:rFonts w:ascii="Times New Roman" w:hAnsi="Times New Roman" w:cs="Times New Roman"/>
        </w:rPr>
        <w:t>（一）耕地保有量调整</w:t>
      </w:r>
      <w:bookmarkEnd w:id="7"/>
      <w:bookmarkEnd w:id="8"/>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调整完善前新云乡2020年耕地保有量指标为960.39公顷，2014年现状耕地面积为1079.97 公顷，超过2020年规划目标值得12.45%。超额完成了耕地保有量目标任务。</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根据此次五通桥区土地利用总体规划调整完善方案下达到新云乡的耕地保有量指标，新云乡的耕地保有量调整为1075.83公顷，调整后新云乡耕地保有量比原规划目标增加了115.44公顷。</w:t>
      </w:r>
    </w:p>
    <w:p>
      <w:pPr>
        <w:pStyle w:val="3"/>
        <w:rPr>
          <w:rFonts w:ascii="Times New Roman" w:hAnsi="Times New Roman" w:cs="Times New Roman"/>
        </w:rPr>
      </w:pPr>
      <w:bookmarkStart w:id="9" w:name="_Toc486428845"/>
      <w:bookmarkStart w:id="10" w:name="_Toc477699466"/>
      <w:r>
        <w:rPr>
          <w:rFonts w:ascii="Times New Roman" w:hAnsi="Times New Roman" w:cs="Times New Roman"/>
        </w:rPr>
        <w:t>（二）基本农田保护面积调整</w:t>
      </w:r>
      <w:bookmarkEnd w:id="9"/>
      <w:bookmarkEnd w:id="10"/>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调整完善前新云乡2020年基本农田保护面积为1059.67公顷，2014年新云乡基本农田划定面积为1059.67公顷，占2020年规划指标的100.00%，完成了基本农田保护面积目标任务。</w:t>
      </w:r>
      <w:bookmarkStart w:id="11" w:name="_Toc47769946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根据此次五通桥区土地利用总体规划调整完善方案下达到新云乡的基本农田保护面积目标，新云乡的基本农田保护面积调整为1025.00公顷，调整后新云乡基本农田保护面积比原规划目标减少了34.67公顷。</w:t>
      </w:r>
    </w:p>
    <w:p>
      <w:pPr>
        <w:pStyle w:val="3"/>
        <w:rPr>
          <w:rFonts w:ascii="Times New Roman" w:hAnsi="Times New Roman" w:cs="Times New Roman"/>
        </w:rPr>
      </w:pPr>
      <w:bookmarkStart w:id="12" w:name="_Toc486428846"/>
      <w:r>
        <w:rPr>
          <w:rFonts w:ascii="Times New Roman" w:hAnsi="Times New Roman" w:cs="Times New Roman"/>
        </w:rPr>
        <w:t>（三）建设用地规模调整</w:t>
      </w:r>
      <w:bookmarkEnd w:id="11"/>
      <w:bookmarkEnd w:id="12"/>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调整完善前新云乡2020年建设用地总规模指标为44.75公顷，2014年现状建设用地为123.58 公顷，超过2020年规划目标值的176.16%，突破了建设用地总规模指标的限制。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根据此次五通桥区土地利用总体规划调整完善方案下达到新云乡的建设用地总规模指标，新云乡的建设用地总规模调整为127.88公顷，调整后新云乡建设用地总规模比原规划目标增加了83.13公顷。</w:t>
      </w:r>
    </w:p>
    <w:p>
      <w:pPr>
        <w:pStyle w:val="3"/>
        <w:rPr>
          <w:rFonts w:ascii="Times New Roman" w:hAnsi="Times New Roman" w:cs="Times New Roman"/>
        </w:rPr>
      </w:pPr>
      <w:bookmarkStart w:id="13" w:name="_Toc477699468"/>
      <w:bookmarkStart w:id="14" w:name="_Toc486428847"/>
      <w:r>
        <w:rPr>
          <w:rFonts w:ascii="Times New Roman" w:hAnsi="Times New Roman" w:cs="Times New Roman"/>
        </w:rPr>
        <w:t>（四）城乡建设用地规模调整</w:t>
      </w:r>
      <w:bookmarkEnd w:id="13"/>
      <w:bookmarkEnd w:id="14"/>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调整完善前新云乡2020年城乡建设用地总规模指标为39.79公顷。2014年现状城乡建设用地为118.62  公顷，超过2020年规划目标的198.12%。突破了城乡建设用地规模指标的控制。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根据此次五通桥区土地利用总体规划调整完善方案下达到新云乡的城乡建设用地总规模指标，新云乡的城乡建设用地总规模调整为120.10公顷，调整后新云乡城乡建设用地规模比原规划增加了80.31公顷。</w:t>
      </w:r>
    </w:p>
    <w:p>
      <w:pPr>
        <w:pStyle w:val="3"/>
        <w:rPr>
          <w:rFonts w:ascii="Times New Roman" w:hAnsi="Times New Roman" w:cs="Times New Roman"/>
        </w:rPr>
      </w:pPr>
      <w:bookmarkStart w:id="15" w:name="_Toc486428848"/>
      <w:bookmarkStart w:id="16" w:name="_Toc477699469"/>
      <w:r>
        <w:rPr>
          <w:rFonts w:ascii="Times New Roman" w:hAnsi="Times New Roman" w:cs="Times New Roman"/>
        </w:rPr>
        <w:t>（五）城镇工矿用地规模调整</w:t>
      </w:r>
      <w:bookmarkEnd w:id="15"/>
      <w:bookmarkEnd w:id="16"/>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规划调整完善前新云乡2020年城镇工矿建设用地规模指标为3.34公顷，2014年现状城镇工矿建设用地为2.25 公顷，达到2020年规划目标的67.37%。完成了城镇工矿用地规模指标的控制。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根据此次五通桥区土地利用总体规划调整完善方案下达到新云乡的城镇工矿用地规模指标，新云乡的城镇工矿用地规模调整为2.25公顷，调整后新云乡城镇工矿用地规模比原规划指标减少了1.09公顷。</w:t>
      </w:r>
    </w:p>
    <w:p>
      <w:pPr>
        <w:pStyle w:val="3"/>
        <w:rPr>
          <w:rFonts w:ascii="Times New Roman" w:hAnsi="Times New Roman" w:cs="Times New Roman"/>
        </w:rPr>
      </w:pPr>
      <w:bookmarkStart w:id="17" w:name="_Toc486428849"/>
      <w:bookmarkStart w:id="18" w:name="_Toc477699470"/>
      <w:r>
        <w:rPr>
          <w:rFonts w:ascii="Times New Roman" w:hAnsi="Times New Roman" w:cs="Times New Roman"/>
        </w:rPr>
        <w:t>（六）新增建设用地总量</w:t>
      </w:r>
      <w:bookmarkEnd w:id="17"/>
      <w:bookmarkEnd w:id="1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根据此次五通桥区土地利用总体规划调整完善方案下达到新云乡的新增建设用地指标，新云乡的新增建设用地调整为4.30公顷。</w:t>
      </w:r>
    </w:p>
    <w:p>
      <w:pPr>
        <w:pStyle w:val="3"/>
        <w:rPr>
          <w:rFonts w:ascii="Times New Roman" w:hAnsi="Times New Roman" w:cs="Times New Roman"/>
        </w:rPr>
      </w:pPr>
      <w:bookmarkStart w:id="19" w:name="_Toc486428850"/>
      <w:bookmarkStart w:id="20" w:name="_Toc477699471"/>
      <w:r>
        <w:rPr>
          <w:rFonts w:ascii="Times New Roman" w:hAnsi="Times New Roman" w:cs="Times New Roman"/>
        </w:rPr>
        <w:t>（七）新增建设用地占用耕地指标</w:t>
      </w:r>
      <w:bookmarkEnd w:id="19"/>
      <w:bookmarkEnd w:id="20"/>
    </w:p>
    <w:p>
      <w:pPr>
        <w:ind w:firstLine="560" w:firstLineChars="200"/>
        <w:rPr>
          <w:rFonts w:ascii="Times New Roman" w:hAnsi="Times New Roman" w:eastAsia="仿宋_GB2312"/>
          <w:sz w:val="28"/>
          <w:szCs w:val="28"/>
        </w:rPr>
      </w:pPr>
      <w:bookmarkStart w:id="21" w:name="_Toc477699472"/>
      <w:r>
        <w:rPr>
          <w:rFonts w:ascii="Times New Roman" w:hAnsi="Times New Roman" w:eastAsia="仿宋_GB2312"/>
          <w:sz w:val="28"/>
          <w:szCs w:val="28"/>
        </w:rPr>
        <w:t>根据此次五通桥区土地利用总体规划调整完善方案下达到新云乡的新增建设用地占用耕地指标，新云乡的新增建设用地占用耕地调整为4.14公顷。</w:t>
      </w:r>
    </w:p>
    <w:p>
      <w:pPr>
        <w:pStyle w:val="3"/>
        <w:rPr>
          <w:rFonts w:ascii="Times New Roman" w:hAnsi="Times New Roman" w:cs="Times New Roman"/>
        </w:rPr>
      </w:pPr>
      <w:bookmarkStart w:id="22" w:name="_Toc486428851"/>
      <w:r>
        <w:rPr>
          <w:rFonts w:ascii="Times New Roman" w:hAnsi="Times New Roman" w:cs="Times New Roman"/>
        </w:rPr>
        <w:t>（八）新增建设用地占用农用地指标</w:t>
      </w:r>
      <w:bookmarkEnd w:id="21"/>
      <w:bookmarkEnd w:id="22"/>
    </w:p>
    <w:p>
      <w:pPr>
        <w:ind w:firstLine="560" w:firstLineChars="200"/>
        <w:rPr>
          <w:rFonts w:ascii="Times New Roman" w:hAnsi="Times New Roman" w:eastAsia="仿宋_GB2312"/>
          <w:sz w:val="28"/>
          <w:szCs w:val="28"/>
        </w:rPr>
      </w:pPr>
      <w:bookmarkStart w:id="23" w:name="_Toc477699473"/>
      <w:r>
        <w:rPr>
          <w:rFonts w:ascii="Times New Roman" w:hAnsi="Times New Roman" w:eastAsia="仿宋_GB2312"/>
          <w:sz w:val="28"/>
          <w:szCs w:val="28"/>
        </w:rPr>
        <w:t>根据此次五通桥区土地利用总体规划调整完善方案下达到新云乡的新增建设用地占用农用地指标，新云乡的新增建设用地占用农用地调整为4.30公顷。</w:t>
      </w:r>
    </w:p>
    <w:p>
      <w:pPr>
        <w:pStyle w:val="3"/>
        <w:rPr>
          <w:rFonts w:ascii="Times New Roman" w:hAnsi="Times New Roman" w:cs="Times New Roman"/>
        </w:rPr>
      </w:pPr>
      <w:bookmarkStart w:id="24" w:name="_Toc486428852"/>
      <w:r>
        <w:rPr>
          <w:rFonts w:ascii="Times New Roman" w:hAnsi="Times New Roman" w:cs="Times New Roman"/>
        </w:rPr>
        <w:t>（九）土地整治补充耕地规模</w:t>
      </w:r>
      <w:bookmarkEnd w:id="23"/>
      <w:bookmarkEnd w:id="24"/>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根据此次五通桥区土地利用总体规划调整完善方案下达到新云乡的补充耕地义务量指标，新云乡的补充耕地义务量调整为</w:t>
      </w:r>
      <w:r>
        <w:rPr>
          <w:rFonts w:hint="eastAsia" w:ascii="Times New Roman" w:hAnsi="Times New Roman" w:eastAsia="仿宋_GB2312"/>
          <w:sz w:val="28"/>
          <w:szCs w:val="28"/>
        </w:rPr>
        <w:t>0.00</w:t>
      </w:r>
      <w:r>
        <w:rPr>
          <w:rFonts w:ascii="Times New Roman" w:hAnsi="Times New Roman" w:eastAsia="仿宋_GB2312"/>
          <w:sz w:val="28"/>
          <w:szCs w:val="28"/>
        </w:rPr>
        <w:t>公顷。</w:t>
      </w:r>
    </w:p>
    <w:p>
      <w:pPr>
        <w:pStyle w:val="3"/>
        <w:rPr>
          <w:rFonts w:ascii="Times New Roman" w:hAnsi="Times New Roman" w:cs="Times New Roman"/>
        </w:rPr>
      </w:pPr>
      <w:bookmarkStart w:id="25" w:name="_Toc486428853"/>
      <w:bookmarkStart w:id="26" w:name="_Toc485386618"/>
      <w:r>
        <w:rPr>
          <w:rFonts w:ascii="Times New Roman" w:hAnsi="Times New Roman" w:cs="Times New Roman"/>
        </w:rPr>
        <w:t>（十）人均城镇工矿用地规模</w:t>
      </w:r>
      <w:bookmarkEnd w:id="25"/>
      <w:bookmarkEnd w:id="26"/>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按照2020年城镇工矿用地面积除以2020年城镇人口计算，结合此次规划调整完善上级下达到新云乡的人均城镇工矿用地规模，到2020年，全镇人均城镇工矿用地面积为120平方米。</w:t>
      </w:r>
    </w:p>
    <w:p>
      <w:pPr>
        <w:pStyle w:val="3"/>
        <w:rPr>
          <w:rFonts w:ascii="Times New Roman" w:hAnsi="Times New Roman" w:cs="Times New Roman"/>
        </w:rPr>
      </w:pPr>
      <w:bookmarkStart w:id="27" w:name="_Toc485386619"/>
      <w:bookmarkStart w:id="28" w:name="_Toc486428854"/>
      <w:r>
        <w:rPr>
          <w:rFonts w:ascii="Times New Roman" w:hAnsi="Times New Roman" w:cs="Times New Roman"/>
        </w:rPr>
        <w:t>（十一）园地面积调整</w:t>
      </w:r>
      <w:bookmarkEnd w:id="27"/>
      <w:bookmarkEnd w:id="2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根据此次五通桥区土地利用总体规划调整完善方案下达到新云乡的园地保有量指标，新云乡的园地保有量调整为30.57公顷。</w:t>
      </w:r>
    </w:p>
    <w:p>
      <w:pPr>
        <w:pStyle w:val="3"/>
        <w:rPr>
          <w:rFonts w:ascii="Times New Roman" w:hAnsi="Times New Roman" w:cs="Times New Roman"/>
        </w:rPr>
      </w:pPr>
      <w:bookmarkStart w:id="29" w:name="_Toc485386620"/>
      <w:bookmarkStart w:id="30" w:name="_Toc486428855"/>
      <w:r>
        <w:rPr>
          <w:rFonts w:ascii="Times New Roman" w:hAnsi="Times New Roman" w:cs="Times New Roman"/>
        </w:rPr>
        <w:t>（十二）林地面积调整</w:t>
      </w:r>
      <w:bookmarkEnd w:id="29"/>
      <w:bookmarkEnd w:id="30"/>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根据此次五通桥区土地利用总体规划调整完善方案下达到新云乡的林地保有量指标，新云乡的林地保有量调整为880.18公顷。</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31" w:name="_Toc486428856"/>
      <w:r>
        <w:rPr>
          <w:rFonts w:ascii="Times New Roman" w:hAnsi="Times New Roman"/>
        </w:rPr>
        <w:t>三、土地利用结构和布局调整</w:t>
      </w:r>
      <w:bookmarkEnd w:id="31"/>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五通桥区土地利用总体规划调整完善方案，为实现规划期土地利用各项目标，结合新云乡社会经济发展实际，对农用地、建设用地（城乡建设用地、交通水利用地）、其他土地的结构进行优化调整。其结构调整情况如下：</w:t>
      </w:r>
    </w:p>
    <w:p>
      <w:pPr>
        <w:pStyle w:val="3"/>
        <w:rPr>
          <w:rFonts w:ascii="Times New Roman" w:hAnsi="Times New Roman" w:cs="Times New Roman"/>
        </w:rPr>
      </w:pPr>
      <w:bookmarkStart w:id="32" w:name="_Toc486428857"/>
      <w:r>
        <w:rPr>
          <w:rFonts w:ascii="Times New Roman" w:hAnsi="Times New Roman" w:cs="Times New Roman"/>
        </w:rPr>
        <w:t>（一）农用地结构和布局调整</w:t>
      </w:r>
      <w:bookmarkEnd w:id="32"/>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新云乡2020年农用地总规模为2157.99公顷，占全镇土地总面积的比例为93.57%，其中耕地1075.83公顷，占农用地总面积的比例为49.85%；园地30.57公顷，占农用地总面积的比例为1.42%；林地规模为880.18公顷，占农用地总面积的比例为40.79%；其他农用地规模为171.41公顷，占农用地总面积的比例为7.94%。</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调整后全镇耕地主要分布情况为</w:t>
      </w:r>
      <w:r>
        <w:rPr>
          <w:rFonts w:hint="eastAsia" w:ascii="Times New Roman" w:hAnsi="Times New Roman" w:eastAsia="仿宋_GB2312"/>
          <w:sz w:val="28"/>
          <w:szCs w:val="28"/>
        </w:rPr>
        <w:t>灯杆村89.21公顷、真武村87.51公顷、加阳村</w:t>
      </w:r>
      <w:r>
        <w:rPr>
          <w:rFonts w:ascii="Times New Roman" w:hAnsi="Times New Roman" w:eastAsia="仿宋_GB2312"/>
          <w:sz w:val="28"/>
          <w:szCs w:val="28"/>
        </w:rPr>
        <w:t>116.47</w:t>
      </w:r>
      <w:r>
        <w:rPr>
          <w:rFonts w:hint="eastAsia" w:ascii="Times New Roman" w:hAnsi="Times New Roman" w:eastAsia="仿宋_GB2312"/>
          <w:sz w:val="28"/>
          <w:szCs w:val="28"/>
        </w:rPr>
        <w:t>公顷、新云村</w:t>
      </w:r>
      <w:r>
        <w:rPr>
          <w:rFonts w:ascii="Times New Roman" w:hAnsi="Times New Roman" w:eastAsia="仿宋_GB2312"/>
          <w:sz w:val="28"/>
          <w:szCs w:val="28"/>
        </w:rPr>
        <w:t>120.44</w:t>
      </w:r>
      <w:r>
        <w:rPr>
          <w:rFonts w:hint="eastAsia" w:ascii="Times New Roman" w:hAnsi="Times New Roman" w:eastAsia="仿宋_GB2312"/>
          <w:sz w:val="28"/>
          <w:szCs w:val="28"/>
        </w:rPr>
        <w:t>公顷、中华村</w:t>
      </w:r>
      <w:r>
        <w:rPr>
          <w:rFonts w:ascii="Times New Roman" w:hAnsi="Times New Roman" w:eastAsia="仿宋_GB2312"/>
          <w:sz w:val="28"/>
          <w:szCs w:val="28"/>
        </w:rPr>
        <w:t>96.92</w:t>
      </w:r>
      <w:r>
        <w:rPr>
          <w:rFonts w:hint="eastAsia" w:ascii="Times New Roman" w:hAnsi="Times New Roman" w:eastAsia="仿宋_GB2312"/>
          <w:sz w:val="28"/>
          <w:szCs w:val="28"/>
        </w:rPr>
        <w:t>公顷、上游村104.94公顷、燕山村</w:t>
      </w:r>
      <w:r>
        <w:rPr>
          <w:rFonts w:ascii="Times New Roman" w:hAnsi="Times New Roman" w:eastAsia="仿宋_GB2312"/>
          <w:sz w:val="28"/>
          <w:szCs w:val="28"/>
        </w:rPr>
        <w:t>182.33</w:t>
      </w:r>
      <w:r>
        <w:rPr>
          <w:rFonts w:hint="eastAsia" w:ascii="Times New Roman" w:hAnsi="Times New Roman" w:eastAsia="仿宋_GB2312"/>
          <w:sz w:val="28"/>
          <w:szCs w:val="28"/>
        </w:rPr>
        <w:t>公顷、华联村69.87公顷、农乐村</w:t>
      </w:r>
      <w:r>
        <w:rPr>
          <w:rFonts w:ascii="Times New Roman" w:hAnsi="Times New Roman" w:eastAsia="仿宋_GB2312"/>
          <w:sz w:val="28"/>
          <w:szCs w:val="28"/>
        </w:rPr>
        <w:t>104.71</w:t>
      </w:r>
      <w:r>
        <w:rPr>
          <w:rFonts w:hint="eastAsia" w:ascii="Times New Roman" w:hAnsi="Times New Roman" w:eastAsia="仿宋_GB2312"/>
          <w:sz w:val="28"/>
          <w:szCs w:val="28"/>
        </w:rPr>
        <w:t>公顷、代河村103.43公顷</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调整后全镇园地主要分布情况为</w:t>
      </w:r>
      <w:r>
        <w:rPr>
          <w:rFonts w:hint="eastAsia" w:ascii="Times New Roman" w:hAnsi="Times New Roman" w:eastAsia="仿宋_GB2312"/>
          <w:sz w:val="28"/>
          <w:szCs w:val="28"/>
        </w:rPr>
        <w:t>分布情况为灯杆村3.19公顷、真武村2.45公顷、加阳村2.19公顷、新云村</w:t>
      </w:r>
      <w:r>
        <w:rPr>
          <w:rFonts w:ascii="Times New Roman" w:hAnsi="Times New Roman" w:eastAsia="仿宋_GB2312"/>
          <w:sz w:val="28"/>
          <w:szCs w:val="28"/>
        </w:rPr>
        <w:t>5.24</w:t>
      </w:r>
      <w:r>
        <w:rPr>
          <w:rFonts w:hint="eastAsia" w:ascii="Times New Roman" w:hAnsi="Times New Roman" w:eastAsia="仿宋_GB2312"/>
          <w:sz w:val="28"/>
          <w:szCs w:val="28"/>
        </w:rPr>
        <w:t>公顷、中华村2.58公顷、上游村4.67公顷、燕山村</w:t>
      </w:r>
      <w:r>
        <w:rPr>
          <w:rFonts w:ascii="Times New Roman" w:hAnsi="Times New Roman" w:eastAsia="仿宋_GB2312"/>
          <w:sz w:val="28"/>
          <w:szCs w:val="28"/>
        </w:rPr>
        <w:t>5.52</w:t>
      </w:r>
      <w:r>
        <w:rPr>
          <w:rFonts w:hint="eastAsia" w:ascii="Times New Roman" w:hAnsi="Times New Roman" w:eastAsia="仿宋_GB2312"/>
          <w:sz w:val="28"/>
          <w:szCs w:val="28"/>
        </w:rPr>
        <w:t>公顷、华联村1.37公顷、农乐村2.28公顷、代河村1.08公顷。</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调整后全镇林地主要分布情况为</w:t>
      </w:r>
      <w:r>
        <w:rPr>
          <w:rFonts w:hint="eastAsia" w:ascii="Times New Roman" w:hAnsi="Times New Roman" w:eastAsia="仿宋_GB2312"/>
          <w:sz w:val="28"/>
          <w:szCs w:val="28"/>
        </w:rPr>
        <w:t>灯杆村57.03公顷、真武村94.71公顷、加阳村114.88公顷、新云村</w:t>
      </w:r>
      <w:r>
        <w:rPr>
          <w:rFonts w:ascii="Times New Roman" w:hAnsi="Times New Roman" w:eastAsia="仿宋_GB2312"/>
          <w:sz w:val="28"/>
          <w:szCs w:val="28"/>
        </w:rPr>
        <w:t>90.96</w:t>
      </w:r>
      <w:r>
        <w:rPr>
          <w:rFonts w:hint="eastAsia" w:ascii="Times New Roman" w:hAnsi="Times New Roman" w:eastAsia="仿宋_GB2312"/>
          <w:sz w:val="28"/>
          <w:szCs w:val="28"/>
        </w:rPr>
        <w:t>公顷、中华村83.67公顷、上游村64.19公顷、燕山村</w:t>
      </w:r>
      <w:r>
        <w:rPr>
          <w:rFonts w:ascii="Times New Roman" w:hAnsi="Times New Roman" w:eastAsia="仿宋_GB2312"/>
          <w:sz w:val="28"/>
          <w:szCs w:val="28"/>
        </w:rPr>
        <w:t>70.52</w:t>
      </w:r>
      <w:r>
        <w:rPr>
          <w:rFonts w:hint="eastAsia" w:ascii="Times New Roman" w:hAnsi="Times New Roman" w:eastAsia="仿宋_GB2312"/>
          <w:sz w:val="28"/>
          <w:szCs w:val="28"/>
        </w:rPr>
        <w:t>公顷、华联村110.35公顷、农乐村92.73公顷、代河村101.14公顷</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调整后全镇其他农用地主要分布情况为</w:t>
      </w:r>
      <w:r>
        <w:rPr>
          <w:rFonts w:hint="eastAsia" w:ascii="Times New Roman" w:hAnsi="Times New Roman" w:eastAsia="仿宋_GB2312"/>
          <w:sz w:val="28"/>
          <w:szCs w:val="28"/>
        </w:rPr>
        <w:t>灯杆村20.36公顷、真武村25.02公顷、加阳村15.20公顷、新云村14.62公顷、中华村25.71公顷、上游村11.07公顷、燕山村13.73公顷、华联村10.69公顷、农乐村11.60公顷、代河村23.41公顷。</w:t>
      </w:r>
    </w:p>
    <w:p>
      <w:pPr>
        <w:pStyle w:val="3"/>
        <w:rPr>
          <w:rFonts w:ascii="Times New Roman" w:hAnsi="Times New Roman" w:cs="Times New Roman"/>
        </w:rPr>
      </w:pPr>
      <w:bookmarkStart w:id="33" w:name="_Toc486428858"/>
      <w:r>
        <w:rPr>
          <w:rFonts w:ascii="Times New Roman" w:hAnsi="Times New Roman" w:cs="Times New Roman"/>
        </w:rPr>
        <w:t>（二）建设用地结构和布局调整</w:t>
      </w:r>
      <w:bookmarkEnd w:id="33"/>
    </w:p>
    <w:p>
      <w:pPr>
        <w:ind w:firstLine="560" w:firstLineChars="200"/>
        <w:rPr>
          <w:rFonts w:ascii="Times New Roman" w:hAnsi="Times New Roman" w:eastAsia="仿宋_GB2312"/>
          <w:sz w:val="28"/>
          <w:szCs w:val="28"/>
        </w:rPr>
      </w:pPr>
      <w:bookmarkStart w:id="34" w:name="_Hlk486338737"/>
      <w:r>
        <w:rPr>
          <w:rFonts w:ascii="Times New Roman" w:hAnsi="Times New Roman" w:eastAsia="仿宋_GB2312"/>
          <w:sz w:val="28"/>
          <w:szCs w:val="28"/>
        </w:rPr>
        <w:t>规划</w:t>
      </w:r>
      <w:bookmarkEnd w:id="34"/>
      <w:r>
        <w:rPr>
          <w:rFonts w:ascii="Times New Roman" w:hAnsi="Times New Roman" w:eastAsia="仿宋_GB2312"/>
          <w:sz w:val="28"/>
          <w:szCs w:val="28"/>
        </w:rPr>
        <w:t>调整完善后新云乡2020年建设用地总规模为127.88公顷，占全镇土地总面积的比例为5.54%。其中城镇建设用地0.00公顷，占建设用地总面积的比例为0.00%；农村居民点117.85 公顷，占建设用地总规模的比例为92.16%；采矿用地为2.25 公顷，占建设用地总规模的比例为1.76%；交通水利用地为7.56公顷，占建设用地总规模的比例为5.91%；其他建设用地为0.00公顷，占建设用地总规模的比例为0.00%。</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规划调整完善后全镇农村居民点用地主要分布在</w:t>
      </w:r>
      <w:r>
        <w:rPr>
          <w:rFonts w:hint="eastAsia" w:ascii="Times New Roman" w:hAnsi="Times New Roman" w:eastAsia="仿宋_GB2312"/>
          <w:sz w:val="28"/>
          <w:szCs w:val="28"/>
        </w:rPr>
        <w:t>灯杆村10.86公顷、真武村10.45公顷、加阳村12.51公顷、新云村</w:t>
      </w:r>
      <w:r>
        <w:rPr>
          <w:rFonts w:ascii="Times New Roman" w:hAnsi="Times New Roman" w:eastAsia="仿宋_GB2312"/>
          <w:sz w:val="28"/>
          <w:szCs w:val="28"/>
        </w:rPr>
        <w:t>20.26</w:t>
      </w:r>
      <w:r>
        <w:rPr>
          <w:rFonts w:hint="eastAsia" w:ascii="Times New Roman" w:hAnsi="Times New Roman" w:eastAsia="仿宋_GB2312"/>
          <w:sz w:val="28"/>
          <w:szCs w:val="28"/>
        </w:rPr>
        <w:t>公顷、中华村9.96公顷、上游村9.14公顷、燕山村</w:t>
      </w:r>
      <w:r>
        <w:rPr>
          <w:rFonts w:ascii="Times New Roman" w:hAnsi="Times New Roman" w:eastAsia="仿宋_GB2312"/>
          <w:sz w:val="28"/>
          <w:szCs w:val="28"/>
        </w:rPr>
        <w:t>15.93</w:t>
      </w:r>
      <w:r>
        <w:rPr>
          <w:rFonts w:hint="eastAsia" w:ascii="Times New Roman" w:hAnsi="Times New Roman" w:eastAsia="仿宋_GB2312"/>
          <w:sz w:val="28"/>
          <w:szCs w:val="28"/>
        </w:rPr>
        <w:t>公顷、华联村7.85公顷、农乐村10.23公顷、代河村10.66公顷。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规划调整完善后全镇采矿用地主要分布情况为</w:t>
      </w:r>
      <w:r>
        <w:rPr>
          <w:rFonts w:hint="eastAsia" w:ascii="Times New Roman" w:hAnsi="Times New Roman" w:eastAsia="仿宋_GB2312"/>
          <w:sz w:val="28"/>
          <w:szCs w:val="28"/>
        </w:rPr>
        <w:t>新云村0.83公顷、代河村1.42公顷</w:t>
      </w:r>
      <w:r>
        <w:rPr>
          <w:rFonts w:ascii="Times New Roman" w:hAnsi="Times New Roman" w:eastAsia="仿宋_GB2312"/>
          <w:sz w:val="28"/>
          <w:szCs w:val="28"/>
        </w:rPr>
        <w:t>、马儿石村9.36公顷、张坳口村0.35公顷、大桥村1.67公顷。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规划调整完善后全镇交通水利用地主要分布情况为</w:t>
      </w:r>
      <w:r>
        <w:rPr>
          <w:rFonts w:hint="eastAsia" w:ascii="Times New Roman" w:hAnsi="Times New Roman" w:eastAsia="仿宋_GB2312"/>
          <w:sz w:val="28"/>
          <w:szCs w:val="28"/>
        </w:rPr>
        <w:t>真武村0.04公顷、加阳村</w:t>
      </w:r>
      <w:r>
        <w:rPr>
          <w:rFonts w:ascii="Times New Roman" w:hAnsi="Times New Roman" w:eastAsia="仿宋_GB2312"/>
          <w:sz w:val="28"/>
          <w:szCs w:val="28"/>
        </w:rPr>
        <w:t>2.74</w:t>
      </w:r>
      <w:r>
        <w:rPr>
          <w:rFonts w:hint="eastAsia" w:ascii="Times New Roman" w:hAnsi="Times New Roman" w:eastAsia="仿宋_GB2312"/>
          <w:sz w:val="28"/>
          <w:szCs w:val="28"/>
        </w:rPr>
        <w:t>公顷、新云村</w:t>
      </w:r>
      <w:r>
        <w:rPr>
          <w:rFonts w:ascii="Times New Roman" w:hAnsi="Times New Roman" w:eastAsia="仿宋_GB2312"/>
          <w:sz w:val="28"/>
          <w:szCs w:val="28"/>
        </w:rPr>
        <w:t>0.85</w:t>
      </w:r>
      <w:r>
        <w:rPr>
          <w:rFonts w:hint="eastAsia" w:ascii="Times New Roman" w:hAnsi="Times New Roman" w:eastAsia="仿宋_GB2312"/>
          <w:sz w:val="28"/>
          <w:szCs w:val="28"/>
        </w:rPr>
        <w:t>公顷、中华村</w:t>
      </w:r>
      <w:r>
        <w:rPr>
          <w:rFonts w:ascii="Times New Roman" w:hAnsi="Times New Roman" w:eastAsia="仿宋_GB2312"/>
          <w:sz w:val="28"/>
          <w:szCs w:val="28"/>
        </w:rPr>
        <w:t>0.53</w:t>
      </w:r>
      <w:r>
        <w:rPr>
          <w:rFonts w:hint="eastAsia" w:ascii="Times New Roman" w:hAnsi="Times New Roman" w:eastAsia="仿宋_GB2312"/>
          <w:sz w:val="28"/>
          <w:szCs w:val="28"/>
        </w:rPr>
        <w:t>公顷、燕山村1.25公顷、农乐村</w:t>
      </w:r>
      <w:r>
        <w:rPr>
          <w:rFonts w:ascii="Times New Roman" w:hAnsi="Times New Roman" w:eastAsia="仿宋_GB2312"/>
          <w:sz w:val="28"/>
          <w:szCs w:val="28"/>
        </w:rPr>
        <w:t>0.87</w:t>
      </w:r>
      <w:r>
        <w:rPr>
          <w:rFonts w:hint="eastAsia" w:ascii="Times New Roman" w:hAnsi="Times New Roman" w:eastAsia="仿宋_GB2312"/>
          <w:sz w:val="28"/>
          <w:szCs w:val="28"/>
        </w:rPr>
        <w:t>公顷、代河村1.28公顷</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其他建设用地与调整完善前规划期末规模及布局保持一致。</w:t>
      </w:r>
    </w:p>
    <w:p>
      <w:pPr>
        <w:pStyle w:val="3"/>
        <w:rPr>
          <w:rFonts w:ascii="Times New Roman" w:hAnsi="Times New Roman" w:cs="Times New Roman"/>
        </w:rPr>
      </w:pPr>
      <w:bookmarkStart w:id="35" w:name="_Toc486428859"/>
      <w:r>
        <w:rPr>
          <w:rFonts w:ascii="Times New Roman" w:hAnsi="Times New Roman" w:cs="Times New Roman"/>
        </w:rPr>
        <w:t>（三）其他用地结构和布局调整</w:t>
      </w:r>
      <w:bookmarkEnd w:id="35"/>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规划调整完善后新云乡2020年其他用地面积为20.36 公顷，占全镇土地总面积的比例为0.88%。</w:t>
      </w:r>
      <w:r>
        <w:rPr>
          <w:rFonts w:ascii="Times New Roman" w:hAnsi="Times New Roman" w:eastAsia="仿宋_GB2312"/>
          <w:sz w:val="28"/>
          <w:szCs w:val="28"/>
        </w:rPr>
        <w:br w:type="page"/>
      </w:r>
    </w:p>
    <w:p>
      <w:pPr>
        <w:pStyle w:val="2"/>
        <w:rPr>
          <w:rFonts w:ascii="Times New Roman" w:hAnsi="Times New Roman"/>
        </w:rPr>
      </w:pPr>
      <w:bookmarkStart w:id="36" w:name="_Toc486428860"/>
      <w:r>
        <w:rPr>
          <w:rFonts w:ascii="Times New Roman" w:hAnsi="Times New Roman"/>
        </w:rPr>
        <w:t>四、耕地和基本农田保护规划</w:t>
      </w:r>
      <w:bookmarkEnd w:id="36"/>
    </w:p>
    <w:p>
      <w:pPr>
        <w:pStyle w:val="3"/>
        <w:rPr>
          <w:rFonts w:ascii="Times New Roman" w:hAnsi="Times New Roman" w:cs="Times New Roman"/>
        </w:rPr>
      </w:pPr>
      <w:bookmarkStart w:id="37" w:name="_Toc288825065"/>
      <w:bookmarkStart w:id="38" w:name="_Toc357580156"/>
      <w:bookmarkStart w:id="39" w:name="_Toc486428861"/>
      <w:r>
        <w:rPr>
          <w:rFonts w:ascii="Times New Roman" w:hAnsi="Times New Roman" w:cs="Times New Roman"/>
        </w:rPr>
        <w:t>（一）耕地和基本农田保护目标</w:t>
      </w:r>
      <w:bookmarkEnd w:id="37"/>
      <w:bookmarkEnd w:id="38"/>
      <w:bookmarkEnd w:id="39"/>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前新云乡2020年耕地保有量目标任务为960.39公顷，基本农田保护面积目标任务为1059.67公顷。调整完善后，全镇安排耕地保有量目标任务为1075.83公顷，划定永久基本农田1025.00公顷，耕地保有量和基本农田保护面积分别比调整完善前规划期末规模增加了115.44公顷和减少34.67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tblInd w:w="0" w:type="dxa"/>
        <w:tblLayout w:type="autofit"/>
        <w:tblCellMar>
          <w:top w:w="0" w:type="dxa"/>
          <w:left w:w="108" w:type="dxa"/>
          <w:bottom w:w="0" w:type="dxa"/>
          <w:right w:w="108" w:type="dxa"/>
        </w:tblCellMar>
      </w:tblPr>
      <w:tblGrid>
        <w:gridCol w:w="1863"/>
        <w:gridCol w:w="2141"/>
        <w:gridCol w:w="2260"/>
        <w:gridCol w:w="2258"/>
      </w:tblGrid>
      <w:tr>
        <w:tblPrEx>
          <w:tblCellMar>
            <w:top w:w="0" w:type="dxa"/>
            <w:left w:w="108" w:type="dxa"/>
            <w:bottom w:w="0" w:type="dxa"/>
            <w:right w:w="108" w:type="dxa"/>
          </w:tblCellMar>
        </w:tblPrEx>
        <w:trPr>
          <w:trHeight w:val="270" w:hRule="atLeast"/>
        </w:trPr>
        <w:tc>
          <w:tcPr>
            <w:tcW w:w="109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bookmarkStart w:id="40" w:name="_Toc486428862"/>
            <w:r>
              <w:rPr>
                <w:rFonts w:ascii="Times New Roman" w:hAnsi="Times New Roman" w:eastAsia="仿宋_GB2312"/>
                <w:color w:val="000000"/>
                <w:kern w:val="0"/>
                <w:szCs w:val="21"/>
              </w:rPr>
              <w:t>序号</w:t>
            </w:r>
          </w:p>
        </w:tc>
        <w:tc>
          <w:tcPr>
            <w:tcW w:w="125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行政村</w:t>
            </w:r>
          </w:p>
        </w:tc>
        <w:tc>
          <w:tcPr>
            <w:tcW w:w="13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耕地保有量</w:t>
            </w:r>
          </w:p>
        </w:tc>
        <w:tc>
          <w:tcPr>
            <w:tcW w:w="13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基本农田保护面积</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灯杆村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89.21</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89.01</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真武村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87.51</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86.16</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加阳村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116.47</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105.35</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新云村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120.44</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99.42</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中华村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96.92</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94.26</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上游村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104.94</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104.04</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7</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燕山村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182.33</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179.51</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华联村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69.87</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67.28</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农乐村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104.71</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99.62</w:t>
            </w:r>
          </w:p>
        </w:tc>
      </w:tr>
      <w:tr>
        <w:tblPrEx>
          <w:tblCellMar>
            <w:top w:w="0" w:type="dxa"/>
            <w:left w:w="108" w:type="dxa"/>
            <w:bottom w:w="0" w:type="dxa"/>
            <w:right w:w="108" w:type="dxa"/>
          </w:tblCellMar>
        </w:tblPrEx>
        <w:trPr>
          <w:trHeight w:val="270" w:hRule="atLeast"/>
        </w:trPr>
        <w:tc>
          <w:tcPr>
            <w:tcW w:w="10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w:t>
            </w:r>
          </w:p>
        </w:tc>
        <w:tc>
          <w:tcPr>
            <w:tcW w:w="125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代河村</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103.43</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100.35</w:t>
            </w:r>
          </w:p>
        </w:tc>
      </w:tr>
      <w:tr>
        <w:tblPrEx>
          <w:tblCellMar>
            <w:top w:w="0" w:type="dxa"/>
            <w:left w:w="108" w:type="dxa"/>
            <w:bottom w:w="0" w:type="dxa"/>
            <w:right w:w="108" w:type="dxa"/>
          </w:tblCellMar>
        </w:tblPrEx>
        <w:trPr>
          <w:trHeight w:val="270" w:hRule="atLeast"/>
        </w:trPr>
        <w:tc>
          <w:tcPr>
            <w:tcW w:w="2349" w:type="pct"/>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合计</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1075.83</w:t>
            </w:r>
          </w:p>
        </w:tc>
        <w:tc>
          <w:tcPr>
            <w:tcW w:w="13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1025.00</w:t>
            </w:r>
          </w:p>
        </w:tc>
      </w:tr>
    </w:tbl>
    <w:p>
      <w:pPr>
        <w:pStyle w:val="3"/>
        <w:rPr>
          <w:rFonts w:ascii="Times New Roman" w:hAnsi="Times New Roman" w:cs="Times New Roman"/>
        </w:rPr>
      </w:pPr>
      <w:r>
        <w:rPr>
          <w:rFonts w:ascii="Times New Roman" w:hAnsi="Times New Roman" w:cs="Times New Roman"/>
        </w:rPr>
        <w:t>（二）土地综合整治</w:t>
      </w:r>
      <w:bookmarkEnd w:id="40"/>
    </w:p>
    <w:p>
      <w:pPr>
        <w:pStyle w:val="4"/>
        <w:ind w:firstLine="562"/>
        <w:rPr>
          <w:rFonts w:ascii="Times New Roman" w:hAnsi="Times New Roman"/>
        </w:rPr>
      </w:pPr>
      <w:r>
        <w:rPr>
          <w:rFonts w:ascii="Times New Roman" w:hAnsi="Times New Roman"/>
        </w:rPr>
        <w:t>1．土地整治安排的要求</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（1）新云乡土地整治安排要做到与经济社会发展规划、城乡建设规划、产业发展规划、基础设施建设规划、生态建设和环境保护规划、基本农田保护规划等相协调，以提高规划的针对性和可操作性。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（4）农村土地整治安排，要充分尊重农民意愿，切实维护农民权益。在整治方式、旧房拆迁、新居建设等方面要为农民提供多种选择。</w:t>
      </w:r>
    </w:p>
    <w:p>
      <w:pPr>
        <w:pStyle w:val="4"/>
        <w:ind w:firstLine="562"/>
        <w:rPr>
          <w:rFonts w:ascii="Times New Roman" w:hAnsi="Times New Roman"/>
        </w:rPr>
      </w:pPr>
      <w:r>
        <w:rPr>
          <w:rFonts w:ascii="Times New Roman" w:hAnsi="Times New Roman"/>
        </w:rPr>
        <w:t>3．土地整治规划方案与布局</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（1）农用地整理规划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农用地整理范围区安排在基本农田保护区内，未与非农建设用地规划区重合。本着“先易后难”、“集中成片”的原则，选择地理条件、社会经济相对较好的村社优先开展农用地整理。</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（2）农村建设用地整理规划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rPr>
          <w:rFonts w:ascii="Times New Roman" w:hAnsi="Times New Roman" w:cs="Times New Roman"/>
        </w:rPr>
      </w:pPr>
      <w:bookmarkStart w:id="41" w:name="_Toc248830949"/>
      <w:bookmarkStart w:id="42" w:name="_Toc248831121"/>
      <w:bookmarkStart w:id="43" w:name="_Toc256352745"/>
      <w:bookmarkStart w:id="44" w:name="_Toc259716783"/>
      <w:bookmarkStart w:id="45" w:name="_Toc271189974"/>
      <w:bookmarkStart w:id="46" w:name="_Toc272826225"/>
      <w:bookmarkStart w:id="47" w:name="_Toc288825067"/>
      <w:bookmarkStart w:id="48" w:name="_Toc357580158"/>
      <w:bookmarkStart w:id="49" w:name="_Toc486428863"/>
      <w:r>
        <w:rPr>
          <w:rFonts w:ascii="Times New Roman" w:hAnsi="Times New Roman" w:cs="Times New Roman"/>
        </w:rPr>
        <w:t>（三）基本农田数量保护、质量建设和管护的措施</w:t>
      </w:r>
      <w:bookmarkEnd w:id="41"/>
      <w:bookmarkEnd w:id="42"/>
      <w:bookmarkEnd w:id="43"/>
      <w:bookmarkEnd w:id="44"/>
      <w:bookmarkEnd w:id="45"/>
      <w:bookmarkEnd w:id="46"/>
      <w:bookmarkEnd w:id="47"/>
      <w:bookmarkEnd w:id="48"/>
      <w:bookmarkEnd w:id="49"/>
    </w:p>
    <w:p>
      <w:pPr>
        <w:pStyle w:val="4"/>
        <w:ind w:firstLine="562"/>
        <w:rPr>
          <w:rFonts w:ascii="Times New Roman" w:hAnsi="Times New Roman"/>
        </w:rPr>
      </w:pPr>
      <w:r>
        <w:rPr>
          <w:rFonts w:ascii="Times New Roman" w:hAnsi="Times New Roman"/>
        </w:rPr>
        <w:t>1．合理划定基本农田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1025.00公顷，考虑到线型基础设施项目选址的不确定性，永久基本农田划定过程中在完成上级下达的基本农田保护目标任务的基础上，预留了3.80公顷大型基础实施项目占用基本农田的补划空间，全镇实际划定1028.8公顷。·</w:t>
      </w:r>
    </w:p>
    <w:p>
      <w:pPr>
        <w:pStyle w:val="4"/>
        <w:ind w:firstLine="562"/>
        <w:rPr>
          <w:rFonts w:ascii="Times New Roman" w:hAnsi="Times New Roman"/>
        </w:rPr>
      </w:pPr>
      <w:r>
        <w:rPr>
          <w:rFonts w:ascii="Times New Roman" w:hAnsi="Times New Roman"/>
        </w:rPr>
        <w:t>2．合理布局基本农田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全镇基本农田在县级规划基本农田保护区的基础上因规划基数、产业发展及农民集中居住区等原因对基本农田面积进行调整；将农业水利基础条件较好在201</w:t>
      </w:r>
      <w:r>
        <w:rPr>
          <w:rFonts w:hint="eastAsia" w:ascii="Times New Roman" w:hAnsi="Times New Roman" w:eastAsia="仿宋_GB2312"/>
          <w:sz w:val="28"/>
          <w:szCs w:val="28"/>
        </w:rPr>
        <w:t>4</w:t>
      </w:r>
      <w:r>
        <w:rPr>
          <w:rFonts w:ascii="Times New Roman" w:hAnsi="Times New Roman" w:eastAsia="仿宋_GB2312"/>
          <w:sz w:val="28"/>
          <w:szCs w:val="28"/>
        </w:rPr>
        <w:t>年土地利用变更调查已变更为耕地及土地整理复垦开发新增的优质耕地调整为基本农田。</w:t>
      </w:r>
    </w:p>
    <w:p>
      <w:pPr>
        <w:pStyle w:val="4"/>
        <w:ind w:firstLine="562"/>
        <w:rPr>
          <w:rFonts w:ascii="Times New Roman" w:hAnsi="Times New Roman"/>
        </w:rPr>
      </w:pPr>
      <w:r>
        <w:rPr>
          <w:rFonts w:ascii="Times New Roman" w:hAnsi="Times New Roman"/>
        </w:rPr>
        <w:t>3．加大基本农田建设力度稳步提升基本农田质量</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rPr>
          <w:rFonts w:ascii="Times New Roman" w:hAnsi="Times New Roman"/>
        </w:rPr>
      </w:pPr>
      <w:r>
        <w:rPr>
          <w:rFonts w:ascii="Times New Roman" w:hAnsi="Times New Roman"/>
        </w:rPr>
        <w:t>4．严格落实基本农田保护制度</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50" w:name="_Toc486428864"/>
      <w:r>
        <w:rPr>
          <w:rFonts w:ascii="Times New Roman" w:hAnsi="Times New Roman"/>
        </w:rPr>
        <w:t>五、建设用地规划</w:t>
      </w:r>
      <w:bookmarkEnd w:id="50"/>
    </w:p>
    <w:p>
      <w:pPr>
        <w:pStyle w:val="3"/>
        <w:rPr>
          <w:rFonts w:ascii="Times New Roman" w:hAnsi="Times New Roman" w:cs="Times New Roman"/>
        </w:rPr>
      </w:pPr>
      <w:bookmarkStart w:id="51" w:name="_Toc486428865"/>
      <w:r>
        <w:rPr>
          <w:rFonts w:ascii="Times New Roman" w:hAnsi="Times New Roman" w:cs="Times New Roman"/>
        </w:rPr>
        <w:t>（一）</w:t>
      </w:r>
      <w:bookmarkStart w:id="52" w:name="_Toc357580159"/>
      <w:r>
        <w:rPr>
          <w:rFonts w:ascii="Times New Roman" w:hAnsi="Times New Roman" w:cs="Times New Roman"/>
        </w:rPr>
        <w:t>城镇和农村居民点用地控制</w:t>
      </w:r>
      <w:bookmarkEnd w:id="51"/>
      <w:bookmarkEnd w:id="52"/>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规划调整完善后新云乡2020年建设用地总规模、城镇工矿规模、农村居民点用地规模，分别控制在127.88公顷、2.25公顷、117.85  公顷以内。</w:t>
      </w:r>
    </w:p>
    <w:p>
      <w:pPr>
        <w:pStyle w:val="4"/>
        <w:ind w:firstLine="562"/>
        <w:rPr>
          <w:rFonts w:ascii="Times New Roman" w:hAnsi="Times New Roman"/>
        </w:rPr>
      </w:pPr>
      <w:r>
        <w:rPr>
          <w:rFonts w:ascii="Times New Roman" w:hAnsi="Times New Roman"/>
        </w:rPr>
        <w:t>1．城镇建设用地调控</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0.00公顷，其中现状建设用地规模为0.00公顷，新增建设用地规模为</w:t>
      </w:r>
      <w:r>
        <w:rPr>
          <w:rFonts w:hint="eastAsia" w:ascii="Times New Roman" w:hAnsi="Times New Roman" w:eastAsia="仿宋_GB2312"/>
          <w:sz w:val="28"/>
          <w:szCs w:val="28"/>
        </w:rPr>
        <w:t>0.00</w:t>
      </w:r>
      <w:r>
        <w:rPr>
          <w:rFonts w:ascii="Times New Roman" w:hAnsi="Times New Roman" w:eastAsia="仿宋_GB2312"/>
          <w:sz w:val="28"/>
          <w:szCs w:val="28"/>
        </w:rPr>
        <w:t>公顷。</w:t>
      </w:r>
    </w:p>
    <w:p>
      <w:pPr>
        <w:pStyle w:val="4"/>
        <w:ind w:firstLine="562"/>
        <w:rPr>
          <w:rFonts w:ascii="Times New Roman" w:hAnsi="Times New Roman"/>
        </w:rPr>
      </w:pPr>
      <w:bookmarkStart w:id="53" w:name="_Toc271901693"/>
      <w:bookmarkStart w:id="54" w:name="_Toc272496878"/>
      <w:bookmarkStart w:id="55" w:name="_Toc272826232"/>
      <w:r>
        <w:rPr>
          <w:rFonts w:ascii="Times New Roman" w:hAnsi="Times New Roman"/>
        </w:rPr>
        <w:t>2．农村居民点用地调控</w:t>
      </w:r>
      <w:bookmarkEnd w:id="53"/>
      <w:bookmarkEnd w:id="54"/>
      <w:bookmarkEnd w:id="55"/>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规划调整完善后2020年全镇农村居民点用地规模控制在117.85  公顷，其中现状建设用地规模为116.37 公顷，新增建设用地规模为</w:t>
      </w:r>
      <w:r>
        <w:rPr>
          <w:rFonts w:hint="eastAsia" w:ascii="Times New Roman" w:hAnsi="Times New Roman" w:eastAsia="仿宋_GB2312"/>
          <w:sz w:val="28"/>
          <w:szCs w:val="28"/>
        </w:rPr>
        <w:t>1.48</w:t>
      </w:r>
      <w:r>
        <w:rPr>
          <w:rFonts w:ascii="Times New Roman" w:hAnsi="Times New Roman" w:eastAsia="仿宋_GB2312"/>
          <w:sz w:val="28"/>
          <w:szCs w:val="28"/>
        </w:rPr>
        <w:t>公顷。</w:t>
      </w:r>
      <w:r>
        <w:rPr>
          <w:rFonts w:hint="eastAsia" w:ascii="Times New Roman" w:hAnsi="Times New Roman" w:eastAsia="仿宋_GB2312"/>
          <w:sz w:val="28"/>
          <w:szCs w:val="28"/>
        </w:rPr>
        <w:t>农村居民点用地增量中包括易地扶贫搬迁、地质灾害搬迁等零散农村集体建设用地。</w:t>
      </w:r>
    </w:p>
    <w:p>
      <w:pPr>
        <w:pStyle w:val="3"/>
        <w:rPr>
          <w:rFonts w:ascii="Times New Roman" w:hAnsi="Times New Roman" w:cs="Times New Roman"/>
        </w:rPr>
      </w:pPr>
      <w:bookmarkStart w:id="56" w:name="_Toc357580160"/>
      <w:bookmarkStart w:id="57" w:name="_Toc486428866"/>
      <w:r>
        <w:rPr>
          <w:rFonts w:ascii="Times New Roman" w:hAnsi="Times New Roman" w:cs="Times New Roman"/>
        </w:rPr>
        <w:t>（二）</w:t>
      </w:r>
      <w:bookmarkEnd w:id="56"/>
      <w:r>
        <w:rPr>
          <w:rFonts w:ascii="Times New Roman" w:hAnsi="Times New Roman" w:cs="Times New Roman"/>
        </w:rPr>
        <w:t>重点建设项目用地安排</w:t>
      </w:r>
      <w:bookmarkEnd w:id="5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根据省、市、县的重点建设项目安排以及“十三五”期间新云乡社会经济发展需要，“十三五”期间全镇范围内预计将要实施的重点建设项目共计</w:t>
      </w:r>
      <w:r>
        <w:rPr>
          <w:rFonts w:hint="eastAsia" w:ascii="Times New Roman" w:hAnsi="Times New Roman" w:eastAsia="仿宋_GB2312"/>
          <w:sz w:val="28"/>
          <w:szCs w:val="28"/>
        </w:rPr>
        <w:t>19</w:t>
      </w:r>
      <w:r>
        <w:rPr>
          <w:rFonts w:ascii="Times New Roman" w:hAnsi="Times New Roman" w:eastAsia="仿宋_GB2312"/>
          <w:sz w:val="28"/>
          <w:szCs w:val="28"/>
        </w:rPr>
        <w:t>项目，规划调整完善后，预留用于保障重点建设项目的本级新增建设用地指标2.82公顷，具体项目安排如下：</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1.能源项目：无；</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2.交通项目：</w:t>
      </w:r>
      <w:r>
        <w:rPr>
          <w:rFonts w:hint="eastAsia" w:ascii="Times New Roman" w:hAnsi="Times New Roman" w:eastAsia="仿宋_GB2312"/>
          <w:sz w:val="28"/>
          <w:szCs w:val="28"/>
        </w:rPr>
        <w:t>农村公路项目</w:t>
      </w:r>
      <w:r>
        <w:rPr>
          <w:rFonts w:ascii="Times New Roman" w:hAnsi="Times New Roman" w:eastAsia="仿宋_GB2312"/>
          <w:sz w:val="28"/>
          <w:szCs w:val="28"/>
        </w:rPr>
        <w:t>、</w:t>
      </w:r>
      <w:r>
        <w:rPr>
          <w:rFonts w:hint="eastAsia" w:ascii="Times New Roman" w:hAnsi="Times New Roman" w:eastAsia="仿宋_GB2312"/>
          <w:sz w:val="28"/>
          <w:szCs w:val="28"/>
        </w:rPr>
        <w:t>省道103线青神至五通桥段公路</w:t>
      </w:r>
      <w:r>
        <w:rPr>
          <w:rFonts w:ascii="Times New Roman" w:hAnsi="Times New Roman" w:eastAsia="仿宋_GB2312"/>
          <w:sz w:val="28"/>
          <w:szCs w:val="28"/>
        </w:rPr>
        <w:t>、</w:t>
      </w:r>
      <w:r>
        <w:rPr>
          <w:rFonts w:hint="eastAsia" w:ascii="Times New Roman" w:hAnsi="Times New Roman" w:eastAsia="仿宋_GB2312"/>
          <w:sz w:val="28"/>
          <w:szCs w:val="28"/>
        </w:rPr>
        <w:t>连乐铁路支线</w:t>
      </w:r>
      <w:r>
        <w:rPr>
          <w:rFonts w:ascii="Times New Roman" w:hAnsi="Times New Roman" w:eastAsia="仿宋_GB2312"/>
          <w:sz w:val="28"/>
          <w:szCs w:val="28"/>
        </w:rPr>
        <w:t>等共计</w:t>
      </w:r>
      <w:r>
        <w:rPr>
          <w:rFonts w:hint="eastAsia" w:ascii="Times New Roman" w:hAnsi="Times New Roman" w:eastAsia="仿宋_GB2312"/>
          <w:sz w:val="28"/>
          <w:szCs w:val="28"/>
        </w:rPr>
        <w:t>3</w:t>
      </w:r>
      <w:r>
        <w:rPr>
          <w:rFonts w:ascii="Times New Roman" w:hAnsi="Times New Roman" w:eastAsia="仿宋_GB2312"/>
          <w:sz w:val="28"/>
          <w:szCs w:val="28"/>
        </w:rPr>
        <w:t>项；</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3.水利项目：</w:t>
      </w:r>
      <w:r>
        <w:rPr>
          <w:rFonts w:hint="eastAsia" w:ascii="Times New Roman" w:hAnsi="Times New Roman" w:eastAsia="仿宋_GB2312"/>
          <w:sz w:val="28"/>
          <w:szCs w:val="28"/>
        </w:rPr>
        <w:t>泊滩堰罐区河湖水系连通工程（三江临港段）</w:t>
      </w:r>
      <w:r>
        <w:rPr>
          <w:rFonts w:ascii="Times New Roman" w:hAnsi="Times New Roman" w:eastAsia="仿宋_GB2312"/>
          <w:sz w:val="28"/>
          <w:szCs w:val="28"/>
        </w:rPr>
        <w:t>、</w:t>
      </w:r>
      <w:r>
        <w:rPr>
          <w:rFonts w:hint="eastAsia" w:ascii="Times New Roman" w:hAnsi="Times New Roman" w:eastAsia="仿宋_GB2312"/>
          <w:sz w:val="28"/>
          <w:szCs w:val="28"/>
        </w:rPr>
        <w:t>岷江干流乐山段防洪工程</w:t>
      </w:r>
      <w:r>
        <w:rPr>
          <w:rFonts w:ascii="Times New Roman" w:hAnsi="Times New Roman" w:eastAsia="仿宋_GB2312"/>
          <w:sz w:val="28"/>
          <w:szCs w:val="28"/>
        </w:rPr>
        <w:t>、中小河流治理工程、小型水库工程、中小型已成灌区续建配套与节水改造工程、病险水库除险加固工程、农村饮水安全工程等共计7项；</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4.电力项目： 35kv变电扩建工程共计</w:t>
      </w:r>
      <w:r>
        <w:rPr>
          <w:rFonts w:hint="eastAsia" w:ascii="Times New Roman" w:hAnsi="Times New Roman" w:eastAsia="仿宋_GB2312"/>
          <w:sz w:val="28"/>
          <w:szCs w:val="28"/>
        </w:rPr>
        <w:t>1</w:t>
      </w:r>
      <w:r>
        <w:rPr>
          <w:rFonts w:ascii="Times New Roman" w:hAnsi="Times New Roman" w:eastAsia="仿宋_GB2312"/>
          <w:sz w:val="28"/>
          <w:szCs w:val="28"/>
        </w:rPr>
        <w:t>项；</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5.旅游项目：</w:t>
      </w:r>
      <w:r>
        <w:rPr>
          <w:rFonts w:hint="eastAsia" w:ascii="Times New Roman" w:hAnsi="Times New Roman" w:eastAsia="仿宋_GB2312"/>
          <w:sz w:val="28"/>
          <w:szCs w:val="28"/>
        </w:rPr>
        <w:t>燕山特色村打造</w:t>
      </w:r>
      <w:r>
        <w:rPr>
          <w:rFonts w:ascii="Times New Roman" w:hAnsi="Times New Roman" w:eastAsia="仿宋_GB2312"/>
          <w:sz w:val="28"/>
          <w:szCs w:val="28"/>
        </w:rPr>
        <w:t>共计</w:t>
      </w:r>
      <w:r>
        <w:rPr>
          <w:rFonts w:hint="eastAsia" w:ascii="Times New Roman" w:hAnsi="Times New Roman" w:eastAsia="仿宋_GB2312"/>
          <w:sz w:val="28"/>
          <w:szCs w:val="28"/>
        </w:rPr>
        <w:t>1</w:t>
      </w:r>
      <w:r>
        <w:rPr>
          <w:rFonts w:ascii="Times New Roman" w:hAnsi="Times New Roman" w:eastAsia="仿宋_GB2312"/>
          <w:sz w:val="28"/>
          <w:szCs w:val="28"/>
        </w:rPr>
        <w:t>项</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6.其他项目：加气站及输气管道、加油站及输油管道、自来水厂及供水管网工程、污水处理厂（站）及管网设施、垃圾处理厂（站）、通讯电缆工程、殡葬项目等共计7项</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规划期内，须优先保障上述省、市、县级规划的交通、水利、电力等重点基础设施建设项目用地。同时，按照新云乡新农村建设规划，科学合理规划乡镇公路和村社道路，全面提升乡村道等级。</w:t>
      </w:r>
    </w:p>
    <w:p>
      <w:pPr>
        <w:pStyle w:val="3"/>
        <w:rPr>
          <w:rFonts w:ascii="Times New Roman" w:hAnsi="Times New Roman" w:cs="Times New Roman"/>
        </w:rPr>
      </w:pPr>
      <w:bookmarkStart w:id="58" w:name="_Toc486428867"/>
      <w:r>
        <w:rPr>
          <w:rFonts w:ascii="Times New Roman" w:hAnsi="Times New Roman" w:cs="Times New Roman"/>
        </w:rPr>
        <w:t>（三）建设用地空间管制</w:t>
      </w:r>
      <w:bookmarkEnd w:id="5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上级下达给新云乡的建设用地指标，在统筹存量与增量建设用地利用，结合新云乡社会经济发展的实际，在建设用地布局适宜性评价基础上，与相关规划相协调，合理安排建设用地布局，按照建设用地空间管制规则将全镇土地划分为四个区域进行不同的管制。</w:t>
      </w:r>
    </w:p>
    <w:p>
      <w:pPr>
        <w:pStyle w:val="4"/>
        <w:ind w:firstLine="562"/>
        <w:rPr>
          <w:rFonts w:ascii="Times New Roman" w:hAnsi="Times New Roman"/>
        </w:rPr>
      </w:pPr>
      <w:r>
        <w:rPr>
          <w:rFonts w:ascii="Times New Roman" w:hAnsi="Times New Roman"/>
        </w:rPr>
        <w:t>1．允许建设区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新云乡城乡建设用地规模边界以内的区域，是规划期内新增城镇、工矿、村庄建设用地规划选址的区域，也是规划确定的城乡建设用地指标落实到空间上的预期用地区。全镇各乡村均有不同量的分布。该区域面积为120.98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新云乡经济社会发展的龙头。</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rPr>
          <w:rFonts w:ascii="Times New Roman" w:hAnsi="Times New Roman"/>
        </w:rPr>
      </w:pPr>
      <w:r>
        <w:rPr>
          <w:rFonts w:ascii="Times New Roman" w:hAnsi="Times New Roman"/>
        </w:rPr>
        <w:t>2．有条件建设区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新云乡有条件建设区规模为0.03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rPr>
          <w:rFonts w:ascii="Times New Roman" w:hAnsi="Times New Roman"/>
        </w:rPr>
      </w:pPr>
      <w:r>
        <w:rPr>
          <w:rFonts w:ascii="Times New Roman" w:hAnsi="Times New Roman"/>
        </w:rPr>
        <w:t>3．限制建设区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该区域主要是新云乡境内农村腹地区域，这些地区区位优势不明显，土地资源利用主要以农业为主。该区范围面积为2182.94公顷。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四 禁止建设区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新云乡范围内未划定禁止建设区。</w:t>
      </w:r>
    </w:p>
    <w:p>
      <w:pPr>
        <w:pStyle w:val="2"/>
        <w:rPr>
          <w:rFonts w:ascii="Times New Roman" w:hAnsi="Times New Roman"/>
        </w:rPr>
      </w:pPr>
      <w:r>
        <w:rPr>
          <w:rFonts w:ascii="Times New Roman" w:hAnsi="Times New Roman"/>
          <w:sz w:val="28"/>
          <w:szCs w:val="28"/>
        </w:rPr>
        <w:br w:type="page"/>
      </w:r>
      <w:bookmarkStart w:id="59" w:name="_Toc486428868"/>
      <w:r>
        <w:rPr>
          <w:rFonts w:ascii="Times New Roman" w:hAnsi="Times New Roman"/>
        </w:rPr>
        <w:t>六、用途分区</w:t>
      </w:r>
      <w:bookmarkEnd w:id="59"/>
    </w:p>
    <w:p>
      <w:pPr>
        <w:ind w:firstLine="560" w:firstLineChars="200"/>
        <w:rPr>
          <w:rFonts w:ascii="Times New Roman" w:hAnsi="Times New Roman" w:eastAsia="仿宋_GB2312"/>
          <w:sz w:val="28"/>
          <w:szCs w:val="28"/>
        </w:rPr>
      </w:pPr>
      <w:r>
        <w:rPr>
          <w:rFonts w:ascii="Times New Roman" w:hAnsi="Times New Roman" w:eastAsia="仿宋_GB2312"/>
          <w:sz w:val="28"/>
          <w:szCs w:val="28"/>
        </w:rPr>
        <w:t>此次规划调整完善，按照全镇国民经济发展需要和土地利用的主要用途，将新云乡土地划分为：基本农田保护区、一般农地区、城镇村建设用地区、独立工矿用地区、林业用地区、其他用地区等六种土地用途区。</w:t>
      </w:r>
    </w:p>
    <w:p>
      <w:pPr>
        <w:pStyle w:val="3"/>
        <w:rPr>
          <w:rFonts w:ascii="Times New Roman" w:hAnsi="Times New Roman" w:cs="Times New Roman"/>
        </w:rPr>
      </w:pPr>
      <w:bookmarkStart w:id="60" w:name="_Toc259716770"/>
      <w:bookmarkStart w:id="61" w:name="_Toc271189964"/>
      <w:bookmarkStart w:id="62" w:name="_Toc272826212"/>
      <w:bookmarkStart w:id="63" w:name="_Toc288825079"/>
      <w:bookmarkStart w:id="64" w:name="_Toc357580169"/>
      <w:bookmarkStart w:id="65" w:name="_Toc486428869"/>
      <w:r>
        <w:rPr>
          <w:rFonts w:ascii="Times New Roman" w:hAnsi="Times New Roman" w:cs="Times New Roman"/>
        </w:rPr>
        <w:t>（一）基本农田保护区</w:t>
      </w:r>
      <w:bookmarkEnd w:id="60"/>
      <w:bookmarkEnd w:id="61"/>
      <w:bookmarkEnd w:id="62"/>
      <w:bookmarkEnd w:id="63"/>
      <w:bookmarkEnd w:id="64"/>
      <w:bookmarkEnd w:id="65"/>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1140.33公顷，占全镇土地总面积的49.45%。</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本区土地利用管制规则如下：</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rPr>
          <w:rFonts w:ascii="Times New Roman" w:hAnsi="Times New Roman" w:cs="Times New Roman"/>
        </w:rPr>
      </w:pPr>
      <w:bookmarkStart w:id="66" w:name="_Toc248830941"/>
      <w:bookmarkStart w:id="67" w:name="_Toc248831113"/>
      <w:bookmarkStart w:id="68" w:name="_Toc256352736"/>
      <w:bookmarkStart w:id="69" w:name="_Toc259716771"/>
      <w:bookmarkStart w:id="70" w:name="_Toc271189965"/>
      <w:bookmarkStart w:id="71" w:name="_Toc272826213"/>
      <w:bookmarkStart w:id="72" w:name="_Toc288825080"/>
      <w:bookmarkStart w:id="73" w:name="_Toc357580170"/>
      <w:bookmarkStart w:id="74" w:name="_Toc486428870"/>
      <w:r>
        <w:rPr>
          <w:rFonts w:ascii="Times New Roman" w:hAnsi="Times New Roman" w:cs="Times New Roman"/>
        </w:rPr>
        <w:t>（二）一般农地区</w:t>
      </w:r>
      <w:bookmarkEnd w:id="66"/>
      <w:bookmarkEnd w:id="67"/>
      <w:bookmarkEnd w:id="68"/>
      <w:bookmarkEnd w:id="69"/>
      <w:bookmarkEnd w:id="70"/>
      <w:bookmarkEnd w:id="71"/>
      <w:bookmarkEnd w:id="72"/>
      <w:bookmarkEnd w:id="73"/>
      <w:bookmarkEnd w:id="74"/>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130.64公顷，占全镇土地总面积的5.66%。</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（3）不得闲置、破坏、污染和荒芜区内土地。</w:t>
      </w:r>
    </w:p>
    <w:p>
      <w:pPr>
        <w:pStyle w:val="3"/>
        <w:rPr>
          <w:rFonts w:ascii="Times New Roman" w:hAnsi="Times New Roman" w:cs="Times New Roman"/>
        </w:rPr>
      </w:pPr>
      <w:bookmarkStart w:id="75" w:name="_Toc302919479"/>
      <w:bookmarkStart w:id="76" w:name="_Toc302922705"/>
      <w:bookmarkStart w:id="77" w:name="_Toc357580171"/>
      <w:bookmarkStart w:id="78" w:name="_Toc486428871"/>
      <w:r>
        <w:rPr>
          <w:rFonts w:ascii="Times New Roman" w:hAnsi="Times New Roman" w:cs="Times New Roman"/>
        </w:rPr>
        <w:t>（三）城镇建设用地区</w:t>
      </w:r>
      <w:bookmarkEnd w:id="75"/>
      <w:bookmarkEnd w:id="76"/>
      <w:bookmarkEnd w:id="77"/>
      <w:bookmarkEnd w:id="78"/>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hint="eastAsia" w:ascii="Times New Roman" w:hAnsi="Times New Roman" w:eastAsia="仿宋_GB2312"/>
          <w:sz w:val="28"/>
          <w:szCs w:val="28"/>
        </w:rPr>
        <w:t>0.00</w:t>
      </w:r>
      <w:r>
        <w:rPr>
          <w:rFonts w:ascii="Times New Roman" w:hAnsi="Times New Roman" w:eastAsia="仿宋_GB2312"/>
          <w:sz w:val="28"/>
          <w:szCs w:val="28"/>
        </w:rPr>
        <w:t>公顷，占全镇土地总面积的0.</w:t>
      </w:r>
      <w:r>
        <w:rPr>
          <w:rFonts w:hint="eastAsia" w:ascii="Times New Roman" w:hAnsi="Times New Roman" w:eastAsia="仿宋_GB2312"/>
          <w:sz w:val="28"/>
          <w:szCs w:val="28"/>
        </w:rPr>
        <w:t>00</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（1）区内土地主要用于城镇建设，须符合经批准的城镇建设规划；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（2）区内城镇建设应优先利用现有低效建设用地、闲置地和废弃地；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（3）区内农用地在批准改变用途之前，应当按原用途使用，不得荒芜。</w:t>
      </w:r>
    </w:p>
    <w:p>
      <w:pPr>
        <w:pStyle w:val="3"/>
        <w:rPr>
          <w:rFonts w:ascii="Times New Roman" w:hAnsi="Times New Roman" w:cs="Times New Roman"/>
        </w:rPr>
      </w:pPr>
      <w:bookmarkStart w:id="79" w:name="_Toc248830943"/>
      <w:bookmarkStart w:id="80" w:name="_Toc248831115"/>
      <w:bookmarkStart w:id="81" w:name="_Toc256352738"/>
      <w:bookmarkStart w:id="82" w:name="_Toc259716773"/>
      <w:bookmarkStart w:id="83" w:name="_Toc271189966"/>
      <w:bookmarkStart w:id="84" w:name="_Toc272826214"/>
      <w:bookmarkStart w:id="85" w:name="_Toc288825081"/>
      <w:bookmarkStart w:id="86" w:name="_Toc357580172"/>
      <w:bookmarkStart w:id="87" w:name="_Toc486428872"/>
      <w:r>
        <w:rPr>
          <w:rFonts w:ascii="Times New Roman" w:hAnsi="Times New Roman" w:cs="Times New Roman"/>
        </w:rPr>
        <w:t>（四）村镇建设用地区</w:t>
      </w:r>
      <w:bookmarkEnd w:id="79"/>
      <w:bookmarkEnd w:id="80"/>
      <w:bookmarkEnd w:id="81"/>
      <w:bookmarkEnd w:id="82"/>
      <w:bookmarkEnd w:id="83"/>
      <w:bookmarkEnd w:id="84"/>
      <w:bookmarkEnd w:id="85"/>
      <w:bookmarkEnd w:id="86"/>
      <w:bookmarkEnd w:id="8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118.74公顷，占全镇土地总面积的5.15%。</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（1）区内土地主要用于城镇、农村居民点建设，须符合经批准的城镇、村庄建设规划；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（2）区内城镇建设应优先利用现有低效建设用地、闲置地和废弃地；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（3）区内农用地在批准改变用途之前，应当按原用途使用，不得荒芜。</w:t>
      </w:r>
    </w:p>
    <w:p>
      <w:pPr>
        <w:pStyle w:val="3"/>
        <w:rPr>
          <w:rFonts w:ascii="Times New Roman" w:hAnsi="Times New Roman" w:cs="Times New Roman"/>
        </w:rPr>
      </w:pPr>
      <w:bookmarkStart w:id="88" w:name="_Toc248830944"/>
      <w:bookmarkStart w:id="89" w:name="_Toc248831116"/>
      <w:bookmarkStart w:id="90" w:name="_Toc256352739"/>
      <w:bookmarkStart w:id="91" w:name="_Toc259716774"/>
      <w:bookmarkStart w:id="92" w:name="_Toc271189967"/>
      <w:bookmarkStart w:id="93" w:name="_Toc272872578"/>
      <w:bookmarkStart w:id="94" w:name="_Toc287626070"/>
      <w:bookmarkStart w:id="95" w:name="_Toc288825082"/>
      <w:bookmarkStart w:id="96" w:name="_Toc357580173"/>
      <w:bookmarkStart w:id="97" w:name="_Toc486428873"/>
      <w:r>
        <w:rPr>
          <w:rFonts w:ascii="Times New Roman" w:hAnsi="Times New Roman" w:cs="Times New Roman"/>
        </w:rPr>
        <w:t>（五）独立工矿用地区</w:t>
      </w:r>
      <w:bookmarkEnd w:id="88"/>
      <w:bookmarkEnd w:id="89"/>
      <w:bookmarkEnd w:id="90"/>
      <w:bookmarkEnd w:id="91"/>
      <w:bookmarkEnd w:id="92"/>
      <w:bookmarkEnd w:id="93"/>
      <w:bookmarkEnd w:id="94"/>
      <w:bookmarkEnd w:id="95"/>
      <w:bookmarkEnd w:id="96"/>
      <w:bookmarkEnd w:id="97"/>
    </w:p>
    <w:p>
      <w:pPr>
        <w:ind w:firstLine="560" w:firstLineChars="200"/>
        <w:rPr>
          <w:rFonts w:ascii="Times New Roman" w:hAnsi="Times New Roman" w:eastAsia="仿宋_GB2312"/>
          <w:sz w:val="28"/>
          <w:szCs w:val="28"/>
        </w:rPr>
      </w:pPr>
      <w:r>
        <w:rPr>
          <w:rFonts w:ascii="Times New Roman" w:hAnsi="Times New Roman"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2.24公顷，占全镇土地总面积的0.1%。</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本区的土地用途管制规则为：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（1）区内土地主要用于采矿业以及不宜在居民点内配置的工业用地；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（2）区内土地使用应符合经批准的工矿建设规划；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（3）区内因生产建设挖损、塌陷、压占的土地应及时复垦；</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（4）区内建设应优先利用现有低效建设用地、闲置地和废弃地；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（5）区内农用地在批准改变用途之前，应当按原用途使用，不得荒芜。</w:t>
      </w:r>
    </w:p>
    <w:p>
      <w:pPr>
        <w:pStyle w:val="3"/>
        <w:rPr>
          <w:rFonts w:ascii="Times New Roman" w:hAnsi="Times New Roman" w:cs="Times New Roman"/>
        </w:rPr>
      </w:pPr>
      <w:bookmarkStart w:id="98" w:name="_Toc486428874"/>
      <w:bookmarkStart w:id="99" w:name="_Toc288825083"/>
      <w:bookmarkStart w:id="100" w:name="_Toc357580174"/>
      <w:r>
        <w:rPr>
          <w:rFonts w:ascii="Times New Roman" w:hAnsi="Times New Roman" w:cs="Times New Roman"/>
        </w:rPr>
        <w:t>（六）林业用地区</w:t>
      </w:r>
      <w:bookmarkEnd w:id="98"/>
      <w:bookmarkEnd w:id="99"/>
      <w:bookmarkEnd w:id="100"/>
    </w:p>
    <w:p>
      <w:pPr>
        <w:ind w:firstLine="560" w:firstLineChars="200"/>
        <w:rPr>
          <w:rFonts w:ascii="Times New Roman" w:hAnsi="Times New Roman" w:eastAsia="仿宋_GB2312"/>
          <w:sz w:val="28"/>
          <w:szCs w:val="28"/>
        </w:rPr>
      </w:pPr>
      <w:r>
        <w:rPr>
          <w:rFonts w:ascii="Times New Roman" w:hAnsi="Times New Roman"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892.48公顷，占全镇土地总面积的38.7%。</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（1）区内土地主要用于林业生产</w:t>
      </w:r>
      <w:bookmarkStart w:id="146" w:name="_GoBack"/>
      <w:bookmarkEnd w:id="146"/>
      <w:r>
        <w:rPr>
          <w:rFonts w:ascii="Times New Roman" w:hAnsi="Times New Roman" w:eastAsia="仿宋_GB2312"/>
          <w:sz w:val="28"/>
          <w:szCs w:val="28"/>
        </w:rPr>
        <w:t>以及直接为林业生产和生态建设服务的营林设施；</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（3）区内零星耕地因生态建设和环境保护需要可转为林地；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（4）不得占用区内土地进行毁林开垦、采石、挖沙、取土等活动。</w:t>
      </w:r>
    </w:p>
    <w:p>
      <w:pPr>
        <w:pStyle w:val="3"/>
        <w:rPr>
          <w:rFonts w:ascii="Times New Roman" w:hAnsi="Times New Roman" w:cs="Times New Roman"/>
        </w:rPr>
      </w:pPr>
      <w:bookmarkStart w:id="101" w:name="_Toc313979681"/>
      <w:bookmarkStart w:id="102" w:name="_Toc313979935"/>
      <w:bookmarkStart w:id="103" w:name="_Toc357580175"/>
      <w:bookmarkStart w:id="104" w:name="_Toc486428875"/>
      <w:r>
        <w:rPr>
          <w:rFonts w:ascii="Times New Roman" w:hAnsi="Times New Roman" w:cs="Times New Roman"/>
        </w:rPr>
        <w:t>（七）其他用地区</w:t>
      </w:r>
      <w:bookmarkEnd w:id="101"/>
      <w:bookmarkEnd w:id="102"/>
      <w:bookmarkEnd w:id="103"/>
      <w:bookmarkEnd w:id="104"/>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主要包括以上各区外的土地，重点是全镇居民点以外的铁路、公路、管道运输用地，水利设施中的沟渠和水工建筑物用地，以及全镇的未利用地等。该区面积140.54公顷，占全镇土地总面积的6.09%。</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（1）区内土地使用应符合经批准的相关规划；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（3）区内农用地在批准改变用途前，应当按原用途使用，不得荒芜。</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105" w:name="_Toc486428876"/>
      <w:r>
        <w:rPr>
          <w:rFonts w:ascii="Times New Roman" w:hAnsi="Times New Roman"/>
        </w:rPr>
        <w:t>七、生态保护用地规划</w:t>
      </w:r>
      <w:bookmarkEnd w:id="105"/>
    </w:p>
    <w:p>
      <w:pPr>
        <w:pStyle w:val="3"/>
        <w:rPr>
          <w:rFonts w:ascii="Times New Roman" w:hAnsi="Times New Roman" w:cs="Times New Roman"/>
        </w:rPr>
      </w:pPr>
      <w:bookmarkStart w:id="106" w:name="_Toc357580162"/>
      <w:bookmarkStart w:id="107" w:name="_Toc486428877"/>
      <w:bookmarkStart w:id="108" w:name="_Toc248830955"/>
      <w:bookmarkStart w:id="109" w:name="_Toc248831127"/>
      <w:bookmarkStart w:id="110" w:name="_Toc256352753"/>
      <w:bookmarkStart w:id="111" w:name="_Toc259716798"/>
      <w:bookmarkStart w:id="112" w:name="_Toc271189983"/>
      <w:bookmarkStart w:id="113" w:name="_Toc272826242"/>
      <w:bookmarkStart w:id="114" w:name="_Toc288825072"/>
      <w:r>
        <w:rPr>
          <w:rFonts w:ascii="Times New Roman" w:hAnsi="Times New Roman" w:cs="Times New Roman"/>
        </w:rPr>
        <w:t>（一）构建良好的农业生态环境基础</w:t>
      </w:r>
      <w:bookmarkEnd w:id="106"/>
      <w:bookmarkEnd w:id="107"/>
    </w:p>
    <w:bookmarkEnd w:id="108"/>
    <w:bookmarkEnd w:id="109"/>
    <w:bookmarkEnd w:id="110"/>
    <w:bookmarkEnd w:id="111"/>
    <w:bookmarkEnd w:id="112"/>
    <w:bookmarkEnd w:id="113"/>
    <w:bookmarkEnd w:id="114"/>
    <w:p>
      <w:pPr>
        <w:pStyle w:val="4"/>
        <w:ind w:firstLine="562"/>
        <w:rPr>
          <w:rFonts w:ascii="Times New Roman" w:hAnsi="Times New Roman"/>
        </w:rPr>
      </w:pPr>
      <w:bookmarkStart w:id="115" w:name="_Toc248830956"/>
      <w:bookmarkStart w:id="116" w:name="_Toc248831128"/>
      <w:bookmarkStart w:id="117" w:name="_Toc256352754"/>
      <w:bookmarkStart w:id="118" w:name="_Toc259716802"/>
      <w:bookmarkStart w:id="119" w:name="_Toc271189984"/>
      <w:bookmarkStart w:id="120" w:name="_Toc272826246"/>
      <w:bookmarkStart w:id="121" w:name="_Toc288825073"/>
      <w:r>
        <w:rPr>
          <w:rFonts w:ascii="Times New Roman" w:hAnsi="Times New Roman"/>
        </w:rPr>
        <w:t>1．构建生态良好的土地利用格局</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5"/>
    <w:bookmarkEnd w:id="116"/>
    <w:bookmarkEnd w:id="117"/>
    <w:bookmarkEnd w:id="118"/>
    <w:bookmarkEnd w:id="119"/>
    <w:bookmarkEnd w:id="120"/>
    <w:bookmarkEnd w:id="121"/>
    <w:p>
      <w:pPr>
        <w:pStyle w:val="4"/>
        <w:ind w:firstLine="562"/>
        <w:rPr>
          <w:rFonts w:ascii="Times New Roman" w:hAnsi="Times New Roman"/>
        </w:rPr>
      </w:pPr>
      <w:r>
        <w:rPr>
          <w:rFonts w:ascii="Times New Roman" w:hAnsi="Times New Roman"/>
        </w:rPr>
        <w:t>2．生态建设和环境保护用地安排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加强土地生态环境建设，补偿开发建设对生态环境产生的不利影响，逐步改善和提高全镇生态环境质量。</w:t>
      </w:r>
    </w:p>
    <w:p>
      <w:pPr>
        <w:ind w:firstLine="562" w:firstLineChars="200"/>
        <w:rPr>
          <w:rFonts w:ascii="Times New Roman" w:hAnsi="Times New Roman" w:eastAsia="仿宋_GB2312"/>
          <w:b/>
          <w:sz w:val="28"/>
          <w:szCs w:val="28"/>
        </w:rPr>
      </w:pPr>
      <w:bookmarkStart w:id="122" w:name="_Toc272826247"/>
      <w:r>
        <w:rPr>
          <w:rFonts w:ascii="Times New Roman" w:hAnsi="Times New Roman" w:eastAsia="仿宋_GB2312"/>
          <w:b/>
          <w:sz w:val="28"/>
          <w:szCs w:val="28"/>
        </w:rPr>
        <w:t>（1）加强基础性生态用地保护</w:t>
      </w:r>
      <w:bookmarkEnd w:id="122"/>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Times New Roman" w:hAnsi="Times New Roman" w:eastAsia="仿宋_GB2312"/>
          <w:b/>
          <w:sz w:val="28"/>
          <w:szCs w:val="28"/>
        </w:rPr>
      </w:pPr>
      <w:bookmarkStart w:id="123" w:name="_Toc272826249"/>
      <w:r>
        <w:rPr>
          <w:rFonts w:ascii="Times New Roman" w:hAnsi="Times New Roman" w:eastAsia="仿宋_GB2312"/>
          <w:b/>
          <w:sz w:val="28"/>
          <w:szCs w:val="28"/>
        </w:rPr>
        <w:t>（2）因地制宜改善土地生态环境</w:t>
      </w:r>
      <w:bookmarkEnd w:id="123"/>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rPr>
          <w:rFonts w:ascii="Times New Roman" w:hAnsi="Times New Roman" w:cs="Times New Roman"/>
        </w:rPr>
      </w:pPr>
      <w:bookmarkStart w:id="124" w:name="_Toc357580163"/>
      <w:bookmarkStart w:id="125" w:name="_Toc486428878"/>
      <w:r>
        <w:rPr>
          <w:rFonts w:ascii="Times New Roman" w:hAnsi="Times New Roman" w:cs="Times New Roman"/>
        </w:rPr>
        <w:t>（二）加强城镇生态环境建设</w:t>
      </w:r>
      <w:bookmarkEnd w:id="124"/>
      <w:bookmarkEnd w:id="125"/>
    </w:p>
    <w:p>
      <w:pPr>
        <w:ind w:firstLine="560" w:firstLineChars="200"/>
        <w:rPr>
          <w:rFonts w:ascii="Times New Roman" w:hAnsi="Times New Roman" w:eastAsia="仿宋_GB2312"/>
          <w:sz w:val="28"/>
          <w:szCs w:val="28"/>
        </w:rPr>
      </w:pPr>
      <w:r>
        <w:rPr>
          <w:rFonts w:ascii="Times New Roman" w:hAnsi="Times New Roman"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rPr>
          <w:rFonts w:ascii="Times New Roman" w:hAnsi="Times New Roman" w:cs="Times New Roman"/>
        </w:rPr>
      </w:pPr>
      <w:bookmarkStart w:id="126" w:name="_Toc357580164"/>
      <w:bookmarkStart w:id="127" w:name="_Toc486428879"/>
      <w:r>
        <w:rPr>
          <w:rFonts w:ascii="Times New Roman" w:hAnsi="Times New Roman" w:cs="Times New Roman"/>
        </w:rPr>
        <w:t>（三）加强农村地区生态环境建设</w:t>
      </w:r>
      <w:bookmarkEnd w:id="126"/>
      <w:bookmarkEnd w:id="127"/>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充分结合新农村建设工程，加强村容村貌整治，加强农村地区生态环境建设。</w:t>
      </w:r>
    </w:p>
    <w:p>
      <w:pPr>
        <w:pStyle w:val="4"/>
        <w:ind w:firstLine="562"/>
        <w:rPr>
          <w:rFonts w:ascii="Times New Roman" w:hAnsi="Times New Roman"/>
        </w:rPr>
      </w:pPr>
      <w:r>
        <w:rPr>
          <w:rFonts w:ascii="Times New Roman" w:hAnsi="Times New Roman"/>
        </w:rPr>
        <w:t>1．大力发展循环经济</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rPr>
          <w:rFonts w:ascii="Times New Roman" w:hAnsi="Times New Roman"/>
        </w:rPr>
      </w:pPr>
      <w:r>
        <w:rPr>
          <w:rFonts w:ascii="Times New Roman" w:hAnsi="Times New Roman"/>
        </w:rPr>
        <w:t>2．加强林业生态体系建设</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rPr>
          <w:rFonts w:ascii="Times New Roman" w:hAnsi="Times New Roman"/>
        </w:rPr>
      </w:pPr>
      <w:r>
        <w:rPr>
          <w:rFonts w:ascii="Times New Roman" w:hAnsi="Times New Roman"/>
        </w:rPr>
        <w:t>3．加强村容村貌整治</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28" w:name="_Toc407294589"/>
      <w:bookmarkStart w:id="129" w:name="_Toc475303983"/>
      <w:bookmarkStart w:id="130" w:name="_Toc485386651"/>
      <w:bookmarkStart w:id="131" w:name="_Toc486428880"/>
      <w:r>
        <w:rPr>
          <w:rFonts w:ascii="Times New Roman" w:hAnsi="Times New Roman" w:cs="Times New Roman"/>
          <w:bCs w:val="0"/>
          <w:color w:val="000000"/>
          <w:sz w:val="28"/>
          <w:szCs w:val="28"/>
        </w:rPr>
        <w:t>附表一  新云乡土地利用主要调控指标表</w:t>
      </w:r>
      <w:bookmarkEnd w:id="128"/>
      <w:bookmarkEnd w:id="129"/>
      <w:bookmarkEnd w:id="130"/>
      <w:bookmarkEnd w:id="131"/>
    </w:p>
    <w:p>
      <w:pPr>
        <w:spacing w:line="240" w:lineRule="exact"/>
        <w:ind w:firstLine="425"/>
        <w:jc w:val="right"/>
        <w:rPr>
          <w:rFonts w:ascii="Times New Roman" w:hAnsi="Times New Roman" w:eastAsia="仿宋_GB2312"/>
          <w:color w:val="000000"/>
          <w:sz w:val="24"/>
          <w:szCs w:val="24"/>
        </w:rPr>
      </w:pPr>
      <w:r>
        <w:rPr>
          <w:rFonts w:ascii="Times New Roman" w:hAnsi="Times New Roman" w:eastAsia="仿宋_GB2312"/>
          <w:color w:val="000000"/>
          <w:sz w:val="24"/>
          <w:szCs w:val="24"/>
        </w:rPr>
        <w:t>单位：公顷</w:t>
      </w:r>
    </w:p>
    <w:tbl>
      <w:tblPr>
        <w:tblStyle w:val="13"/>
        <w:tblW w:w="5138" w:type="pct"/>
        <w:tblInd w:w="0" w:type="dxa"/>
        <w:tblLayout w:type="autofit"/>
        <w:tblCellMar>
          <w:top w:w="0" w:type="dxa"/>
          <w:left w:w="108" w:type="dxa"/>
          <w:bottom w:w="0" w:type="dxa"/>
          <w:right w:w="108" w:type="dxa"/>
        </w:tblCellMar>
      </w:tblPr>
      <w:tblGrid>
        <w:gridCol w:w="2736"/>
        <w:gridCol w:w="1342"/>
        <w:gridCol w:w="1294"/>
        <w:gridCol w:w="1737"/>
        <w:gridCol w:w="1648"/>
      </w:tblGrid>
      <w:tr>
        <w:tblPrEx>
          <w:tblCellMar>
            <w:top w:w="0" w:type="dxa"/>
            <w:left w:w="108" w:type="dxa"/>
            <w:bottom w:w="0" w:type="dxa"/>
            <w:right w:w="108" w:type="dxa"/>
          </w:tblCellMar>
        </w:tblPrEx>
        <w:trPr>
          <w:trHeight w:val="570" w:hRule="atLeast"/>
        </w:trPr>
        <w:tc>
          <w:tcPr>
            <w:tcW w:w="1562" w:type="pct"/>
            <w:tcBorders>
              <w:top w:val="single" w:color="auto" w:sz="4" w:space="0"/>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指标</w:t>
            </w:r>
          </w:p>
        </w:tc>
        <w:tc>
          <w:tcPr>
            <w:tcW w:w="766" w:type="pct"/>
            <w:tcBorders>
              <w:top w:val="single" w:color="auto" w:sz="4" w:space="0"/>
              <w:left w:val="nil"/>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规划基期年</w:t>
            </w:r>
          </w:p>
        </w:tc>
        <w:tc>
          <w:tcPr>
            <w:tcW w:w="739" w:type="pct"/>
            <w:tcBorders>
              <w:top w:val="single" w:color="auto" w:sz="4" w:space="0"/>
              <w:left w:val="nil"/>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原规划目标</w:t>
            </w:r>
          </w:p>
        </w:tc>
        <w:tc>
          <w:tcPr>
            <w:tcW w:w="992" w:type="pct"/>
            <w:tcBorders>
              <w:top w:val="single" w:color="auto" w:sz="4" w:space="0"/>
              <w:left w:val="nil"/>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调整后目标年</w:t>
            </w:r>
          </w:p>
        </w:tc>
        <w:tc>
          <w:tcPr>
            <w:tcW w:w="940" w:type="pct"/>
            <w:tcBorders>
              <w:top w:val="single" w:color="auto" w:sz="4" w:space="0"/>
              <w:left w:val="nil"/>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指标属性</w:t>
            </w:r>
          </w:p>
        </w:tc>
      </w:tr>
      <w:tr>
        <w:tblPrEx>
          <w:tblCellMar>
            <w:top w:w="0" w:type="dxa"/>
            <w:left w:w="108" w:type="dxa"/>
            <w:bottom w:w="0" w:type="dxa"/>
            <w:right w:w="108" w:type="dxa"/>
          </w:tblCellMar>
        </w:tblPrEx>
        <w:trPr>
          <w:trHeight w:val="285" w:hRule="atLeast"/>
        </w:trPr>
        <w:tc>
          <w:tcPr>
            <w:tcW w:w="5000" w:type="pct"/>
            <w:gridSpan w:val="5"/>
            <w:tcBorders>
              <w:top w:val="single" w:color="auto" w:sz="4" w:space="0"/>
              <w:left w:val="single" w:color="auto" w:sz="4" w:space="0"/>
              <w:bottom w:val="single" w:color="auto" w:sz="4" w:space="0"/>
              <w:right w:val="single" w:color="000000"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总量指标（单位为公顷）</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耕地保有量</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1079.97</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960.39</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1075.83</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约束性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基本农田保护面积</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1059.67</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1059.67</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1025</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约束性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园地面积</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30.7</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30.57</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林地面积</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880.21</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880.18</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建设用地总规模</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123.58</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44.75</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127.88</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城乡建设用地规模</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118.62</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39.79</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120.1</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约束性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城镇工矿用地规模</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2.25</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3.34</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2.25</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预期性</w:t>
            </w:r>
          </w:p>
        </w:tc>
      </w:tr>
      <w:tr>
        <w:tblPrEx>
          <w:tblCellMar>
            <w:top w:w="0" w:type="dxa"/>
            <w:left w:w="108" w:type="dxa"/>
            <w:bottom w:w="0" w:type="dxa"/>
            <w:right w:w="108" w:type="dxa"/>
          </w:tblCellMar>
        </w:tblPrEx>
        <w:trPr>
          <w:trHeight w:val="285" w:hRule="atLeast"/>
        </w:trPr>
        <w:tc>
          <w:tcPr>
            <w:tcW w:w="5000" w:type="pct"/>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增量指标（单位为公顷）</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新增建设用地规模</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1.06</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4.3</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预期性</w:t>
            </w:r>
          </w:p>
        </w:tc>
      </w:tr>
      <w:tr>
        <w:tblPrEx>
          <w:tblCellMar>
            <w:top w:w="0" w:type="dxa"/>
            <w:left w:w="108" w:type="dxa"/>
            <w:bottom w:w="0" w:type="dxa"/>
            <w:right w:w="108" w:type="dxa"/>
          </w:tblCellMar>
        </w:tblPrEx>
        <w:trPr>
          <w:trHeight w:val="570"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新增建设占用农用地规模</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1.06</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4.3</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预期性</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新增建设占用耕地规模</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0.55</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4.14</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约束性</w:t>
            </w:r>
          </w:p>
        </w:tc>
      </w:tr>
      <w:tr>
        <w:tblPrEx>
          <w:tblCellMar>
            <w:top w:w="0" w:type="dxa"/>
            <w:left w:w="108" w:type="dxa"/>
            <w:bottom w:w="0" w:type="dxa"/>
            <w:right w:w="108" w:type="dxa"/>
          </w:tblCellMar>
        </w:tblPrEx>
        <w:trPr>
          <w:trHeight w:val="570"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土地整治补充耕地义务量</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137.39</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约束性</w:t>
            </w:r>
          </w:p>
        </w:tc>
      </w:tr>
      <w:tr>
        <w:tblPrEx>
          <w:tblCellMar>
            <w:top w:w="0" w:type="dxa"/>
            <w:left w:w="108" w:type="dxa"/>
            <w:bottom w:w="0" w:type="dxa"/>
            <w:right w:w="108" w:type="dxa"/>
          </w:tblCellMar>
        </w:tblPrEx>
        <w:trPr>
          <w:trHeight w:val="285" w:hRule="atLeast"/>
        </w:trPr>
        <w:tc>
          <w:tcPr>
            <w:tcW w:w="5000" w:type="pct"/>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效率指标（单位为平方米）</w:t>
            </w:r>
          </w:p>
        </w:tc>
      </w:tr>
      <w:tr>
        <w:tblPrEx>
          <w:tblCellMar>
            <w:top w:w="0" w:type="dxa"/>
            <w:left w:w="108" w:type="dxa"/>
            <w:bottom w:w="0" w:type="dxa"/>
            <w:right w:w="108" w:type="dxa"/>
          </w:tblCellMar>
        </w:tblPrEx>
        <w:trPr>
          <w:trHeight w:val="285" w:hRule="atLeast"/>
        </w:trPr>
        <w:tc>
          <w:tcPr>
            <w:tcW w:w="1562" w:type="pct"/>
            <w:tcBorders>
              <w:top w:val="nil"/>
              <w:left w:val="single" w:color="auto" w:sz="4" w:space="0"/>
              <w:bottom w:val="single" w:color="auto" w:sz="4" w:space="0"/>
              <w:right w:val="single" w:color="auto" w:sz="4" w:space="0"/>
            </w:tcBorders>
            <w:shd w:val="clear" w:color="auto" w:fill="auto"/>
          </w:tcPr>
          <w:p>
            <w:pPr>
              <w:widowControl/>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人均城镇工矿用地</w:t>
            </w:r>
          </w:p>
        </w:tc>
        <w:tc>
          <w:tcPr>
            <w:tcW w:w="76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73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w:t>
            </w:r>
          </w:p>
        </w:tc>
        <w:tc>
          <w:tcPr>
            <w:tcW w:w="992"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w:t>
            </w:r>
          </w:p>
        </w:tc>
        <w:tc>
          <w:tcPr>
            <w:tcW w:w="940"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约束性</w:t>
            </w:r>
          </w:p>
        </w:tc>
      </w:tr>
    </w:tbl>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32" w:name="_Toc407294590"/>
      <w:bookmarkStart w:id="133" w:name="_Toc475303984"/>
      <w:bookmarkStart w:id="134" w:name="_Toc485386652"/>
      <w:bookmarkStart w:id="135" w:name="_Toc486428881"/>
      <w:r>
        <w:rPr>
          <w:rFonts w:ascii="Times New Roman" w:hAnsi="Times New Roman" w:cs="Times New Roman"/>
          <w:bCs w:val="0"/>
          <w:color w:val="000000"/>
          <w:sz w:val="28"/>
          <w:szCs w:val="28"/>
        </w:rPr>
        <w:t>附表二  新云乡土地利用结构调整表</w:t>
      </w:r>
      <w:bookmarkEnd w:id="132"/>
      <w:bookmarkEnd w:id="133"/>
      <w:bookmarkEnd w:id="134"/>
      <w:bookmarkEnd w:id="135"/>
    </w:p>
    <w:p>
      <w:pPr>
        <w:ind w:firstLine="425"/>
        <w:jc w:val="right"/>
        <w:rPr>
          <w:rFonts w:ascii="Times New Roman" w:hAnsi="Times New Roman" w:eastAsia="仿宋_GB2312"/>
          <w:color w:val="000000"/>
          <w:sz w:val="24"/>
          <w:szCs w:val="24"/>
        </w:rPr>
      </w:pPr>
      <w:r>
        <w:rPr>
          <w:rFonts w:ascii="Times New Roman" w:hAnsi="Times New Roman" w:eastAsia="仿宋_GB2312"/>
          <w:color w:val="000000"/>
          <w:sz w:val="24"/>
          <w:szCs w:val="24"/>
        </w:rPr>
        <w:t>单位：公顷</w:t>
      </w:r>
    </w:p>
    <w:tbl>
      <w:tblPr>
        <w:tblStyle w:val="13"/>
        <w:tblW w:w="5000" w:type="pct"/>
        <w:tblInd w:w="0" w:type="dxa"/>
        <w:tblLayout w:type="autofit"/>
        <w:tblCellMar>
          <w:top w:w="0" w:type="dxa"/>
          <w:left w:w="108" w:type="dxa"/>
          <w:bottom w:w="0" w:type="dxa"/>
          <w:right w:w="108" w:type="dxa"/>
        </w:tblCellMar>
      </w:tblPr>
      <w:tblGrid>
        <w:gridCol w:w="1266"/>
        <w:gridCol w:w="1896"/>
        <w:gridCol w:w="1060"/>
        <w:gridCol w:w="879"/>
        <w:gridCol w:w="1481"/>
        <w:gridCol w:w="970"/>
        <w:gridCol w:w="970"/>
      </w:tblGrid>
      <w:tr>
        <w:tblPrEx>
          <w:tblCellMar>
            <w:top w:w="0" w:type="dxa"/>
            <w:left w:w="108" w:type="dxa"/>
            <w:bottom w:w="0" w:type="dxa"/>
            <w:right w:w="108" w:type="dxa"/>
          </w:tblCellMar>
        </w:tblPrEx>
        <w:trPr>
          <w:trHeight w:val="270" w:hRule="atLeast"/>
        </w:trPr>
        <w:tc>
          <w:tcPr>
            <w:tcW w:w="1855" w:type="pct"/>
            <w:gridSpan w:val="2"/>
            <w:tcBorders>
              <w:top w:val="single" w:color="auto" w:sz="4" w:space="0"/>
              <w:left w:val="single" w:color="auto" w:sz="4" w:space="0"/>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规划地类</w:t>
            </w:r>
          </w:p>
        </w:tc>
        <w:tc>
          <w:tcPr>
            <w:tcW w:w="622" w:type="pct"/>
            <w:tcBorders>
              <w:top w:val="single" w:color="auto" w:sz="4" w:space="0"/>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基期地类</w:t>
            </w:r>
          </w:p>
        </w:tc>
        <w:tc>
          <w:tcPr>
            <w:tcW w:w="516" w:type="pct"/>
            <w:tcBorders>
              <w:top w:val="single" w:color="auto" w:sz="4" w:space="0"/>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比重</w:t>
            </w:r>
          </w:p>
        </w:tc>
        <w:tc>
          <w:tcPr>
            <w:tcW w:w="869" w:type="pct"/>
            <w:tcBorders>
              <w:top w:val="single" w:color="auto" w:sz="4" w:space="0"/>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规划期末地类</w:t>
            </w:r>
          </w:p>
        </w:tc>
        <w:tc>
          <w:tcPr>
            <w:tcW w:w="569" w:type="pct"/>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比重</w:t>
            </w:r>
          </w:p>
        </w:tc>
        <w:tc>
          <w:tcPr>
            <w:tcW w:w="569" w:type="pct"/>
            <w:tcBorders>
              <w:top w:val="single" w:color="auto" w:sz="4" w:space="0"/>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增减量</w:t>
            </w:r>
          </w:p>
        </w:tc>
      </w:tr>
      <w:tr>
        <w:tblPrEx>
          <w:tblCellMar>
            <w:top w:w="0" w:type="dxa"/>
            <w:left w:w="108" w:type="dxa"/>
            <w:bottom w:w="0" w:type="dxa"/>
            <w:right w:w="108" w:type="dxa"/>
          </w:tblCellMar>
        </w:tblPrEx>
        <w:trPr>
          <w:trHeight w:val="270" w:hRule="atLeast"/>
        </w:trPr>
        <w:tc>
          <w:tcPr>
            <w:tcW w:w="743" w:type="pct"/>
            <w:vMerge w:val="restar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农用地</w:t>
            </w: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耕地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1079.97</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49.95%</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1075.83</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49.85%</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-4.14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园地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30.7</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1.42%</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30.57</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1.42%</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-0.13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林地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880.21</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40.71%</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880.18</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40.79%</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-0.03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牧草地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其他农用地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171.41</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7.93%</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171.41</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7.94%</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农用地合计</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2162.29</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93.76%</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2157.99</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93.57%</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-4.30 </w:t>
            </w:r>
          </w:p>
        </w:tc>
      </w:tr>
      <w:tr>
        <w:tblPrEx>
          <w:tblCellMar>
            <w:top w:w="0" w:type="dxa"/>
            <w:left w:w="108" w:type="dxa"/>
            <w:bottom w:w="0" w:type="dxa"/>
            <w:right w:w="108" w:type="dxa"/>
          </w:tblCellMar>
        </w:tblPrEx>
        <w:trPr>
          <w:trHeight w:val="270" w:hRule="atLeast"/>
        </w:trPr>
        <w:tc>
          <w:tcPr>
            <w:tcW w:w="743" w:type="pct"/>
            <w:vMerge w:val="restar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建设用地</w:t>
            </w: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城镇建设用地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农村居民点用地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116.37</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94.17%</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117.85</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92.16%</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1.48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采矿用地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2.25</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1.82%</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2.25</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1.76%</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其他独立建设用地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交通水利用地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4.74</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3.84%</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7.56</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5.91%</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2.82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风景名胜设施用地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特殊用地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0.22</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0.18%</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0.22</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0.17%</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建设用地合计</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123.58</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5.36%</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127.88</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5.54%</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4.30 </w:t>
            </w:r>
          </w:p>
        </w:tc>
      </w:tr>
      <w:tr>
        <w:tblPrEx>
          <w:tblCellMar>
            <w:top w:w="0" w:type="dxa"/>
            <w:left w:w="108" w:type="dxa"/>
            <w:bottom w:w="0" w:type="dxa"/>
            <w:right w:w="108" w:type="dxa"/>
          </w:tblCellMar>
        </w:tblPrEx>
        <w:trPr>
          <w:trHeight w:val="270" w:hRule="atLeast"/>
        </w:trPr>
        <w:tc>
          <w:tcPr>
            <w:tcW w:w="743" w:type="pct"/>
            <w:vMerge w:val="restar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其他土地</w:t>
            </w: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河流水面</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19.85</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97.5%</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19.85</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97.5%</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滩涂</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自然保留地</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0.51</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2.5%</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0.51</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2.5%</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74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1112"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其他土地合计</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20.36</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0.88%</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20.36</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0.88%</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r>
        <w:tblPrEx>
          <w:tblCellMar>
            <w:top w:w="0" w:type="dxa"/>
            <w:left w:w="108" w:type="dxa"/>
            <w:bottom w:w="0" w:type="dxa"/>
            <w:right w:w="108" w:type="dxa"/>
          </w:tblCellMar>
        </w:tblPrEx>
        <w:trPr>
          <w:trHeight w:val="270" w:hRule="atLeast"/>
        </w:trPr>
        <w:tc>
          <w:tcPr>
            <w:tcW w:w="1855" w:type="pct"/>
            <w:gridSpan w:val="2"/>
            <w:tcBorders>
              <w:top w:val="nil"/>
              <w:left w:val="single" w:color="auto" w:sz="4" w:space="0"/>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土地总面积　</w:t>
            </w:r>
          </w:p>
        </w:tc>
        <w:tc>
          <w:tcPr>
            <w:tcW w:w="622" w:type="pct"/>
            <w:tcBorders>
              <w:top w:val="nil"/>
              <w:left w:val="nil"/>
              <w:bottom w:val="single" w:color="auto" w:sz="4" w:space="0"/>
              <w:right w:val="single" w:color="auto" w:sz="4" w:space="0"/>
            </w:tcBorders>
            <w:shd w:val="clear" w:color="000000" w:fill="FFFFFF"/>
            <w:noWrap/>
            <w:vAlign w:val="bottom"/>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2306.23</w:t>
            </w:r>
          </w:p>
        </w:tc>
        <w:tc>
          <w:tcPr>
            <w:tcW w:w="516"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8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2306.23</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100%</w:t>
            </w:r>
          </w:p>
        </w:tc>
        <w:tc>
          <w:tcPr>
            <w:tcW w:w="569" w:type="pct"/>
            <w:tcBorders>
              <w:top w:val="nil"/>
              <w:left w:val="nil"/>
              <w:bottom w:val="single" w:color="auto" w:sz="4" w:space="0"/>
              <w:right w:val="single" w:color="auto" w:sz="4" w:space="0"/>
            </w:tcBorders>
            <w:shd w:val="clear" w:color="000000" w:fill="FFFFFF"/>
            <w:noWrap/>
            <w:vAlign w:val="bottom"/>
          </w:tcPr>
          <w:p>
            <w:pPr>
              <w:widowControl/>
              <w:jc w:val="right"/>
              <w:rPr>
                <w:rFonts w:ascii="Times New Roman" w:hAnsi="Times New Roman" w:eastAsia="仿宋_GB2312"/>
                <w:color w:val="000000"/>
                <w:kern w:val="0"/>
                <w:szCs w:val="21"/>
              </w:rPr>
            </w:pPr>
            <w:r>
              <w:rPr>
                <w:rFonts w:ascii="Times New Roman" w:hAnsi="Times New Roman" w:eastAsia="仿宋_GB2312"/>
                <w:color w:val="000000"/>
                <w:kern w:val="0"/>
                <w:szCs w:val="21"/>
              </w:rPr>
              <w:t xml:space="preserve">0.00 </w:t>
            </w:r>
          </w:p>
        </w:tc>
      </w:tr>
    </w:tbl>
    <w:p>
      <w:pPr>
        <w:rPr>
          <w:rFonts w:ascii="Times New Roman" w:hAnsi="Times New Roman" w:eastAsia="仿宋_GB2312"/>
          <w:sz w:val="28"/>
          <w:szCs w:val="28"/>
        </w:rPr>
      </w:pPr>
    </w:p>
    <w:p>
      <w:pPr>
        <w:widowControl/>
        <w:jc w:val="left"/>
        <w:rPr>
          <w:rFonts w:ascii="Times New Roman" w:hAnsi="Times New Roman" w:eastAsia="仿宋_GB2312"/>
          <w:sz w:val="28"/>
          <w:szCs w:val="28"/>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sz w:val="28"/>
          <w:szCs w:val="28"/>
        </w:rPr>
        <w:br w:type="page"/>
      </w:r>
    </w:p>
    <w:p>
      <w:pPr>
        <w:pStyle w:val="3"/>
        <w:spacing w:line="240" w:lineRule="auto"/>
        <w:jc w:val="left"/>
        <w:rPr>
          <w:rFonts w:ascii="Times New Roman" w:hAnsi="Times New Roman" w:cs="Times New Roman"/>
          <w:bCs w:val="0"/>
          <w:color w:val="000000"/>
          <w:sz w:val="28"/>
          <w:szCs w:val="28"/>
        </w:rPr>
      </w:pPr>
      <w:bookmarkStart w:id="136" w:name="_Toc407294591"/>
      <w:bookmarkStart w:id="137" w:name="_Toc475303985"/>
      <w:bookmarkStart w:id="138" w:name="_Toc485386653"/>
      <w:bookmarkStart w:id="139" w:name="_Toc486428882"/>
      <w:r>
        <w:rPr>
          <w:rFonts w:ascii="Times New Roman" w:hAnsi="Times New Roman" w:cs="Times New Roman"/>
          <w:bCs w:val="0"/>
          <w:color w:val="000000"/>
          <w:sz w:val="28"/>
          <w:szCs w:val="28"/>
        </w:rPr>
        <w:t>附表三  新云乡各乡村土地用途分区面积表</w:t>
      </w:r>
      <w:bookmarkEnd w:id="136"/>
      <w:bookmarkEnd w:id="137"/>
      <w:bookmarkEnd w:id="138"/>
      <w:bookmarkEnd w:id="139"/>
    </w:p>
    <w:p>
      <w:pPr>
        <w:spacing w:line="240" w:lineRule="exact"/>
        <w:ind w:firstLine="425"/>
        <w:jc w:val="right"/>
        <w:rPr>
          <w:rFonts w:ascii="Times New Roman" w:hAnsi="Times New Roman" w:eastAsia="仿宋_GB2312"/>
          <w:color w:val="000000"/>
          <w:sz w:val="24"/>
          <w:szCs w:val="24"/>
        </w:rPr>
      </w:pPr>
      <w:r>
        <w:rPr>
          <w:rFonts w:ascii="Times New Roman" w:hAnsi="Times New Roman" w:eastAsia="仿宋_GB2312"/>
          <w:color w:val="000000"/>
          <w:sz w:val="24"/>
          <w:szCs w:val="24"/>
        </w:rPr>
        <w:t>单位：公顷</w:t>
      </w:r>
    </w:p>
    <w:tbl>
      <w:tblPr>
        <w:tblStyle w:val="13"/>
        <w:tblW w:w="5000" w:type="pct"/>
        <w:tblInd w:w="0" w:type="dxa"/>
        <w:tblLayout w:type="autofit"/>
        <w:tblCellMar>
          <w:top w:w="0" w:type="dxa"/>
          <w:left w:w="0" w:type="dxa"/>
          <w:bottom w:w="0" w:type="dxa"/>
          <w:right w:w="0" w:type="dxa"/>
        </w:tblCellMar>
      </w:tblPr>
      <w:tblGrid>
        <w:gridCol w:w="875"/>
        <w:gridCol w:w="875"/>
        <w:gridCol w:w="875"/>
        <w:gridCol w:w="875"/>
        <w:gridCol w:w="875"/>
        <w:gridCol w:w="876"/>
        <w:gridCol w:w="876"/>
        <w:gridCol w:w="876"/>
        <w:gridCol w:w="876"/>
        <w:gridCol w:w="876"/>
        <w:gridCol w:w="876"/>
        <w:gridCol w:w="876"/>
        <w:gridCol w:w="876"/>
        <w:gridCol w:w="876"/>
        <w:gridCol w:w="876"/>
        <w:gridCol w:w="853"/>
      </w:tblGrid>
      <w:tr>
        <w:tblPrEx>
          <w:tblCellMar>
            <w:top w:w="0" w:type="dxa"/>
            <w:left w:w="0" w:type="dxa"/>
            <w:bottom w:w="0" w:type="dxa"/>
            <w:right w:w="0" w:type="dxa"/>
          </w:tblCellMar>
        </w:tblPrEx>
        <w:trPr>
          <w:trHeight w:val="270" w:hRule="atLeast"/>
        </w:trPr>
        <w:tc>
          <w:tcPr>
            <w:tcW w:w="313"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单位</w:t>
            </w:r>
          </w:p>
        </w:tc>
        <w:tc>
          <w:tcPr>
            <w:tcW w:w="313"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辖区面积</w:t>
            </w:r>
          </w:p>
        </w:tc>
        <w:tc>
          <w:tcPr>
            <w:tcW w:w="4374" w:type="pct"/>
            <w:gridSpan w:val="14"/>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土地用途区</w:t>
            </w:r>
          </w:p>
        </w:tc>
      </w:tr>
      <w:tr>
        <w:tblPrEx>
          <w:tblCellMar>
            <w:top w:w="0" w:type="dxa"/>
            <w:left w:w="0" w:type="dxa"/>
            <w:bottom w:w="0" w:type="dxa"/>
            <w:right w:w="0" w:type="dxa"/>
          </w:tblCellMar>
        </w:tblPrEx>
        <w:trPr>
          <w:trHeight w:val="312" w:hRule="atLeast"/>
        </w:trPr>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基本农田保护区</w:t>
            </w:r>
          </w:p>
        </w:tc>
        <w:tc>
          <w:tcPr>
            <w:tcW w:w="626"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一般农地区</w:t>
            </w:r>
          </w:p>
        </w:tc>
        <w:tc>
          <w:tcPr>
            <w:tcW w:w="626"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城镇建设用地区</w:t>
            </w:r>
          </w:p>
        </w:tc>
        <w:tc>
          <w:tcPr>
            <w:tcW w:w="626" w:type="pct"/>
            <w:gridSpan w:val="2"/>
            <w:vMerge w:val="restart"/>
            <w:tcBorders>
              <w:top w:val="single" w:color="auto" w:sz="4" w:space="0"/>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村镇建设用地区</w:t>
            </w:r>
          </w:p>
        </w:tc>
        <w:tc>
          <w:tcPr>
            <w:tcW w:w="626"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独立工矿用地区</w:t>
            </w:r>
          </w:p>
        </w:tc>
        <w:tc>
          <w:tcPr>
            <w:tcW w:w="626"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林业用地区</w:t>
            </w:r>
          </w:p>
        </w:tc>
        <w:tc>
          <w:tcPr>
            <w:tcW w:w="618"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其他用地</w:t>
            </w:r>
          </w:p>
        </w:tc>
      </w:tr>
      <w:tr>
        <w:tblPrEx>
          <w:tblCellMar>
            <w:top w:w="0" w:type="dxa"/>
            <w:left w:w="0" w:type="dxa"/>
            <w:bottom w:w="0" w:type="dxa"/>
            <w:right w:w="0" w:type="dxa"/>
          </w:tblCellMar>
        </w:tblPrEx>
        <w:trPr>
          <w:trHeight w:val="312" w:hRule="atLeast"/>
        </w:trPr>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000000" w:sz="4" w:space="0"/>
              <w:right w:val="single" w:color="000000"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18"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r>
      <w:tr>
        <w:tblPrEx>
          <w:tblCellMar>
            <w:top w:w="0" w:type="dxa"/>
            <w:left w:w="0" w:type="dxa"/>
            <w:bottom w:w="0" w:type="dxa"/>
            <w:right w:w="0" w:type="dxa"/>
          </w:tblCellMar>
        </w:tblPrEx>
        <w:trPr>
          <w:trHeight w:val="312" w:hRule="atLeast"/>
        </w:trPr>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000000" w:sz="4" w:space="0"/>
              <w:right w:val="single" w:color="000000"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2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618"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r>
      <w:tr>
        <w:tblPrEx>
          <w:tblCellMar>
            <w:top w:w="0" w:type="dxa"/>
            <w:left w:w="0" w:type="dxa"/>
            <w:bottom w:w="0" w:type="dxa"/>
            <w:right w:w="0" w:type="dxa"/>
          </w:tblCellMar>
        </w:tblPrEx>
        <w:trPr>
          <w:trHeight w:val="270" w:hRule="atLeast"/>
        </w:trPr>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31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Cs w:val="21"/>
              </w:rPr>
            </w:p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面积</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代河村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246.01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122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5.64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2.29%</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10.65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4.33%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1.38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0.56%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102.47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41.65%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14.52</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5.9%</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灯杆村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184.64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104.65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0.57%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7.14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3.87%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11.13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6.03%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57.84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31.33%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15.01</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8.13%</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华联村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200.51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73.66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0.37%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7.17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3.58%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6.97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3.48%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111.34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55.53%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8.34</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4.16%</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加阳村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265.67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115.28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0.43%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18.82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7.08%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12.8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4.82%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116.27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43.76%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15.3</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5.76%</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农乐村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224.97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106.05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0.47%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12.99</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5.77%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9.64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4.29%</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93.87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41.73%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12.06</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5.36%</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上游村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194.43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109.45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0.56%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9.86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5.07%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9.41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4.84%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65.37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33.62%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9.75</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5.01%</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新云村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255.62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105.48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0.41%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34.42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13.47%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20.7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8.1%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0.86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0.34%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92.48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36.18%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22.38</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8.76%</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燕山村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291.16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189.12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0.65%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11.35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3.9%</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16.36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5.62%</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71.76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24.65%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18.93</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6.5%</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真武村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223.13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103.91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0.47%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9.89</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4.43%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10.74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4.81%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96.01</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43.03%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13.32</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5.97%</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中华村</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220.09</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110.73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13.36</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6.07%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　</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10.34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85.07</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38.65%</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10.93</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4.97%</w:t>
            </w:r>
          </w:p>
        </w:tc>
      </w:tr>
      <w:tr>
        <w:tblPrEx>
          <w:tblCellMar>
            <w:top w:w="0" w:type="dxa"/>
            <w:left w:w="0" w:type="dxa"/>
            <w:bottom w:w="0" w:type="dxa"/>
            <w:right w:w="0" w:type="dxa"/>
          </w:tblCellMar>
        </w:tblPrEx>
        <w:trPr>
          <w:trHeight w:val="270" w:hRule="atLeast"/>
        </w:trPr>
        <w:tc>
          <w:tcPr>
            <w:tcW w:w="313" w:type="pc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合计</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rFonts w:ascii="Times New Roman" w:hAnsi="Times New Roman" w:eastAsia="仿宋_GB2312"/>
                <w:color w:val="000000"/>
                <w:szCs w:val="21"/>
              </w:rPr>
            </w:pPr>
            <w:r>
              <w:rPr>
                <w:rFonts w:ascii="Times New Roman" w:hAnsi="Times New Roman" w:eastAsia="仿宋_GB2312"/>
                <w:color w:val="000000"/>
                <w:szCs w:val="21"/>
              </w:rPr>
              <w:t>2306.23</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rFonts w:ascii="Times New Roman" w:hAnsi="Times New Roman" w:eastAsia="仿宋_GB2312"/>
                <w:color w:val="000000"/>
                <w:szCs w:val="21"/>
              </w:rPr>
            </w:pPr>
            <w:r>
              <w:rPr>
                <w:rFonts w:ascii="Times New Roman" w:hAnsi="Times New Roman" w:eastAsia="仿宋_GB2312"/>
                <w:color w:val="000000"/>
                <w:szCs w:val="21"/>
              </w:rPr>
              <w:t>1140.33</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49.45%</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rFonts w:ascii="Times New Roman" w:hAnsi="Times New Roman" w:eastAsia="仿宋_GB2312"/>
                <w:color w:val="000000"/>
                <w:szCs w:val="21"/>
              </w:rPr>
            </w:pPr>
            <w:r>
              <w:rPr>
                <w:rFonts w:ascii="Times New Roman" w:hAnsi="Times New Roman" w:eastAsia="仿宋_GB2312"/>
                <w:color w:val="000000"/>
                <w:szCs w:val="21"/>
              </w:rPr>
              <w:t>130.64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5.66%</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仿宋_GB2312"/>
                <w:color w:val="000000"/>
                <w:szCs w:val="21"/>
              </w:rPr>
            </w:pPr>
            <w:r>
              <w:rPr>
                <w:rFonts w:ascii="Times New Roman" w:hAnsi="Times New Roman" w:eastAsia="仿宋_GB2312"/>
                <w:color w:val="000000"/>
                <w:szCs w:val="21"/>
              </w:rPr>
              <w:t>0%</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tcPr>
          <w:p>
            <w:r>
              <w:t>118.74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5.15%</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tcPr>
          <w:p>
            <w:r>
              <w:t>2.24</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0.1%</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tcPr>
          <w:p>
            <w:r>
              <w:t>892.48</w:t>
            </w:r>
          </w:p>
        </w:tc>
        <w:tc>
          <w:tcPr>
            <w:tcW w:w="313"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38.7%</w:t>
            </w:r>
          </w:p>
        </w:tc>
        <w:tc>
          <w:tcPr>
            <w:tcW w:w="31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tcPr>
          <w:p>
            <w:r>
              <w:t>140.54</w:t>
            </w:r>
          </w:p>
        </w:tc>
        <w:tc>
          <w:tcPr>
            <w:tcW w:w="305" w:type="pct"/>
            <w:tcBorders>
              <w:top w:val="nil"/>
              <w:left w:val="nil"/>
              <w:bottom w:val="single" w:color="auto" w:sz="4" w:space="0"/>
              <w:right w:val="single" w:color="auto" w:sz="4" w:space="0"/>
            </w:tcBorders>
            <w:shd w:val="clear" w:color="auto" w:fill="auto"/>
            <w:tcMar>
              <w:top w:w="15" w:type="dxa"/>
              <w:left w:w="15" w:type="dxa"/>
              <w:bottom w:w="0" w:type="dxa"/>
              <w:right w:w="15" w:type="dxa"/>
            </w:tcMar>
          </w:tcPr>
          <w:p>
            <w:r>
              <w:t>6.09%</w:t>
            </w:r>
          </w:p>
        </w:tc>
      </w:tr>
    </w:tbl>
    <w:p>
      <w:pPr>
        <w:widowControl/>
        <w:jc w:val="left"/>
        <w:rPr>
          <w:rFonts w:ascii="Times New Roman" w:hAnsi="Times New Roman" w:eastAsia="仿宋_GB2312"/>
          <w:sz w:val="28"/>
          <w:szCs w:val="28"/>
        </w:rPr>
      </w:pPr>
      <w:r>
        <w:rPr>
          <w:rFonts w:ascii="Times New Roman" w:hAnsi="Times New Roman" w:eastAsia="仿宋_GB2312"/>
          <w:sz w:val="28"/>
          <w:szCs w:val="28"/>
        </w:rPr>
        <w:t xml:space="preserve"> </w:t>
      </w: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40" w:name="_Toc486428883"/>
      <w:r>
        <w:rPr>
          <w:rFonts w:ascii="Times New Roman" w:hAnsi="Times New Roman" w:cs="Times New Roman"/>
          <w:bCs w:val="0"/>
          <w:color w:val="000000"/>
          <w:sz w:val="28"/>
          <w:szCs w:val="28"/>
        </w:rPr>
        <w:t>附表四   新云乡耕地保有量、基本农田情况表</w:t>
      </w:r>
      <w:bookmarkEnd w:id="140"/>
    </w:p>
    <w:p>
      <w:pPr>
        <w:jc w:val="right"/>
        <w:rPr>
          <w:rFonts w:ascii="Times New Roman" w:hAnsi="Times New Roman" w:eastAsia="仿宋_GB2312"/>
        </w:rPr>
      </w:pPr>
      <w:r>
        <w:rPr>
          <w:rFonts w:ascii="Times New Roman" w:hAnsi="Times New Roman" w:eastAsia="仿宋_GB2312"/>
        </w:rPr>
        <w:t>单位：公顷</w:t>
      </w:r>
    </w:p>
    <w:tbl>
      <w:tblPr>
        <w:tblStyle w:val="13"/>
        <w:tblW w:w="5079" w:type="pct"/>
        <w:tblInd w:w="0" w:type="dxa"/>
        <w:tblLayout w:type="autofit"/>
        <w:tblCellMar>
          <w:top w:w="0" w:type="dxa"/>
          <w:left w:w="108" w:type="dxa"/>
          <w:bottom w:w="0" w:type="dxa"/>
          <w:right w:w="108" w:type="dxa"/>
        </w:tblCellMar>
      </w:tblPr>
      <w:tblGrid>
        <w:gridCol w:w="1236"/>
        <w:gridCol w:w="1011"/>
        <w:gridCol w:w="1011"/>
        <w:gridCol w:w="1011"/>
        <w:gridCol w:w="1011"/>
        <w:gridCol w:w="1011"/>
        <w:gridCol w:w="1020"/>
        <w:gridCol w:w="1011"/>
        <w:gridCol w:w="1011"/>
        <w:gridCol w:w="1011"/>
        <w:gridCol w:w="1020"/>
        <w:gridCol w:w="1011"/>
        <w:gridCol w:w="1011"/>
        <w:gridCol w:w="1012"/>
      </w:tblGrid>
      <w:tr>
        <w:tblPrEx>
          <w:tblCellMar>
            <w:top w:w="0" w:type="dxa"/>
            <w:left w:w="108" w:type="dxa"/>
            <w:bottom w:w="0" w:type="dxa"/>
            <w:right w:w="108" w:type="dxa"/>
          </w:tblCellMar>
        </w:tblPrEx>
        <w:trPr>
          <w:trHeight w:val="450" w:hRule="atLeast"/>
        </w:trPr>
        <w:tc>
          <w:tcPr>
            <w:tcW w:w="42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　</w:t>
            </w:r>
          </w:p>
        </w:tc>
        <w:tc>
          <w:tcPr>
            <w:tcW w:w="35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基期耕地面积</w:t>
            </w:r>
          </w:p>
        </w:tc>
        <w:tc>
          <w:tcPr>
            <w:tcW w:w="1758" w:type="pct"/>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规划期间补充耕地面积</w:t>
            </w:r>
          </w:p>
        </w:tc>
        <w:tc>
          <w:tcPr>
            <w:tcW w:w="1407" w:type="pct"/>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规划期间减少耕地面积</w:t>
            </w:r>
          </w:p>
        </w:tc>
        <w:tc>
          <w:tcPr>
            <w:tcW w:w="35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规划期间净增（+）减（-）</w:t>
            </w:r>
          </w:p>
        </w:tc>
        <w:tc>
          <w:tcPr>
            <w:tcW w:w="35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期末耕地保有量</w:t>
            </w:r>
          </w:p>
        </w:tc>
        <w:tc>
          <w:tcPr>
            <w:tcW w:w="35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基本农田保护面积</w:t>
            </w:r>
          </w:p>
        </w:tc>
      </w:tr>
      <w:tr>
        <w:tblPrEx>
          <w:tblCellMar>
            <w:top w:w="0" w:type="dxa"/>
            <w:left w:w="108" w:type="dxa"/>
            <w:bottom w:w="0" w:type="dxa"/>
            <w:right w:w="108" w:type="dxa"/>
          </w:tblCellMar>
        </w:tblPrEx>
        <w:trPr>
          <w:trHeight w:val="312" w:hRule="atLeast"/>
        </w:trPr>
        <w:tc>
          <w:tcPr>
            <w:tcW w:w="42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1758" w:type="pct"/>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1407" w:type="pct"/>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r>
      <w:tr>
        <w:tblPrEx>
          <w:tblCellMar>
            <w:top w:w="0" w:type="dxa"/>
            <w:left w:w="108" w:type="dxa"/>
            <w:bottom w:w="0" w:type="dxa"/>
            <w:right w:w="108" w:type="dxa"/>
          </w:tblCellMar>
        </w:tblPrEx>
        <w:trPr>
          <w:trHeight w:val="312" w:hRule="atLeast"/>
        </w:trPr>
        <w:tc>
          <w:tcPr>
            <w:tcW w:w="42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增加合计</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土地整理</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土地复垦</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土地开发</w:t>
            </w:r>
          </w:p>
        </w:tc>
        <w:tc>
          <w:tcPr>
            <w:tcW w:w="352"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其他</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减少合计</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建设占用</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灾毁</w:t>
            </w:r>
          </w:p>
        </w:tc>
        <w:tc>
          <w:tcPr>
            <w:tcW w:w="352"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其他</w:t>
            </w: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r>
      <w:tr>
        <w:tblPrEx>
          <w:tblCellMar>
            <w:top w:w="0" w:type="dxa"/>
            <w:left w:w="108" w:type="dxa"/>
            <w:bottom w:w="0" w:type="dxa"/>
            <w:right w:w="108" w:type="dxa"/>
          </w:tblCellMar>
        </w:tblPrEx>
        <w:trPr>
          <w:trHeight w:val="312" w:hRule="atLeast"/>
        </w:trPr>
        <w:tc>
          <w:tcPr>
            <w:tcW w:w="42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2"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2"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r>
      <w:tr>
        <w:tblPrEx>
          <w:tblCellMar>
            <w:top w:w="0" w:type="dxa"/>
            <w:left w:w="108" w:type="dxa"/>
            <w:bottom w:w="0" w:type="dxa"/>
            <w:right w:w="108" w:type="dxa"/>
          </w:tblCellMar>
        </w:tblPrEx>
        <w:trPr>
          <w:trHeight w:val="435" w:hRule="atLeast"/>
        </w:trPr>
        <w:tc>
          <w:tcPr>
            <w:tcW w:w="429"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规划期</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1079.97</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2"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4.14</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4.14</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2"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-4.14</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1075.83</w:t>
            </w:r>
          </w:p>
        </w:tc>
        <w:tc>
          <w:tcPr>
            <w:tcW w:w="351" w:type="pct"/>
            <w:tcBorders>
              <w:top w:val="nil"/>
              <w:left w:val="nil"/>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1025</w:t>
            </w:r>
          </w:p>
        </w:tc>
      </w:tr>
      <w:tr>
        <w:tblPrEx>
          <w:tblCellMar>
            <w:top w:w="0" w:type="dxa"/>
            <w:left w:w="108" w:type="dxa"/>
            <w:bottom w:w="0" w:type="dxa"/>
            <w:right w:w="108" w:type="dxa"/>
          </w:tblCellMar>
        </w:tblPrEx>
        <w:trPr>
          <w:trHeight w:val="312" w:hRule="atLeast"/>
        </w:trPr>
        <w:tc>
          <w:tcPr>
            <w:tcW w:w="429"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年均增减</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2"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0.828</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0.828</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2"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 xml:space="preserve">                </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w:t>
            </w:r>
          </w:p>
        </w:tc>
        <w:tc>
          <w:tcPr>
            <w:tcW w:w="35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w:t>
            </w:r>
          </w:p>
        </w:tc>
      </w:tr>
      <w:tr>
        <w:tblPrEx>
          <w:tblCellMar>
            <w:top w:w="0" w:type="dxa"/>
            <w:left w:w="108" w:type="dxa"/>
            <w:bottom w:w="0" w:type="dxa"/>
            <w:right w:w="108" w:type="dxa"/>
          </w:tblCellMar>
        </w:tblPrEx>
        <w:trPr>
          <w:trHeight w:val="312" w:hRule="atLeast"/>
        </w:trPr>
        <w:tc>
          <w:tcPr>
            <w:tcW w:w="429"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2"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2"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c>
          <w:tcPr>
            <w:tcW w:w="35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Cs w:val="21"/>
              </w:rPr>
            </w:pPr>
          </w:p>
        </w:tc>
      </w:tr>
    </w:tbl>
    <w:p>
      <w:pPr>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Cs w:val="30"/>
        </w:rPr>
      </w:pPr>
      <w:bookmarkStart w:id="141" w:name="_Toc407294593"/>
      <w:bookmarkStart w:id="142" w:name="_Toc475303987"/>
      <w:bookmarkStart w:id="143" w:name="_Toc485386655"/>
      <w:bookmarkStart w:id="144" w:name="_Toc486428884"/>
      <w:r>
        <w:rPr>
          <w:rFonts w:ascii="Times New Roman" w:hAnsi="Times New Roman" w:cs="Times New Roman"/>
          <w:bCs w:val="0"/>
          <w:color w:val="000000"/>
          <w:sz w:val="28"/>
          <w:szCs w:val="28"/>
        </w:rPr>
        <w:t>附表五  新云乡省、市、县重点建设项目规划表</w:t>
      </w:r>
      <w:bookmarkEnd w:id="141"/>
      <w:bookmarkEnd w:id="142"/>
      <w:bookmarkEnd w:id="143"/>
      <w:bookmarkEnd w:id="144"/>
    </w:p>
    <w:tbl>
      <w:tblPr>
        <w:tblStyle w:val="13"/>
        <w:tblW w:w="5000" w:type="pct"/>
        <w:tblInd w:w="0" w:type="dxa"/>
        <w:tblLayout w:type="autofit"/>
        <w:tblCellMar>
          <w:top w:w="0" w:type="dxa"/>
          <w:left w:w="108" w:type="dxa"/>
          <w:bottom w:w="0" w:type="dxa"/>
          <w:right w:w="108" w:type="dxa"/>
        </w:tblCellMar>
      </w:tblPr>
      <w:tblGrid>
        <w:gridCol w:w="1681"/>
        <w:gridCol w:w="1681"/>
        <w:gridCol w:w="1687"/>
        <w:gridCol w:w="1681"/>
        <w:gridCol w:w="1681"/>
        <w:gridCol w:w="1684"/>
        <w:gridCol w:w="1681"/>
        <w:gridCol w:w="2398"/>
      </w:tblGrid>
      <w:tr>
        <w:tblPrEx>
          <w:tblCellMar>
            <w:top w:w="0" w:type="dxa"/>
            <w:left w:w="108" w:type="dxa"/>
            <w:bottom w:w="0" w:type="dxa"/>
            <w:right w:w="108" w:type="dxa"/>
          </w:tblCellMar>
        </w:tblPrEx>
        <w:trPr>
          <w:trHeight w:val="270" w:hRule="atLeast"/>
          <w:tblHeader/>
        </w:trPr>
        <w:tc>
          <w:tcPr>
            <w:tcW w:w="59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sz w:val="28"/>
                <w:szCs w:val="28"/>
              </w:rPr>
              <w:br w:type="page"/>
            </w:r>
            <w:r>
              <w:rPr>
                <w:rFonts w:ascii="Times New Roman" w:hAnsi="Times New Roman" w:eastAsia="仿宋_GB2312"/>
                <w:b/>
                <w:bCs/>
                <w:color w:val="000000"/>
                <w:kern w:val="0"/>
                <w:szCs w:val="21"/>
              </w:rPr>
              <w:t>项目类型</w:t>
            </w:r>
          </w:p>
        </w:tc>
        <w:tc>
          <w:tcPr>
            <w:tcW w:w="59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项目名称</w:t>
            </w:r>
          </w:p>
        </w:tc>
        <w:tc>
          <w:tcPr>
            <w:tcW w:w="59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建设性质</w:t>
            </w:r>
          </w:p>
        </w:tc>
        <w:tc>
          <w:tcPr>
            <w:tcW w:w="59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建设年限</w:t>
            </w:r>
          </w:p>
        </w:tc>
        <w:tc>
          <w:tcPr>
            <w:tcW w:w="1187"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项目用地规模</w:t>
            </w:r>
          </w:p>
        </w:tc>
        <w:tc>
          <w:tcPr>
            <w:tcW w:w="59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涉及乡（镇）</w:t>
            </w:r>
          </w:p>
        </w:tc>
        <w:tc>
          <w:tcPr>
            <w:tcW w:w="84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备注</w:t>
            </w:r>
          </w:p>
        </w:tc>
      </w:tr>
      <w:tr>
        <w:tblPrEx>
          <w:tblCellMar>
            <w:top w:w="0" w:type="dxa"/>
            <w:left w:w="108" w:type="dxa"/>
            <w:bottom w:w="0" w:type="dxa"/>
            <w:right w:w="108" w:type="dxa"/>
          </w:tblCellMar>
        </w:tblPrEx>
        <w:trPr>
          <w:trHeight w:val="312" w:hRule="atLeast"/>
          <w:tblHeader/>
        </w:trPr>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其中新增建设用地</w:t>
            </w:r>
          </w:p>
        </w:tc>
        <w:tc>
          <w:tcPr>
            <w:tcW w:w="594"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其中占耕地</w:t>
            </w:r>
          </w:p>
        </w:tc>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84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r>
      <w:tr>
        <w:tblPrEx>
          <w:tblCellMar>
            <w:top w:w="0" w:type="dxa"/>
            <w:left w:w="108" w:type="dxa"/>
            <w:bottom w:w="0" w:type="dxa"/>
            <w:right w:w="108" w:type="dxa"/>
          </w:tblCellMar>
        </w:tblPrEx>
        <w:trPr>
          <w:trHeight w:val="312" w:hRule="atLeast"/>
          <w:tblHeader/>
        </w:trPr>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4"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59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c>
          <w:tcPr>
            <w:tcW w:w="84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b/>
                <w:bCs/>
                <w:color w:val="000000"/>
                <w:kern w:val="0"/>
                <w:szCs w:val="21"/>
              </w:rPr>
            </w:pPr>
          </w:p>
        </w:tc>
      </w:tr>
      <w:tr>
        <w:tblPrEx>
          <w:tblCellMar>
            <w:top w:w="0" w:type="dxa"/>
            <w:left w:w="108" w:type="dxa"/>
            <w:bottom w:w="0" w:type="dxa"/>
            <w:right w:w="108" w:type="dxa"/>
          </w:tblCellMar>
        </w:tblPrEx>
        <w:trPr>
          <w:trHeight w:val="450" w:hRule="atLeast"/>
        </w:trPr>
        <w:tc>
          <w:tcPr>
            <w:tcW w:w="593"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2、交通项目</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农村公路项目</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改扩建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94" w:type="pct"/>
            <w:vMerge w:val="restart"/>
            <w:tcBorders>
              <w:top w:val="nil"/>
              <w:left w:val="single" w:color="auto" w:sz="4" w:space="0"/>
              <w:bottom w:val="nil"/>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　</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90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省道103线青神至五通桥段公路</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代河村、加阳村、农乐村、新云村、中华村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省重点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连乐铁路支线</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规划</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农乐村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900" w:hRule="atLeast"/>
        </w:trPr>
        <w:tc>
          <w:tcPr>
            <w:tcW w:w="593"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3、水利项目</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泊滩堰罐区河湖水系连通工程（三江临港段）</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675"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岷江干流乐山段防洪工程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续建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中小河流治理工程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续建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小型水库工程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续建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90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中小型已成灌区续建配套与节水改造工程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续建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病险水库除险加固工程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续建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农村饮水安全工程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续建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w:t>
            </w:r>
          </w:p>
        </w:tc>
      </w:tr>
      <w:tr>
        <w:tblPrEx>
          <w:tblCellMar>
            <w:top w:w="0" w:type="dxa"/>
            <w:left w:w="108" w:type="dxa"/>
            <w:bottom w:w="0" w:type="dxa"/>
            <w:right w:w="108" w:type="dxa"/>
          </w:tblCellMar>
        </w:tblPrEx>
        <w:trPr>
          <w:trHeight w:val="465" w:hRule="atLeast"/>
        </w:trPr>
        <w:tc>
          <w:tcPr>
            <w:tcW w:w="5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4、电力项目</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35kv变电扩建工程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新云村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　</w:t>
            </w:r>
          </w:p>
        </w:tc>
      </w:tr>
      <w:tr>
        <w:tblPrEx>
          <w:tblCellMar>
            <w:top w:w="0" w:type="dxa"/>
            <w:left w:w="108" w:type="dxa"/>
            <w:bottom w:w="0" w:type="dxa"/>
            <w:right w:w="108" w:type="dxa"/>
          </w:tblCellMar>
        </w:tblPrEx>
        <w:trPr>
          <w:trHeight w:val="450" w:hRule="atLeast"/>
        </w:trPr>
        <w:tc>
          <w:tcPr>
            <w:tcW w:w="59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5、旅游</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燕山特色村打造</w:t>
            </w:r>
          </w:p>
        </w:tc>
        <w:tc>
          <w:tcPr>
            <w:tcW w:w="59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燕山村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区级重点　</w:t>
            </w:r>
          </w:p>
        </w:tc>
      </w:tr>
      <w:tr>
        <w:tblPrEx>
          <w:tblCellMar>
            <w:top w:w="0" w:type="dxa"/>
            <w:left w:w="108" w:type="dxa"/>
            <w:bottom w:w="0" w:type="dxa"/>
            <w:right w:w="108" w:type="dxa"/>
          </w:tblCellMar>
        </w:tblPrEx>
        <w:trPr>
          <w:trHeight w:val="450" w:hRule="atLeast"/>
        </w:trPr>
        <w:tc>
          <w:tcPr>
            <w:tcW w:w="593"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6、其他</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加气站及输气管道</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加油站及输油管道</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675"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自来水厂及供水管网工程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675"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污水处理厂（站）及管网设施</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垃圾处理厂（站）</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45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通讯电缆工程</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270" w:hRule="atLeast"/>
        </w:trPr>
        <w:tc>
          <w:tcPr>
            <w:tcW w:w="593"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殡葬项目</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新建</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2017-2020</w:t>
            </w:r>
          </w:p>
        </w:tc>
        <w:tc>
          <w:tcPr>
            <w:tcW w:w="593"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4" w:type="pct"/>
            <w:vMerge w:val="continue"/>
            <w:tcBorders>
              <w:top w:val="nil"/>
              <w:left w:val="single" w:color="auto" w:sz="4" w:space="0"/>
              <w:bottom w:val="nil"/>
              <w:right w:val="single" w:color="auto" w:sz="4" w:space="0"/>
            </w:tcBorders>
            <w:vAlign w:val="center"/>
          </w:tcPr>
          <w:p>
            <w:pPr>
              <w:widowControl/>
              <w:jc w:val="left"/>
              <w:rPr>
                <w:rFonts w:ascii="Times New Roman" w:hAnsi="Times New Roman" w:eastAsia="仿宋_GB2312"/>
                <w:color w:val="000000"/>
                <w:kern w:val="0"/>
                <w:szCs w:val="21"/>
              </w:rPr>
            </w:pP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各村</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市级重点</w:t>
            </w:r>
          </w:p>
        </w:tc>
      </w:tr>
      <w:tr>
        <w:tblPrEx>
          <w:tblCellMar>
            <w:top w:w="0" w:type="dxa"/>
            <w:left w:w="108" w:type="dxa"/>
            <w:bottom w:w="0" w:type="dxa"/>
            <w:right w:w="108" w:type="dxa"/>
          </w:tblCellMar>
        </w:tblPrEx>
        <w:trPr>
          <w:trHeight w:val="315" w:hRule="atLeast"/>
        </w:trPr>
        <w:tc>
          <w:tcPr>
            <w:tcW w:w="178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合计</w:t>
            </w:r>
          </w:p>
        </w:tc>
        <w:tc>
          <w:tcPr>
            <w:tcW w:w="593"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　</w:t>
            </w:r>
          </w:p>
        </w:tc>
        <w:tc>
          <w:tcPr>
            <w:tcW w:w="5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2.82</w:t>
            </w:r>
          </w:p>
        </w:tc>
        <w:tc>
          <w:tcPr>
            <w:tcW w:w="59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1.6</w:t>
            </w:r>
          </w:p>
        </w:tc>
        <w:tc>
          <w:tcPr>
            <w:tcW w:w="59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　</w:t>
            </w:r>
          </w:p>
        </w:tc>
        <w:tc>
          <w:tcPr>
            <w:tcW w:w="84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b/>
                <w:bCs/>
                <w:color w:val="000000"/>
                <w:kern w:val="0"/>
                <w:szCs w:val="21"/>
              </w:rPr>
            </w:pPr>
            <w:r>
              <w:rPr>
                <w:rFonts w:ascii="Times New Roman" w:hAnsi="Times New Roman" w:eastAsia="仿宋_GB2312"/>
                <w:b/>
                <w:bCs/>
                <w:color w:val="000000"/>
                <w:kern w:val="0"/>
                <w:szCs w:val="21"/>
              </w:rPr>
              <w:t>　</w:t>
            </w:r>
          </w:p>
        </w:tc>
      </w:tr>
    </w:tbl>
    <w:p>
      <w:pPr>
        <w:pStyle w:val="3"/>
        <w:spacing w:before="0" w:after="0" w:line="240" w:lineRule="auto"/>
        <w:jc w:val="left"/>
        <w:rPr>
          <w:rFonts w:ascii="Times New Roman" w:hAnsi="Times New Roman" w:cs="Times New Roman"/>
          <w:bCs w:val="0"/>
          <w:color w:val="000000"/>
          <w:szCs w:val="30"/>
        </w:rPr>
      </w:pPr>
      <w:bookmarkStart w:id="145" w:name="_Toc486428885"/>
      <w:r>
        <w:rPr>
          <w:rFonts w:ascii="Times New Roman" w:hAnsi="Times New Roman" w:cs="Times New Roman"/>
          <w:bCs w:val="0"/>
          <w:color w:val="000000"/>
          <w:sz w:val="28"/>
          <w:szCs w:val="28"/>
        </w:rPr>
        <w:t>附表六  新云乡各村规划控制指标表</w:t>
      </w:r>
      <w:bookmarkEnd w:id="145"/>
    </w:p>
    <w:p>
      <w:pPr>
        <w:spacing w:line="240" w:lineRule="exact"/>
        <w:ind w:firstLine="425"/>
        <w:jc w:val="right"/>
        <w:rPr>
          <w:rFonts w:ascii="Times New Roman" w:hAnsi="Times New Roman" w:eastAsia="仿宋_GB2312"/>
          <w:color w:val="000000"/>
          <w:sz w:val="24"/>
          <w:szCs w:val="24"/>
        </w:rPr>
      </w:pPr>
      <w:r>
        <w:rPr>
          <w:rFonts w:ascii="Times New Roman" w:hAnsi="Times New Roman" w:eastAsia="仿宋_GB2312"/>
          <w:color w:val="000000"/>
          <w:sz w:val="24"/>
          <w:szCs w:val="24"/>
        </w:rPr>
        <w:t>单位：公顷</w:t>
      </w:r>
    </w:p>
    <w:tbl>
      <w:tblPr>
        <w:tblStyle w:val="13"/>
        <w:tblW w:w="5441" w:type="pct"/>
        <w:jc w:val="center"/>
        <w:tblLayout w:type="fixed"/>
        <w:tblCellMar>
          <w:top w:w="0" w:type="dxa"/>
          <w:left w:w="108" w:type="dxa"/>
          <w:bottom w:w="0" w:type="dxa"/>
          <w:right w:w="108" w:type="dxa"/>
        </w:tblCellMar>
      </w:tblPr>
      <w:tblGrid>
        <w:gridCol w:w="857"/>
        <w:gridCol w:w="1082"/>
        <w:gridCol w:w="987"/>
        <w:gridCol w:w="697"/>
        <w:gridCol w:w="975"/>
        <w:gridCol w:w="537"/>
        <w:gridCol w:w="969"/>
        <w:gridCol w:w="1077"/>
        <w:gridCol w:w="864"/>
        <w:gridCol w:w="864"/>
        <w:gridCol w:w="1400"/>
        <w:gridCol w:w="1293"/>
        <w:gridCol w:w="1293"/>
        <w:gridCol w:w="1567"/>
        <w:gridCol w:w="962"/>
      </w:tblGrid>
      <w:tr>
        <w:tblPrEx>
          <w:tblCellMar>
            <w:top w:w="0" w:type="dxa"/>
            <w:left w:w="108" w:type="dxa"/>
            <w:bottom w:w="0" w:type="dxa"/>
            <w:right w:w="108" w:type="dxa"/>
          </w:tblCellMar>
        </w:tblPrEx>
        <w:trPr>
          <w:trHeight w:val="270" w:hRule="atLeast"/>
          <w:jc w:val="center"/>
        </w:trPr>
        <w:tc>
          <w:tcPr>
            <w:tcW w:w="27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行政村</w:t>
            </w:r>
          </w:p>
        </w:tc>
        <w:tc>
          <w:tcPr>
            <w:tcW w:w="35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耕地保有量</w:t>
            </w:r>
          </w:p>
        </w:tc>
        <w:tc>
          <w:tcPr>
            <w:tcW w:w="32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基本农田保护面积</w:t>
            </w:r>
          </w:p>
        </w:tc>
        <w:tc>
          <w:tcPr>
            <w:tcW w:w="2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园地</w:t>
            </w:r>
          </w:p>
        </w:tc>
        <w:tc>
          <w:tcPr>
            <w:tcW w:w="31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林地</w:t>
            </w:r>
          </w:p>
        </w:tc>
        <w:tc>
          <w:tcPr>
            <w:tcW w:w="17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牧草地</w:t>
            </w:r>
          </w:p>
        </w:tc>
        <w:tc>
          <w:tcPr>
            <w:tcW w:w="31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建设用地总规模</w:t>
            </w:r>
          </w:p>
        </w:tc>
        <w:tc>
          <w:tcPr>
            <w:tcW w:w="34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城乡建设用地规模</w:t>
            </w:r>
          </w:p>
        </w:tc>
        <w:tc>
          <w:tcPr>
            <w:tcW w:w="28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城镇工矿规模</w:t>
            </w:r>
          </w:p>
        </w:tc>
        <w:tc>
          <w:tcPr>
            <w:tcW w:w="28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新增建设用地</w:t>
            </w:r>
          </w:p>
        </w:tc>
        <w:tc>
          <w:tcPr>
            <w:tcW w:w="45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新增建设占用农用地规模</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新增建设占用耕地规模</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土地整治补充耕地规模</w:t>
            </w:r>
          </w:p>
        </w:tc>
        <w:tc>
          <w:tcPr>
            <w:tcW w:w="50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人均城镇工矿用地（m2/人）</w:t>
            </w:r>
          </w:p>
        </w:tc>
        <w:tc>
          <w:tcPr>
            <w:tcW w:w="31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建设用地净增量</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灯杆村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89.21</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89.01</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3.19</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57.03</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10.86</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10.86</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真武村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87.51</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86.16</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2.45</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94.71</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10.49</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10.45</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加阳村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116.47</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105.35</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2.19</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114.88</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15.34</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12.51</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1.24</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1.24</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1.24</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1.24</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新云村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120.44</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99.42</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5.24</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90.96</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22.01</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21.09</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0.83</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1.41</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1.41</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1.35</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1.41</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中华村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96.92</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94.26</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2.58</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83.67</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10.55</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9.96</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0.33</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0.33</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0.33</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0.33</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上游村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104.94</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104.04</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4.67</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64.19</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9.14</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9.14</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燕山村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182.33</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179.51</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5.52</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70.52</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17.18</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15.93</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0.45</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0.45</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0.35</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0.45</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华联村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69.87</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67.28</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1.37</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110.35</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7.85</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7.85</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农乐村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104.71</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99.62</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2.28</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92.73</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11.1</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10.23</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0.87</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0.87</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0.87</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0.87</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代河村</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103.43</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100.35</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1.08</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101.14</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13.36</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12.08</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1.42</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r>
      <w:tr>
        <w:tblPrEx>
          <w:tblCellMar>
            <w:top w:w="0" w:type="dxa"/>
            <w:left w:w="108" w:type="dxa"/>
            <w:bottom w:w="0" w:type="dxa"/>
            <w:right w:w="108" w:type="dxa"/>
          </w:tblCellMar>
        </w:tblPrEx>
        <w:trPr>
          <w:trHeight w:val="270" w:hRule="atLeast"/>
          <w:jc w:val="center"/>
        </w:trPr>
        <w:tc>
          <w:tcPr>
            <w:tcW w:w="278"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合计</w:t>
            </w:r>
          </w:p>
        </w:tc>
        <w:tc>
          <w:tcPr>
            <w:tcW w:w="351"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1075.83</w:t>
            </w:r>
          </w:p>
        </w:tc>
        <w:tc>
          <w:tcPr>
            <w:tcW w:w="32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1025.00</w:t>
            </w:r>
          </w:p>
        </w:tc>
        <w:tc>
          <w:tcPr>
            <w:tcW w:w="2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30.57</w:t>
            </w:r>
          </w:p>
        </w:tc>
        <w:tc>
          <w:tcPr>
            <w:tcW w:w="31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880.18</w:t>
            </w:r>
          </w:p>
        </w:tc>
        <w:tc>
          <w:tcPr>
            <w:tcW w:w="17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3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127.88</w:t>
            </w:r>
          </w:p>
        </w:tc>
        <w:tc>
          <w:tcPr>
            <w:tcW w:w="34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120.1</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2.25</w:t>
            </w:r>
          </w:p>
        </w:tc>
        <w:tc>
          <w:tcPr>
            <w:tcW w:w="280"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4.3</w:t>
            </w:r>
          </w:p>
        </w:tc>
        <w:tc>
          <w:tcPr>
            <w:tcW w:w="45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4.3</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4.14</w:t>
            </w:r>
          </w:p>
        </w:tc>
        <w:tc>
          <w:tcPr>
            <w:tcW w:w="419"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0</w:t>
            </w:r>
          </w:p>
        </w:tc>
        <w:tc>
          <w:tcPr>
            <w:tcW w:w="50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w:t>
            </w:r>
          </w:p>
        </w:tc>
        <w:tc>
          <w:tcPr>
            <w:tcW w:w="312"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4.3</w:t>
            </w:r>
          </w:p>
        </w:tc>
      </w:tr>
    </w:tbl>
    <w:p>
      <w:pPr>
        <w:rPr>
          <w:rFonts w:ascii="Times New Roman" w:hAnsi="Times New Roman"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13599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1156065"/>
      <w:docPartObj>
        <w:docPartGallery w:val="AutoText"/>
      </w:docPartObj>
    </w:sdtPr>
    <w:sdtContent>
      <w:p>
        <w:pPr>
          <w:pStyle w:val="9"/>
          <w:jc w:val="center"/>
        </w:pPr>
        <w:r>
          <w:fldChar w:fldCharType="begin"/>
        </w:r>
        <w:r>
          <w:instrText xml:space="preserve">PAGE   \* MERGEFORMAT</w:instrText>
        </w:r>
        <w:r>
          <w:fldChar w:fldCharType="separate"/>
        </w:r>
        <w:r>
          <w:rPr>
            <w:lang w:val="zh-CN"/>
          </w:rPr>
          <w:t>35</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50B"/>
    <w:rsid w:val="000003CD"/>
    <w:rsid w:val="00001B11"/>
    <w:rsid w:val="000045A3"/>
    <w:rsid w:val="000132C7"/>
    <w:rsid w:val="000145EE"/>
    <w:rsid w:val="000159C7"/>
    <w:rsid w:val="00021399"/>
    <w:rsid w:val="000337AA"/>
    <w:rsid w:val="00037AAD"/>
    <w:rsid w:val="000464EC"/>
    <w:rsid w:val="000475DF"/>
    <w:rsid w:val="000600B4"/>
    <w:rsid w:val="00062A3D"/>
    <w:rsid w:val="00063551"/>
    <w:rsid w:val="000641AB"/>
    <w:rsid w:val="00066D07"/>
    <w:rsid w:val="00067864"/>
    <w:rsid w:val="00067A95"/>
    <w:rsid w:val="00067B25"/>
    <w:rsid w:val="00071697"/>
    <w:rsid w:val="00072CEC"/>
    <w:rsid w:val="0008241B"/>
    <w:rsid w:val="000952B1"/>
    <w:rsid w:val="00095C05"/>
    <w:rsid w:val="00097192"/>
    <w:rsid w:val="000A716C"/>
    <w:rsid w:val="000B0AD7"/>
    <w:rsid w:val="000C0D26"/>
    <w:rsid w:val="000E0FC4"/>
    <w:rsid w:val="000F524E"/>
    <w:rsid w:val="000F6449"/>
    <w:rsid w:val="00100AB8"/>
    <w:rsid w:val="00103CB9"/>
    <w:rsid w:val="00106FB6"/>
    <w:rsid w:val="001105F4"/>
    <w:rsid w:val="00112B25"/>
    <w:rsid w:val="00120121"/>
    <w:rsid w:val="001232F2"/>
    <w:rsid w:val="00125425"/>
    <w:rsid w:val="00125B02"/>
    <w:rsid w:val="001262F0"/>
    <w:rsid w:val="00130A63"/>
    <w:rsid w:val="00160807"/>
    <w:rsid w:val="00164A25"/>
    <w:rsid w:val="001713FE"/>
    <w:rsid w:val="00184C10"/>
    <w:rsid w:val="00193405"/>
    <w:rsid w:val="00194568"/>
    <w:rsid w:val="001963DA"/>
    <w:rsid w:val="001967E8"/>
    <w:rsid w:val="001B3C8A"/>
    <w:rsid w:val="001B3E3F"/>
    <w:rsid w:val="001B4200"/>
    <w:rsid w:val="001C30C9"/>
    <w:rsid w:val="001C438F"/>
    <w:rsid w:val="001D173B"/>
    <w:rsid w:val="001D488B"/>
    <w:rsid w:val="001F334C"/>
    <w:rsid w:val="001F33CF"/>
    <w:rsid w:val="002032AD"/>
    <w:rsid w:val="00204784"/>
    <w:rsid w:val="00211CBF"/>
    <w:rsid w:val="002133D2"/>
    <w:rsid w:val="0022524D"/>
    <w:rsid w:val="002263C2"/>
    <w:rsid w:val="00236C45"/>
    <w:rsid w:val="00236FC5"/>
    <w:rsid w:val="00245001"/>
    <w:rsid w:val="0025730D"/>
    <w:rsid w:val="002770BE"/>
    <w:rsid w:val="00283D62"/>
    <w:rsid w:val="002847F9"/>
    <w:rsid w:val="00284997"/>
    <w:rsid w:val="00285CDD"/>
    <w:rsid w:val="002918EE"/>
    <w:rsid w:val="00291AE5"/>
    <w:rsid w:val="00293E13"/>
    <w:rsid w:val="00296952"/>
    <w:rsid w:val="00296A8C"/>
    <w:rsid w:val="002A0528"/>
    <w:rsid w:val="002A729E"/>
    <w:rsid w:val="002B0E4D"/>
    <w:rsid w:val="002B338B"/>
    <w:rsid w:val="002B4F2E"/>
    <w:rsid w:val="002C17F4"/>
    <w:rsid w:val="002D05A2"/>
    <w:rsid w:val="002D16A3"/>
    <w:rsid w:val="002D6998"/>
    <w:rsid w:val="002E2822"/>
    <w:rsid w:val="002E59CD"/>
    <w:rsid w:val="002E5E96"/>
    <w:rsid w:val="00307149"/>
    <w:rsid w:val="00315A99"/>
    <w:rsid w:val="0034660F"/>
    <w:rsid w:val="00354588"/>
    <w:rsid w:val="0035471D"/>
    <w:rsid w:val="0036199B"/>
    <w:rsid w:val="00366CE7"/>
    <w:rsid w:val="00367843"/>
    <w:rsid w:val="00375402"/>
    <w:rsid w:val="00381B74"/>
    <w:rsid w:val="00392D33"/>
    <w:rsid w:val="003936DC"/>
    <w:rsid w:val="00395233"/>
    <w:rsid w:val="00395917"/>
    <w:rsid w:val="003B419F"/>
    <w:rsid w:val="003B451F"/>
    <w:rsid w:val="003B59A0"/>
    <w:rsid w:val="003B6EEF"/>
    <w:rsid w:val="003B711D"/>
    <w:rsid w:val="003C2833"/>
    <w:rsid w:val="003C68F7"/>
    <w:rsid w:val="003D628F"/>
    <w:rsid w:val="003E1E27"/>
    <w:rsid w:val="003F3BEA"/>
    <w:rsid w:val="004012E3"/>
    <w:rsid w:val="00401648"/>
    <w:rsid w:val="004166F3"/>
    <w:rsid w:val="004269DD"/>
    <w:rsid w:val="004311E0"/>
    <w:rsid w:val="0043284E"/>
    <w:rsid w:val="00435310"/>
    <w:rsid w:val="00436838"/>
    <w:rsid w:val="00441F47"/>
    <w:rsid w:val="00463BA5"/>
    <w:rsid w:val="00472031"/>
    <w:rsid w:val="00473C3E"/>
    <w:rsid w:val="00486207"/>
    <w:rsid w:val="0049274B"/>
    <w:rsid w:val="00495397"/>
    <w:rsid w:val="004A1386"/>
    <w:rsid w:val="004A1E62"/>
    <w:rsid w:val="004A1EE3"/>
    <w:rsid w:val="004C380E"/>
    <w:rsid w:val="004C46CE"/>
    <w:rsid w:val="004E0EB4"/>
    <w:rsid w:val="00511DC0"/>
    <w:rsid w:val="00512CB8"/>
    <w:rsid w:val="005131F0"/>
    <w:rsid w:val="00525562"/>
    <w:rsid w:val="0052623F"/>
    <w:rsid w:val="00534106"/>
    <w:rsid w:val="0053603D"/>
    <w:rsid w:val="00550032"/>
    <w:rsid w:val="00566A9F"/>
    <w:rsid w:val="00573E7D"/>
    <w:rsid w:val="0058060C"/>
    <w:rsid w:val="00590AFB"/>
    <w:rsid w:val="00591076"/>
    <w:rsid w:val="005977CB"/>
    <w:rsid w:val="005A5127"/>
    <w:rsid w:val="005A7809"/>
    <w:rsid w:val="005B00CF"/>
    <w:rsid w:val="005B5824"/>
    <w:rsid w:val="005C689E"/>
    <w:rsid w:val="005D55DD"/>
    <w:rsid w:val="005D6F27"/>
    <w:rsid w:val="005E5D02"/>
    <w:rsid w:val="005E7DF3"/>
    <w:rsid w:val="005E7FA4"/>
    <w:rsid w:val="005F0949"/>
    <w:rsid w:val="005F24A5"/>
    <w:rsid w:val="005F33A6"/>
    <w:rsid w:val="005F6211"/>
    <w:rsid w:val="00601AFA"/>
    <w:rsid w:val="00605035"/>
    <w:rsid w:val="00613BE2"/>
    <w:rsid w:val="00614610"/>
    <w:rsid w:val="006173B3"/>
    <w:rsid w:val="006217FF"/>
    <w:rsid w:val="00624058"/>
    <w:rsid w:val="006358A6"/>
    <w:rsid w:val="006702D2"/>
    <w:rsid w:val="00671A82"/>
    <w:rsid w:val="00675A84"/>
    <w:rsid w:val="00675DDB"/>
    <w:rsid w:val="006817B5"/>
    <w:rsid w:val="00682E80"/>
    <w:rsid w:val="0068322E"/>
    <w:rsid w:val="0068529A"/>
    <w:rsid w:val="006B21A2"/>
    <w:rsid w:val="006C1DFB"/>
    <w:rsid w:val="006C369C"/>
    <w:rsid w:val="006C3757"/>
    <w:rsid w:val="006C44B8"/>
    <w:rsid w:val="006D4F2F"/>
    <w:rsid w:val="006D6530"/>
    <w:rsid w:val="006E4DDE"/>
    <w:rsid w:val="006E6371"/>
    <w:rsid w:val="006F5E8A"/>
    <w:rsid w:val="006F67BE"/>
    <w:rsid w:val="006F74B5"/>
    <w:rsid w:val="00700C7D"/>
    <w:rsid w:val="007030F7"/>
    <w:rsid w:val="007044B3"/>
    <w:rsid w:val="0070567C"/>
    <w:rsid w:val="0071110B"/>
    <w:rsid w:val="00717214"/>
    <w:rsid w:val="007334C3"/>
    <w:rsid w:val="00734D5F"/>
    <w:rsid w:val="00737BC0"/>
    <w:rsid w:val="0074007E"/>
    <w:rsid w:val="00743988"/>
    <w:rsid w:val="00745D41"/>
    <w:rsid w:val="007505BD"/>
    <w:rsid w:val="007569ED"/>
    <w:rsid w:val="00757A35"/>
    <w:rsid w:val="00763F09"/>
    <w:rsid w:val="0076750F"/>
    <w:rsid w:val="007677CA"/>
    <w:rsid w:val="00780010"/>
    <w:rsid w:val="00792556"/>
    <w:rsid w:val="00793262"/>
    <w:rsid w:val="007951D8"/>
    <w:rsid w:val="007A2212"/>
    <w:rsid w:val="007A50F0"/>
    <w:rsid w:val="007B5CF9"/>
    <w:rsid w:val="007B7106"/>
    <w:rsid w:val="007C08D0"/>
    <w:rsid w:val="007C24D2"/>
    <w:rsid w:val="007C6254"/>
    <w:rsid w:val="007D2807"/>
    <w:rsid w:val="007D2894"/>
    <w:rsid w:val="007D36C0"/>
    <w:rsid w:val="007F542E"/>
    <w:rsid w:val="007F72D9"/>
    <w:rsid w:val="008031F5"/>
    <w:rsid w:val="0080619F"/>
    <w:rsid w:val="00810150"/>
    <w:rsid w:val="00812E39"/>
    <w:rsid w:val="008170DA"/>
    <w:rsid w:val="00820D66"/>
    <w:rsid w:val="008316C1"/>
    <w:rsid w:val="008334CD"/>
    <w:rsid w:val="00833865"/>
    <w:rsid w:val="0087196F"/>
    <w:rsid w:val="00880BBA"/>
    <w:rsid w:val="0088650B"/>
    <w:rsid w:val="00897487"/>
    <w:rsid w:val="008A3239"/>
    <w:rsid w:val="008A504D"/>
    <w:rsid w:val="008B65F9"/>
    <w:rsid w:val="008D6046"/>
    <w:rsid w:val="008F1BF5"/>
    <w:rsid w:val="008F348D"/>
    <w:rsid w:val="008F4638"/>
    <w:rsid w:val="008F68D7"/>
    <w:rsid w:val="009012F5"/>
    <w:rsid w:val="009029D8"/>
    <w:rsid w:val="0090374B"/>
    <w:rsid w:val="00913D15"/>
    <w:rsid w:val="009175DA"/>
    <w:rsid w:val="00947607"/>
    <w:rsid w:val="009560FB"/>
    <w:rsid w:val="00973488"/>
    <w:rsid w:val="00974C7B"/>
    <w:rsid w:val="00974E2B"/>
    <w:rsid w:val="009754F9"/>
    <w:rsid w:val="00981187"/>
    <w:rsid w:val="009811C4"/>
    <w:rsid w:val="0098500A"/>
    <w:rsid w:val="009871E6"/>
    <w:rsid w:val="00991402"/>
    <w:rsid w:val="009A7F8C"/>
    <w:rsid w:val="009B54AA"/>
    <w:rsid w:val="009B7849"/>
    <w:rsid w:val="009C0B96"/>
    <w:rsid w:val="009C2BFC"/>
    <w:rsid w:val="009C77E8"/>
    <w:rsid w:val="009D3AFB"/>
    <w:rsid w:val="009D4619"/>
    <w:rsid w:val="009E19DB"/>
    <w:rsid w:val="009E49D3"/>
    <w:rsid w:val="009E4FC5"/>
    <w:rsid w:val="009F0D53"/>
    <w:rsid w:val="00A01039"/>
    <w:rsid w:val="00A054CC"/>
    <w:rsid w:val="00A06352"/>
    <w:rsid w:val="00A118AA"/>
    <w:rsid w:val="00A118B3"/>
    <w:rsid w:val="00A30A29"/>
    <w:rsid w:val="00A34C4A"/>
    <w:rsid w:val="00A37940"/>
    <w:rsid w:val="00A41C59"/>
    <w:rsid w:val="00A5006D"/>
    <w:rsid w:val="00A534A1"/>
    <w:rsid w:val="00A56493"/>
    <w:rsid w:val="00A71245"/>
    <w:rsid w:val="00A871EB"/>
    <w:rsid w:val="00A9093C"/>
    <w:rsid w:val="00A961FE"/>
    <w:rsid w:val="00AA1EE1"/>
    <w:rsid w:val="00AA4054"/>
    <w:rsid w:val="00AA4C61"/>
    <w:rsid w:val="00AB01F4"/>
    <w:rsid w:val="00AB216A"/>
    <w:rsid w:val="00AB49D6"/>
    <w:rsid w:val="00AD2570"/>
    <w:rsid w:val="00AD317F"/>
    <w:rsid w:val="00AE3750"/>
    <w:rsid w:val="00B0280D"/>
    <w:rsid w:val="00B10842"/>
    <w:rsid w:val="00B15868"/>
    <w:rsid w:val="00B31571"/>
    <w:rsid w:val="00B344BC"/>
    <w:rsid w:val="00B37139"/>
    <w:rsid w:val="00B372DC"/>
    <w:rsid w:val="00B4223C"/>
    <w:rsid w:val="00B4479B"/>
    <w:rsid w:val="00B50D42"/>
    <w:rsid w:val="00B57005"/>
    <w:rsid w:val="00B570BB"/>
    <w:rsid w:val="00B5718A"/>
    <w:rsid w:val="00B63C70"/>
    <w:rsid w:val="00B65473"/>
    <w:rsid w:val="00B7003D"/>
    <w:rsid w:val="00B70060"/>
    <w:rsid w:val="00B74A5B"/>
    <w:rsid w:val="00B7513E"/>
    <w:rsid w:val="00B76E43"/>
    <w:rsid w:val="00B772E5"/>
    <w:rsid w:val="00B913A0"/>
    <w:rsid w:val="00B955D3"/>
    <w:rsid w:val="00B96224"/>
    <w:rsid w:val="00BA5DA9"/>
    <w:rsid w:val="00BC0612"/>
    <w:rsid w:val="00BD0E4E"/>
    <w:rsid w:val="00BE33CC"/>
    <w:rsid w:val="00BF134F"/>
    <w:rsid w:val="00C02B18"/>
    <w:rsid w:val="00C1579E"/>
    <w:rsid w:val="00C1723E"/>
    <w:rsid w:val="00C27DDC"/>
    <w:rsid w:val="00C27E3B"/>
    <w:rsid w:val="00C37982"/>
    <w:rsid w:val="00C41B7B"/>
    <w:rsid w:val="00C44431"/>
    <w:rsid w:val="00C46CBF"/>
    <w:rsid w:val="00C526A0"/>
    <w:rsid w:val="00C63477"/>
    <w:rsid w:val="00C73B0F"/>
    <w:rsid w:val="00C939DC"/>
    <w:rsid w:val="00CA09E1"/>
    <w:rsid w:val="00CA5480"/>
    <w:rsid w:val="00CB0AB3"/>
    <w:rsid w:val="00CB3A15"/>
    <w:rsid w:val="00CC5E10"/>
    <w:rsid w:val="00CF2602"/>
    <w:rsid w:val="00D0128F"/>
    <w:rsid w:val="00D1476B"/>
    <w:rsid w:val="00D24A15"/>
    <w:rsid w:val="00D30213"/>
    <w:rsid w:val="00D34E54"/>
    <w:rsid w:val="00D43B52"/>
    <w:rsid w:val="00D4424A"/>
    <w:rsid w:val="00D46144"/>
    <w:rsid w:val="00D512BE"/>
    <w:rsid w:val="00D6066B"/>
    <w:rsid w:val="00D6066D"/>
    <w:rsid w:val="00D646AE"/>
    <w:rsid w:val="00D6691D"/>
    <w:rsid w:val="00D75D37"/>
    <w:rsid w:val="00D83BB4"/>
    <w:rsid w:val="00D841AC"/>
    <w:rsid w:val="00D8584F"/>
    <w:rsid w:val="00D86D98"/>
    <w:rsid w:val="00DA21AE"/>
    <w:rsid w:val="00DA287B"/>
    <w:rsid w:val="00DB5CD3"/>
    <w:rsid w:val="00DC0917"/>
    <w:rsid w:val="00DC5534"/>
    <w:rsid w:val="00DC5C10"/>
    <w:rsid w:val="00DC61B0"/>
    <w:rsid w:val="00DD26CF"/>
    <w:rsid w:val="00DD64A9"/>
    <w:rsid w:val="00DE33FA"/>
    <w:rsid w:val="00DF0A5E"/>
    <w:rsid w:val="00DF3311"/>
    <w:rsid w:val="00DF6099"/>
    <w:rsid w:val="00E13CFA"/>
    <w:rsid w:val="00E16DD5"/>
    <w:rsid w:val="00E314CE"/>
    <w:rsid w:val="00E32FB2"/>
    <w:rsid w:val="00E50BB3"/>
    <w:rsid w:val="00E51480"/>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2945"/>
    <w:rsid w:val="00F5053E"/>
    <w:rsid w:val="00F51553"/>
    <w:rsid w:val="00F54AE9"/>
    <w:rsid w:val="00F55C5F"/>
    <w:rsid w:val="00F749AB"/>
    <w:rsid w:val="00F81E66"/>
    <w:rsid w:val="00F971AA"/>
    <w:rsid w:val="00FB2B25"/>
    <w:rsid w:val="00FB4B60"/>
    <w:rsid w:val="00FB5D26"/>
    <w:rsid w:val="00FC5897"/>
    <w:rsid w:val="00FF5576"/>
    <w:rsid w:val="5CDE7F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14:textFill>
        <w14:solidFill>
          <w14:schemeClr w14:val="hlink"/>
        </w14:solidFill>
      </w14:textFill>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CD8CE-D6D9-4E7D-AA7E-71B2F32A664C}">
  <ds:schemaRefs/>
</ds:datastoreItem>
</file>

<file path=docProps/app.xml><?xml version="1.0" encoding="utf-8"?>
<Properties xmlns="http://schemas.openxmlformats.org/officeDocument/2006/extended-properties" xmlns:vt="http://schemas.openxmlformats.org/officeDocument/2006/docPropsVTypes">
  <Template>Normal</Template>
  <Pages>41</Pages>
  <Words>3212</Words>
  <Characters>18313</Characters>
  <Lines>152</Lines>
  <Paragraphs>42</Paragraphs>
  <TotalTime>276</TotalTime>
  <ScaleCrop>false</ScaleCrop>
  <LinksUpToDate>false</LinksUpToDate>
  <CharactersWithSpaces>21483</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2017-07-12T03:25:00Z</dcterms:created>
  <dc:creator>HP</dc:creator>
  <cp:lastModifiedBy>张学琴</cp:lastModifiedBy>
  <dcterms:modified xsi:type="dcterms:W3CDTF">2025-01-23T08:59:17Z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598AFC2D74A444B3873225D5175B7981_12</vt:lpwstr>
  </property>
</Properties>
</file>