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仿宋_GB2312" w:hAnsi="宋体" w:eastAsia="仿宋_GB2312"/>
          <w:sz w:val="44"/>
          <w:szCs w:val="44"/>
        </w:rPr>
      </w:pPr>
    </w:p>
    <w:p>
      <w:pPr>
        <w:spacing w:line="360" w:lineRule="auto"/>
        <w:jc w:val="center"/>
        <w:rPr>
          <w:rFonts w:ascii="仿宋_GB2312" w:hAnsi="宋体" w:eastAsia="仿宋_GB2312"/>
          <w:sz w:val="44"/>
          <w:szCs w:val="44"/>
        </w:rPr>
      </w:pPr>
    </w:p>
    <w:p>
      <w:pPr>
        <w:spacing w:line="360" w:lineRule="auto"/>
        <w:jc w:val="center"/>
        <w:rPr>
          <w:rFonts w:ascii="黑体" w:hAnsi="黑体" w:eastAsia="黑体"/>
          <w:sz w:val="44"/>
          <w:szCs w:val="44"/>
        </w:rPr>
      </w:pPr>
      <w:r>
        <w:rPr>
          <w:rFonts w:hint="eastAsia" w:ascii="黑体" w:hAnsi="黑体" w:eastAsia="黑体"/>
          <w:sz w:val="44"/>
          <w:szCs w:val="44"/>
        </w:rPr>
        <w:t>乐山市五通桥区</w:t>
      </w:r>
    </w:p>
    <w:p>
      <w:pPr>
        <w:spacing w:line="360" w:lineRule="auto"/>
        <w:jc w:val="center"/>
        <w:rPr>
          <w:rFonts w:ascii="黑体" w:hAnsi="黑体" w:eastAsia="黑体"/>
          <w:sz w:val="44"/>
          <w:szCs w:val="44"/>
        </w:rPr>
      </w:pPr>
      <w:r>
        <w:rPr>
          <w:rFonts w:hint="eastAsia" w:ascii="黑体" w:hAnsi="黑体" w:eastAsia="黑体"/>
          <w:sz w:val="44"/>
          <w:szCs w:val="44"/>
        </w:rPr>
        <w:t>竹根镇土地利用总体规划（2006-2020年）</w:t>
      </w:r>
    </w:p>
    <w:p>
      <w:pPr>
        <w:spacing w:line="360" w:lineRule="auto"/>
        <w:jc w:val="center"/>
        <w:rPr>
          <w:rFonts w:ascii="黑体" w:hAnsi="黑体" w:eastAsia="黑体"/>
          <w:sz w:val="44"/>
          <w:szCs w:val="44"/>
        </w:rPr>
      </w:pPr>
      <w:r>
        <w:rPr>
          <w:rFonts w:hint="eastAsia" w:ascii="黑体" w:hAnsi="黑体" w:eastAsia="黑体"/>
          <w:sz w:val="44"/>
          <w:szCs w:val="44"/>
        </w:rPr>
        <w:t>调整完善方案</w:t>
      </w: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宋体" w:hAnsi="宋体"/>
          <w:b/>
          <w:sz w:val="44"/>
          <w:szCs w:val="44"/>
        </w:rPr>
      </w:pPr>
      <w:r>
        <w:rPr>
          <w:rFonts w:hint="eastAsia" w:ascii="宋体" w:hAnsi="宋体"/>
          <w:b/>
          <w:sz w:val="44"/>
          <w:szCs w:val="44"/>
        </w:rPr>
        <w:t>五通桥区竹根镇人民政府</w:t>
      </w:r>
    </w:p>
    <w:p>
      <w:pPr>
        <w:spacing w:line="360" w:lineRule="auto"/>
        <w:jc w:val="center"/>
        <w:rPr>
          <w:rFonts w:ascii="宋体" w:hAnsi="宋体"/>
          <w:b/>
          <w:sz w:val="44"/>
          <w:szCs w:val="44"/>
        </w:rPr>
      </w:pPr>
      <w:r>
        <w:rPr>
          <w:rFonts w:hint="eastAsia" w:ascii="宋体" w:hAnsi="宋体"/>
          <w:b/>
          <w:sz w:val="44"/>
          <w:szCs w:val="44"/>
        </w:rPr>
        <w:t>二</w:t>
      </w:r>
      <w:r>
        <w:rPr>
          <w:rFonts w:hint="eastAsia" w:ascii="宋体" w:hAnsi="宋体" w:cs="微软雅黑"/>
          <w:b/>
          <w:sz w:val="44"/>
          <w:szCs w:val="44"/>
        </w:rPr>
        <w:t>〇</w:t>
      </w:r>
      <w:r>
        <w:rPr>
          <w:rFonts w:hint="eastAsia" w:ascii="宋体" w:hAnsi="宋体" w:cs="仿宋_GB2312"/>
          <w:b/>
          <w:sz w:val="44"/>
          <w:szCs w:val="44"/>
        </w:rPr>
        <w:t>一</w:t>
      </w:r>
      <w:r>
        <w:rPr>
          <w:rFonts w:hint="eastAsia" w:ascii="宋体" w:hAnsi="宋体"/>
          <w:b/>
          <w:sz w:val="44"/>
          <w:szCs w:val="44"/>
        </w:rPr>
        <w:t>七年七月</w:t>
      </w:r>
    </w:p>
    <w:p>
      <w:pPr>
        <w:spacing w:line="360" w:lineRule="auto"/>
        <w:jc w:val="center"/>
        <w:rPr>
          <w:rFonts w:ascii="仿宋_GB2312" w:hAnsi="黑体" w:eastAsia="仿宋_GB2312"/>
          <w:sz w:val="44"/>
          <w:szCs w:val="44"/>
        </w:rPr>
      </w:pPr>
    </w:p>
    <w:p>
      <w:pPr>
        <w:spacing w:line="500" w:lineRule="exact"/>
        <w:jc w:val="center"/>
        <w:rPr>
          <w:rFonts w:ascii="仿宋_GB2312" w:hAnsi="黑体"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仿宋_GB2312" w:eastAsia="仿宋_GB2312"/>
        </w:rPr>
      </w:pPr>
    </w:p>
    <w:p>
      <w:pPr>
        <w:pStyle w:val="11"/>
        <w:rPr>
          <w:rFonts w:ascii="仿宋_GB2312" w:eastAsia="仿宋_GB2312"/>
        </w:rPr>
      </w:pPr>
      <w:r>
        <w:rPr>
          <w:rFonts w:hint="eastAsia" w:ascii="仿宋_GB2312" w:eastAsia="仿宋_GB2312"/>
        </w:rPr>
        <w:t>目  录</w:t>
      </w:r>
    </w:p>
    <w:p>
      <w:pPr>
        <w:pStyle w:val="11"/>
        <w:rPr>
          <w:rFonts w:ascii="仿宋_GB2312" w:eastAsia="仿宋_GB2312" w:hAnsiTheme="minorHAnsi" w:cstheme="minorBidi"/>
          <w:b w:val="0"/>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"1-2" \h \z \u </w:instrText>
      </w:r>
      <w:r>
        <w:rPr>
          <w:rFonts w:hint="eastAsia" w:ascii="仿宋_GB2312" w:eastAsia="仿宋_GB2312"/>
          <w:sz w:val="28"/>
          <w:szCs w:val="28"/>
        </w:rPr>
        <w:fldChar w:fldCharType="separate"/>
      </w:r>
      <w:r>
        <w:fldChar w:fldCharType="begin"/>
      </w:r>
      <w:r>
        <w:instrText xml:space="preserve"> HYPERLINK \l "_Toc486804467" </w:instrText>
      </w:r>
      <w:r>
        <w:fldChar w:fldCharType="separate"/>
      </w:r>
      <w:r>
        <w:rPr>
          <w:rStyle w:val="16"/>
          <w:rFonts w:hint="eastAsia" w:ascii="仿宋_GB2312" w:eastAsia="仿宋_GB2312"/>
          <w:sz w:val="28"/>
          <w:szCs w:val="28"/>
        </w:rPr>
        <w:t>一、2014年土地利用现状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_Toc486804467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"_Toc486804468" </w:instrText>
      </w:r>
      <w:r>
        <w:fldChar w:fldCharType="separate"/>
      </w:r>
      <w:r>
        <w:rPr>
          <w:rStyle w:val="16"/>
          <w:rFonts w:hint="eastAsia" w:ascii="仿宋_GB2312" w:eastAsia="仿宋_GB2312"/>
          <w:sz w:val="28"/>
          <w:szCs w:val="28"/>
        </w:rPr>
        <w:t>（一）土地利用现状及分布</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_Toc486804468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"_Toc486804469" </w:instrText>
      </w:r>
      <w:r>
        <w:fldChar w:fldCharType="separate"/>
      </w:r>
      <w:r>
        <w:rPr>
          <w:rStyle w:val="16"/>
          <w:rFonts w:hint="eastAsia" w:ascii="仿宋_GB2312" w:eastAsia="仿宋_GB2312"/>
          <w:sz w:val="28"/>
          <w:szCs w:val="28"/>
        </w:rPr>
        <w:t>（二）土地利用的特点</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_Toc486804469 \h </w:instrText>
      </w:r>
      <w:r>
        <w:rPr>
          <w:rFonts w:hint="eastAsia" w:ascii="仿宋_GB2312" w:eastAsia="仿宋_GB2312"/>
          <w:sz w:val="28"/>
          <w:szCs w:val="28"/>
        </w:rPr>
        <w:fldChar w:fldCharType="separate"/>
      </w:r>
      <w:r>
        <w:rPr>
          <w:rFonts w:hint="eastAsia" w:ascii="仿宋_GB2312" w:eastAsia="仿宋_GB2312"/>
          <w:sz w:val="28"/>
          <w:szCs w:val="28"/>
        </w:rPr>
        <w:t>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"_Toc486804470" </w:instrText>
      </w:r>
      <w:r>
        <w:fldChar w:fldCharType="separate"/>
      </w:r>
      <w:r>
        <w:rPr>
          <w:rStyle w:val="16"/>
          <w:rFonts w:hint="eastAsia" w:ascii="仿宋_GB2312" w:eastAsia="仿宋_GB2312"/>
          <w:sz w:val="28"/>
          <w:szCs w:val="28"/>
        </w:rPr>
        <w:t>（三）土地利用中存在的问题</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_Toc486804470 \h </w:instrText>
      </w:r>
      <w:r>
        <w:rPr>
          <w:rFonts w:hint="eastAsia" w:ascii="仿宋_GB2312" w:eastAsia="仿宋_GB2312"/>
          <w:sz w:val="28"/>
          <w:szCs w:val="28"/>
        </w:rPr>
        <w:fldChar w:fldCharType="separate"/>
      </w:r>
      <w:r>
        <w:rPr>
          <w:rFonts w:hint="eastAsia" w:ascii="仿宋_GB2312" w:eastAsia="仿宋_GB2312"/>
          <w:sz w:val="28"/>
          <w:szCs w:val="28"/>
        </w:rPr>
        <w:t>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"_Toc486804471" </w:instrText>
      </w:r>
      <w:r>
        <w:fldChar w:fldCharType="separate"/>
      </w:r>
      <w:r>
        <w:rPr>
          <w:rStyle w:val="16"/>
          <w:rFonts w:hint="eastAsia" w:ascii="仿宋_GB2312" w:eastAsia="仿宋_GB2312"/>
          <w:sz w:val="28"/>
          <w:szCs w:val="28"/>
        </w:rPr>
        <w:t>二、规划目标调整情况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_Toc486804471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"_Toc486804472" </w:instrText>
      </w:r>
      <w:r>
        <w:fldChar w:fldCharType="separate"/>
      </w:r>
      <w:r>
        <w:rPr>
          <w:rStyle w:val="16"/>
          <w:rFonts w:hint="eastAsia" w:ascii="仿宋_GB2312" w:eastAsia="仿宋_GB2312"/>
          <w:sz w:val="28"/>
          <w:szCs w:val="28"/>
        </w:rPr>
        <w:t>（一）耕地保有量调整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_Toc486804472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"_Toc486804473" </w:instrText>
      </w:r>
      <w:r>
        <w:fldChar w:fldCharType="separate"/>
      </w:r>
      <w:r>
        <w:rPr>
          <w:rStyle w:val="16"/>
          <w:rFonts w:hint="eastAsia" w:ascii="仿宋_GB2312" w:eastAsia="仿宋_GB2312"/>
          <w:sz w:val="28"/>
          <w:szCs w:val="28"/>
        </w:rPr>
        <w:t>（二）基本农田保护面积调整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_Toc486804473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"_Toc486804474" </w:instrText>
      </w:r>
      <w:r>
        <w:fldChar w:fldCharType="separate"/>
      </w:r>
      <w:r>
        <w:rPr>
          <w:rStyle w:val="16"/>
          <w:rFonts w:hint="eastAsia" w:ascii="仿宋_GB2312" w:eastAsia="仿宋_GB2312"/>
          <w:sz w:val="28"/>
          <w:szCs w:val="28"/>
        </w:rPr>
        <w:t>（三）建设用地规模调整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_Toc486804474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"_Toc486804475" </w:instrText>
      </w:r>
      <w:r>
        <w:fldChar w:fldCharType="separate"/>
      </w:r>
      <w:r>
        <w:rPr>
          <w:rStyle w:val="16"/>
          <w:rFonts w:hint="eastAsia" w:ascii="仿宋_GB2312" w:eastAsia="仿宋_GB2312"/>
          <w:sz w:val="28"/>
          <w:szCs w:val="28"/>
        </w:rPr>
        <w:t>（四）城乡建设用地规模调整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_Toc486804475 \h </w:instrText>
      </w:r>
      <w:r>
        <w:rPr>
          <w:rFonts w:hint="eastAsia" w:ascii="仿宋_GB2312" w:eastAsia="仿宋_GB2312"/>
          <w:sz w:val="28"/>
          <w:szCs w:val="28"/>
        </w:rPr>
        <w:fldChar w:fldCharType="separate"/>
      </w:r>
      <w:r>
        <w:rPr>
          <w:rFonts w:hint="eastAsia"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"_Toc486804476" </w:instrText>
      </w:r>
      <w:r>
        <w:fldChar w:fldCharType="separate"/>
      </w:r>
      <w:r>
        <w:rPr>
          <w:rStyle w:val="16"/>
          <w:rFonts w:hint="eastAsia" w:ascii="仿宋_GB2312" w:eastAsia="仿宋_GB2312"/>
          <w:sz w:val="28"/>
          <w:szCs w:val="28"/>
        </w:rPr>
        <w:t>（五）城镇工矿用地规模调整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_Toc486804476 \h </w:instrText>
      </w:r>
      <w:r>
        <w:rPr>
          <w:rFonts w:hint="eastAsia" w:ascii="仿宋_GB2312" w:eastAsia="仿宋_GB2312"/>
          <w:sz w:val="28"/>
          <w:szCs w:val="28"/>
        </w:rPr>
        <w:fldChar w:fldCharType="separate"/>
      </w:r>
      <w:r>
        <w:rPr>
          <w:rFonts w:hint="eastAsia"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"_Toc486804477" </w:instrText>
      </w:r>
      <w:r>
        <w:fldChar w:fldCharType="separate"/>
      </w:r>
      <w:r>
        <w:rPr>
          <w:rStyle w:val="16"/>
          <w:rFonts w:hint="eastAsia" w:ascii="仿宋_GB2312" w:eastAsia="仿宋_GB2312"/>
          <w:sz w:val="28"/>
          <w:szCs w:val="28"/>
        </w:rPr>
        <w:t>（六）新增建设用地总量</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_Toc486804477 \h </w:instrText>
      </w:r>
      <w:r>
        <w:rPr>
          <w:rFonts w:hint="eastAsia" w:ascii="仿宋_GB2312" w:eastAsia="仿宋_GB2312"/>
          <w:sz w:val="28"/>
          <w:szCs w:val="28"/>
        </w:rPr>
        <w:fldChar w:fldCharType="separate"/>
      </w:r>
      <w:r>
        <w:rPr>
          <w:rFonts w:hint="eastAsia" w:ascii="仿宋_GB2312" w:eastAsia="仿宋_GB2312"/>
          <w:sz w:val="28"/>
          <w:szCs w:val="28"/>
        </w:rPr>
        <w:t>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"_Toc486804478" </w:instrText>
      </w:r>
      <w:r>
        <w:fldChar w:fldCharType="separate"/>
      </w:r>
      <w:r>
        <w:rPr>
          <w:rStyle w:val="16"/>
          <w:rFonts w:hint="eastAsia" w:ascii="仿宋_GB2312" w:eastAsia="仿宋_GB2312"/>
          <w:sz w:val="28"/>
          <w:szCs w:val="28"/>
        </w:rPr>
        <w:t>（七）新增建设用地占用耕地指标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_Toc486804478 \h </w:instrText>
      </w:r>
      <w:r>
        <w:rPr>
          <w:rFonts w:hint="eastAsia" w:ascii="仿宋_GB2312" w:eastAsia="仿宋_GB2312"/>
          <w:sz w:val="28"/>
          <w:szCs w:val="28"/>
        </w:rPr>
        <w:fldChar w:fldCharType="separate"/>
      </w:r>
      <w:r>
        <w:rPr>
          <w:rFonts w:hint="eastAsia" w:ascii="仿宋_GB2312" w:eastAsia="仿宋_GB2312"/>
          <w:sz w:val="28"/>
          <w:szCs w:val="28"/>
        </w:rPr>
        <w:t>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"_Toc486804479" </w:instrText>
      </w:r>
      <w:r>
        <w:fldChar w:fldCharType="separate"/>
      </w:r>
      <w:r>
        <w:rPr>
          <w:rStyle w:val="16"/>
          <w:rFonts w:hint="eastAsia" w:ascii="仿宋_GB2312" w:eastAsia="仿宋_GB2312"/>
          <w:sz w:val="28"/>
          <w:szCs w:val="28"/>
        </w:rPr>
        <w:t>（八）新增建设用地占用农用地指标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_Toc486804479 \h </w:instrText>
      </w:r>
      <w:r>
        <w:rPr>
          <w:rFonts w:hint="eastAsia" w:ascii="仿宋_GB2312" w:eastAsia="仿宋_GB2312"/>
          <w:sz w:val="28"/>
          <w:szCs w:val="28"/>
        </w:rPr>
        <w:fldChar w:fldCharType="separate"/>
      </w:r>
      <w:r>
        <w:rPr>
          <w:rFonts w:hint="eastAsia" w:ascii="仿宋_GB2312" w:eastAsia="仿宋_GB2312"/>
          <w:sz w:val="28"/>
          <w:szCs w:val="28"/>
        </w:rPr>
        <w:t>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"_Toc486804480" </w:instrText>
      </w:r>
      <w:r>
        <w:fldChar w:fldCharType="separate"/>
      </w:r>
      <w:r>
        <w:rPr>
          <w:rStyle w:val="16"/>
          <w:rFonts w:hint="eastAsia" w:ascii="仿宋_GB2312" w:eastAsia="仿宋_GB2312"/>
          <w:sz w:val="28"/>
          <w:szCs w:val="28"/>
        </w:rPr>
        <w:t>（九）土地整治补充耕地规模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_Toc486804480 \h </w:instrText>
      </w:r>
      <w:r>
        <w:rPr>
          <w:rFonts w:hint="eastAsia" w:ascii="仿宋_GB2312" w:eastAsia="仿宋_GB2312"/>
          <w:sz w:val="28"/>
          <w:szCs w:val="28"/>
        </w:rPr>
        <w:fldChar w:fldCharType="separate"/>
      </w:r>
      <w:r>
        <w:rPr>
          <w:rFonts w:hint="eastAsia" w:ascii="仿宋_GB2312" w:eastAsia="仿宋_GB2312"/>
          <w:sz w:val="28"/>
          <w:szCs w:val="28"/>
        </w:rPr>
        <w:t>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"_Toc486804481" </w:instrText>
      </w:r>
      <w:r>
        <w:fldChar w:fldCharType="separate"/>
      </w:r>
      <w:r>
        <w:rPr>
          <w:rStyle w:val="16"/>
          <w:rFonts w:hint="eastAsia" w:ascii="仿宋_GB2312" w:eastAsia="仿宋_GB2312"/>
          <w:sz w:val="28"/>
          <w:szCs w:val="28"/>
        </w:rPr>
        <w:t>（十）人均城镇工矿用地规模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_Toc486804481 \h </w:instrText>
      </w:r>
      <w:r>
        <w:rPr>
          <w:rFonts w:hint="eastAsia" w:ascii="仿宋_GB2312" w:eastAsia="仿宋_GB2312"/>
          <w:sz w:val="28"/>
          <w:szCs w:val="28"/>
        </w:rPr>
        <w:fldChar w:fldCharType="separate"/>
      </w:r>
      <w:r>
        <w:rPr>
          <w:rFonts w:hint="eastAsia" w:ascii="仿宋_GB2312" w:eastAsia="仿宋_GB2312"/>
          <w:sz w:val="28"/>
          <w:szCs w:val="28"/>
        </w:rPr>
        <w:t>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"_Toc486804482" </w:instrText>
      </w:r>
      <w:r>
        <w:fldChar w:fldCharType="separate"/>
      </w:r>
      <w:r>
        <w:rPr>
          <w:rStyle w:val="16"/>
          <w:rFonts w:hint="eastAsia" w:ascii="仿宋_GB2312" w:eastAsia="仿宋_GB2312"/>
          <w:sz w:val="28"/>
          <w:szCs w:val="28"/>
        </w:rPr>
        <w:t>（十一）园地面积调整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_Toc486804482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"_Toc486804483" </w:instrText>
      </w:r>
      <w:r>
        <w:fldChar w:fldCharType="separate"/>
      </w:r>
      <w:r>
        <w:rPr>
          <w:rStyle w:val="16"/>
          <w:rFonts w:hint="eastAsia" w:ascii="仿宋_GB2312" w:eastAsia="仿宋_GB2312"/>
          <w:sz w:val="28"/>
          <w:szCs w:val="28"/>
        </w:rPr>
        <w:t>（十二）林地面积调整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_Toc486804483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"_Toc486804484" </w:instrText>
      </w:r>
      <w:r>
        <w:fldChar w:fldCharType="separate"/>
      </w:r>
      <w:r>
        <w:rPr>
          <w:rStyle w:val="16"/>
          <w:rFonts w:hint="eastAsia" w:ascii="仿宋_GB2312" w:eastAsia="仿宋_GB2312"/>
          <w:sz w:val="28"/>
          <w:szCs w:val="28"/>
        </w:rPr>
        <w:t>三、土地利用结构和布局调整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_Toc486804484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"_Toc486804485" </w:instrText>
      </w:r>
      <w:r>
        <w:fldChar w:fldCharType="separate"/>
      </w:r>
      <w:r>
        <w:rPr>
          <w:rStyle w:val="16"/>
          <w:rFonts w:hint="eastAsia" w:ascii="仿宋_GB2312" w:eastAsia="仿宋_GB2312"/>
          <w:sz w:val="28"/>
          <w:szCs w:val="28"/>
        </w:rPr>
        <w:t>（一）农用地结构和布局调整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_Toc486804485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"_Toc486804486" </w:instrText>
      </w:r>
      <w:r>
        <w:fldChar w:fldCharType="separate"/>
      </w:r>
      <w:r>
        <w:rPr>
          <w:rStyle w:val="16"/>
          <w:rFonts w:hint="eastAsia" w:ascii="仿宋_GB2312" w:eastAsia="仿宋_GB2312"/>
          <w:sz w:val="28"/>
          <w:szCs w:val="28"/>
        </w:rPr>
        <w:t>（二）建设用地结构和布局调整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_Toc486804486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"_Toc486804487" </w:instrText>
      </w:r>
      <w:r>
        <w:fldChar w:fldCharType="separate"/>
      </w:r>
      <w:r>
        <w:rPr>
          <w:rStyle w:val="16"/>
          <w:rFonts w:hint="eastAsia" w:ascii="仿宋_GB2312" w:eastAsia="仿宋_GB2312"/>
          <w:sz w:val="28"/>
          <w:szCs w:val="28"/>
        </w:rPr>
        <w:t>（三）其他用地结构和布局调整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_Toc486804487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"_Toc486804488" </w:instrText>
      </w:r>
      <w:r>
        <w:fldChar w:fldCharType="separate"/>
      </w:r>
      <w:r>
        <w:rPr>
          <w:rStyle w:val="16"/>
          <w:rFonts w:hint="eastAsia" w:ascii="仿宋_GB2312" w:eastAsia="仿宋_GB2312"/>
          <w:sz w:val="28"/>
          <w:szCs w:val="28"/>
        </w:rPr>
        <w:t>四、耕地和基本农田保护规划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_Toc486804488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"_Toc486804489" </w:instrText>
      </w:r>
      <w:r>
        <w:fldChar w:fldCharType="separate"/>
      </w:r>
      <w:r>
        <w:rPr>
          <w:rStyle w:val="16"/>
          <w:rFonts w:hint="eastAsia" w:ascii="仿宋_GB2312" w:eastAsia="仿宋_GB2312"/>
          <w:sz w:val="28"/>
          <w:szCs w:val="28"/>
        </w:rPr>
        <w:t>（一）耕地和基本农田保护目标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_Toc486804489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"_Toc486804490" </w:instrText>
      </w:r>
      <w:r>
        <w:fldChar w:fldCharType="separate"/>
      </w:r>
      <w:r>
        <w:rPr>
          <w:rStyle w:val="16"/>
          <w:rFonts w:hint="eastAsia" w:ascii="仿宋_GB2312" w:eastAsia="仿宋_GB2312"/>
          <w:sz w:val="28"/>
          <w:szCs w:val="28"/>
        </w:rPr>
        <w:t>（二）土地综合整治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_Toc486804490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"_Toc486804491" </w:instrText>
      </w:r>
      <w:r>
        <w:fldChar w:fldCharType="separate"/>
      </w:r>
      <w:r>
        <w:rPr>
          <w:rStyle w:val="16"/>
          <w:rFonts w:hint="eastAsia" w:ascii="仿宋_GB2312" w:eastAsia="仿宋_GB2312"/>
          <w:sz w:val="28"/>
          <w:szCs w:val="28"/>
        </w:rPr>
        <w:t>五、建设用地规划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_Toc486804491 \h </w:instrText>
      </w:r>
      <w:r>
        <w:rPr>
          <w:rFonts w:hint="eastAsia" w:ascii="仿宋_GB2312" w:eastAsia="仿宋_GB2312"/>
          <w:sz w:val="28"/>
          <w:szCs w:val="28"/>
        </w:rPr>
        <w:fldChar w:fldCharType="separate"/>
      </w:r>
      <w:r>
        <w:rPr>
          <w:rFonts w:hint="eastAsia" w:ascii="仿宋_GB2312" w:eastAsia="仿宋_GB2312"/>
          <w:sz w:val="28"/>
          <w:szCs w:val="28"/>
        </w:rPr>
        <w:t>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"_Toc486804492" </w:instrText>
      </w:r>
      <w:r>
        <w:fldChar w:fldCharType="separate"/>
      </w:r>
      <w:r>
        <w:rPr>
          <w:rStyle w:val="16"/>
          <w:rFonts w:hint="eastAsia" w:ascii="仿宋_GB2312" w:eastAsia="仿宋_GB2312"/>
          <w:sz w:val="28"/>
          <w:szCs w:val="28"/>
        </w:rPr>
        <w:t>（一）城镇和农村居民点用地控制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_Toc486804492 \h </w:instrText>
      </w:r>
      <w:r>
        <w:rPr>
          <w:rFonts w:hint="eastAsia" w:ascii="仿宋_GB2312" w:eastAsia="仿宋_GB2312"/>
          <w:sz w:val="28"/>
          <w:szCs w:val="28"/>
        </w:rPr>
        <w:fldChar w:fldCharType="separate"/>
      </w:r>
      <w:r>
        <w:rPr>
          <w:rFonts w:hint="eastAsia" w:ascii="仿宋_GB2312" w:eastAsia="仿宋_GB2312"/>
          <w:sz w:val="28"/>
          <w:szCs w:val="28"/>
        </w:rPr>
        <w:t>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"_Toc486804493" </w:instrText>
      </w:r>
      <w:r>
        <w:fldChar w:fldCharType="separate"/>
      </w:r>
      <w:r>
        <w:rPr>
          <w:rStyle w:val="16"/>
          <w:rFonts w:hint="eastAsia" w:ascii="仿宋_GB2312" w:eastAsia="仿宋_GB2312"/>
          <w:sz w:val="28"/>
          <w:szCs w:val="28"/>
        </w:rPr>
        <w:t>（二）重点建设项目用地安排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_Toc486804493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"_Toc486804494" </w:instrText>
      </w:r>
      <w:r>
        <w:fldChar w:fldCharType="separate"/>
      </w:r>
      <w:r>
        <w:rPr>
          <w:rStyle w:val="16"/>
          <w:rFonts w:hint="eastAsia" w:ascii="仿宋_GB2312" w:eastAsia="仿宋_GB2312"/>
          <w:sz w:val="28"/>
          <w:szCs w:val="28"/>
        </w:rPr>
        <w:t>（三）建设用地空间管制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_Toc486804494 \h </w:instrText>
      </w:r>
      <w:r>
        <w:rPr>
          <w:rFonts w:hint="eastAsia" w:ascii="仿宋_GB2312" w:eastAsia="仿宋_GB2312"/>
          <w:sz w:val="28"/>
          <w:szCs w:val="28"/>
        </w:rPr>
        <w:fldChar w:fldCharType="separate"/>
      </w:r>
      <w:r>
        <w:rPr>
          <w:rFonts w:hint="eastAsia" w:ascii="仿宋_GB2312" w:eastAsia="仿宋_GB2312"/>
          <w:sz w:val="28"/>
          <w:szCs w:val="28"/>
        </w:rPr>
        <w:t>17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"_Toc486804495" </w:instrText>
      </w:r>
      <w:r>
        <w:fldChar w:fldCharType="separate"/>
      </w:r>
      <w:r>
        <w:rPr>
          <w:rStyle w:val="16"/>
          <w:rFonts w:hint="eastAsia" w:ascii="仿宋_GB2312" w:eastAsia="仿宋_GB2312"/>
          <w:sz w:val="28"/>
          <w:szCs w:val="28"/>
        </w:rPr>
        <w:t>六、用途分区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_Toc486804495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"_Toc486804496" </w:instrText>
      </w:r>
      <w:r>
        <w:fldChar w:fldCharType="separate"/>
      </w:r>
      <w:r>
        <w:rPr>
          <w:rStyle w:val="16"/>
          <w:rFonts w:hint="eastAsia" w:ascii="仿宋_GB2312" w:eastAsia="仿宋_GB2312"/>
          <w:sz w:val="28"/>
          <w:szCs w:val="28"/>
        </w:rPr>
        <w:t>（一）基本农田保护区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_Toc486804496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"_Toc486804497" </w:instrText>
      </w:r>
      <w:r>
        <w:fldChar w:fldCharType="separate"/>
      </w:r>
      <w:r>
        <w:rPr>
          <w:rStyle w:val="16"/>
          <w:rFonts w:hint="eastAsia" w:ascii="仿宋_GB2312" w:eastAsia="仿宋_GB2312"/>
          <w:sz w:val="28"/>
          <w:szCs w:val="28"/>
        </w:rPr>
        <w:t>（二）一般农地区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_Toc486804497 \h </w:instrText>
      </w:r>
      <w:r>
        <w:rPr>
          <w:rFonts w:hint="eastAsia" w:ascii="仿宋_GB2312" w:eastAsia="仿宋_GB2312"/>
          <w:sz w:val="28"/>
          <w:szCs w:val="28"/>
        </w:rPr>
        <w:fldChar w:fldCharType="separate"/>
      </w:r>
      <w:r>
        <w:rPr>
          <w:rFonts w:hint="eastAsia" w:ascii="仿宋_GB2312" w:eastAsia="仿宋_GB2312"/>
          <w:sz w:val="28"/>
          <w:szCs w:val="28"/>
        </w:rPr>
        <w:t>22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"_Toc486804498" </w:instrText>
      </w:r>
      <w:r>
        <w:fldChar w:fldCharType="separate"/>
      </w:r>
      <w:r>
        <w:rPr>
          <w:rStyle w:val="16"/>
          <w:rFonts w:hint="eastAsia" w:ascii="仿宋_GB2312" w:eastAsia="仿宋_GB2312"/>
          <w:sz w:val="28"/>
          <w:szCs w:val="28"/>
        </w:rPr>
        <w:t>（三）城镇建设用地区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_Toc486804498 \h </w:instrText>
      </w:r>
      <w:r>
        <w:rPr>
          <w:rFonts w:hint="eastAsia" w:ascii="仿宋_GB2312" w:eastAsia="仿宋_GB2312"/>
          <w:sz w:val="28"/>
          <w:szCs w:val="28"/>
        </w:rPr>
        <w:fldChar w:fldCharType="separate"/>
      </w:r>
      <w:r>
        <w:rPr>
          <w:rFonts w:hint="eastAsia" w:ascii="仿宋_GB2312" w:eastAsia="仿宋_GB2312"/>
          <w:sz w:val="28"/>
          <w:szCs w:val="28"/>
        </w:rPr>
        <w:t>22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"_Toc486804499" </w:instrText>
      </w:r>
      <w:r>
        <w:fldChar w:fldCharType="separate"/>
      </w:r>
      <w:r>
        <w:rPr>
          <w:rStyle w:val="16"/>
          <w:rFonts w:hint="eastAsia" w:ascii="仿宋_GB2312" w:eastAsia="仿宋_GB2312"/>
          <w:sz w:val="28"/>
          <w:szCs w:val="28"/>
        </w:rPr>
        <w:t>（四）村镇建设用地区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_Toc486804499 \h </w:instrText>
      </w:r>
      <w:r>
        <w:rPr>
          <w:rFonts w:hint="eastAsia" w:ascii="仿宋_GB2312" w:eastAsia="仿宋_GB2312"/>
          <w:sz w:val="28"/>
          <w:szCs w:val="28"/>
        </w:rPr>
        <w:fldChar w:fldCharType="separate"/>
      </w:r>
      <w:r>
        <w:rPr>
          <w:rFonts w:hint="eastAsia" w:ascii="仿宋_GB2312" w:eastAsia="仿宋_GB2312"/>
          <w:sz w:val="28"/>
          <w:szCs w:val="28"/>
        </w:rPr>
        <w:t>23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"_Toc486804500" </w:instrText>
      </w:r>
      <w:r>
        <w:fldChar w:fldCharType="separate"/>
      </w:r>
      <w:r>
        <w:rPr>
          <w:rStyle w:val="16"/>
          <w:rFonts w:hint="eastAsia" w:ascii="仿宋_GB2312" w:eastAsia="仿宋_GB2312"/>
          <w:sz w:val="28"/>
          <w:szCs w:val="28"/>
        </w:rPr>
        <w:t>（五）独立工矿用地区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_Toc486804500 \h </w:instrText>
      </w:r>
      <w:r>
        <w:rPr>
          <w:rFonts w:hint="eastAsia" w:ascii="仿宋_GB2312" w:eastAsia="仿宋_GB2312"/>
          <w:sz w:val="28"/>
          <w:szCs w:val="28"/>
        </w:rPr>
        <w:fldChar w:fldCharType="separate"/>
      </w:r>
      <w:r>
        <w:rPr>
          <w:rFonts w:hint="eastAsia" w:ascii="仿宋_GB2312" w:eastAsia="仿宋_GB2312"/>
          <w:sz w:val="28"/>
          <w:szCs w:val="28"/>
        </w:rPr>
        <w:t>24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"_Toc486804501" </w:instrText>
      </w:r>
      <w:r>
        <w:fldChar w:fldCharType="separate"/>
      </w:r>
      <w:r>
        <w:rPr>
          <w:rStyle w:val="16"/>
          <w:rFonts w:hint="eastAsia" w:ascii="仿宋_GB2312" w:eastAsia="仿宋_GB2312"/>
          <w:sz w:val="28"/>
          <w:szCs w:val="28"/>
        </w:rPr>
        <w:t>（六）林业用地区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_Toc486804501 \h </w:instrText>
      </w:r>
      <w:r>
        <w:rPr>
          <w:rFonts w:hint="eastAsia" w:ascii="仿宋_GB2312" w:eastAsia="仿宋_GB2312"/>
          <w:sz w:val="28"/>
          <w:szCs w:val="28"/>
        </w:rPr>
        <w:fldChar w:fldCharType="separate"/>
      </w:r>
      <w:r>
        <w:rPr>
          <w:rFonts w:hint="eastAsia" w:ascii="仿宋_GB2312" w:eastAsia="仿宋_GB2312"/>
          <w:sz w:val="28"/>
          <w:szCs w:val="28"/>
        </w:rPr>
        <w:t>24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"_Toc486804502" </w:instrText>
      </w:r>
      <w:r>
        <w:fldChar w:fldCharType="separate"/>
      </w:r>
      <w:r>
        <w:rPr>
          <w:rStyle w:val="16"/>
          <w:rFonts w:hint="eastAsia" w:ascii="仿宋_GB2312" w:eastAsia="仿宋_GB2312"/>
          <w:sz w:val="28"/>
          <w:szCs w:val="28"/>
        </w:rPr>
        <w:t>（七）其他用地区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_Toc486804502 \h </w:instrText>
      </w:r>
      <w:r>
        <w:rPr>
          <w:rFonts w:hint="eastAsia" w:ascii="仿宋_GB2312" w:eastAsia="仿宋_GB2312"/>
          <w:sz w:val="28"/>
          <w:szCs w:val="28"/>
        </w:rPr>
        <w:fldChar w:fldCharType="separate"/>
      </w:r>
      <w:r>
        <w:rPr>
          <w:rFonts w:hint="eastAsia" w:ascii="仿宋_GB2312" w:eastAsia="仿宋_GB2312"/>
          <w:sz w:val="28"/>
          <w:szCs w:val="28"/>
        </w:rPr>
        <w:t>25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"_Toc486804503" </w:instrText>
      </w:r>
      <w:r>
        <w:fldChar w:fldCharType="separate"/>
      </w:r>
      <w:r>
        <w:rPr>
          <w:rStyle w:val="16"/>
          <w:rFonts w:hint="eastAsia" w:ascii="仿宋_GB2312" w:eastAsia="仿宋_GB2312"/>
          <w:sz w:val="28"/>
          <w:szCs w:val="28"/>
        </w:rPr>
        <w:t>七、生态保护用地规划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_Toc486804503 \h </w:instrText>
      </w:r>
      <w:r>
        <w:rPr>
          <w:rFonts w:hint="eastAsia" w:ascii="仿宋_GB2312" w:eastAsia="仿宋_GB2312"/>
          <w:sz w:val="28"/>
          <w:szCs w:val="28"/>
        </w:rPr>
        <w:fldChar w:fldCharType="separate"/>
      </w:r>
      <w:r>
        <w:rPr>
          <w:rFonts w:hint="eastAsia" w:ascii="仿宋_GB2312" w:eastAsia="仿宋_GB2312"/>
          <w:sz w:val="28"/>
          <w:szCs w:val="28"/>
        </w:rPr>
        <w:t>26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"_Toc486804504" </w:instrText>
      </w:r>
      <w:r>
        <w:fldChar w:fldCharType="separate"/>
      </w:r>
      <w:r>
        <w:rPr>
          <w:rStyle w:val="16"/>
          <w:rFonts w:hint="eastAsia" w:ascii="仿宋_GB2312" w:eastAsia="仿宋_GB2312"/>
          <w:sz w:val="28"/>
          <w:szCs w:val="28"/>
        </w:rPr>
        <w:t>（一）构建良好的农业生态环境基础</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_Toc486804504 \h </w:instrText>
      </w:r>
      <w:r>
        <w:rPr>
          <w:rFonts w:hint="eastAsia" w:ascii="仿宋_GB2312" w:eastAsia="仿宋_GB2312"/>
          <w:sz w:val="28"/>
          <w:szCs w:val="28"/>
        </w:rPr>
        <w:fldChar w:fldCharType="separate"/>
      </w:r>
      <w:r>
        <w:rPr>
          <w:rFonts w:hint="eastAsia" w:ascii="仿宋_GB2312" w:eastAsia="仿宋_GB2312"/>
          <w:sz w:val="28"/>
          <w:szCs w:val="28"/>
        </w:rPr>
        <w:t>26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"_Toc486804505" </w:instrText>
      </w:r>
      <w:r>
        <w:fldChar w:fldCharType="separate"/>
      </w:r>
      <w:r>
        <w:rPr>
          <w:rStyle w:val="16"/>
          <w:rFonts w:hint="eastAsia" w:ascii="仿宋_GB2312" w:eastAsia="仿宋_GB2312"/>
          <w:sz w:val="28"/>
          <w:szCs w:val="28"/>
        </w:rPr>
        <w:t>（二）加强城镇生态环境建设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_Toc486804505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"_Toc486804506" </w:instrText>
      </w:r>
      <w:r>
        <w:fldChar w:fldCharType="separate"/>
      </w:r>
      <w:r>
        <w:rPr>
          <w:rStyle w:val="16"/>
          <w:rFonts w:hint="eastAsia" w:ascii="仿宋_GB2312" w:eastAsia="仿宋_GB2312"/>
          <w:sz w:val="28"/>
          <w:szCs w:val="28"/>
        </w:rPr>
        <w:t>（三）加强农村地区生态环境建设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_Toc486804506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"_Toc486804507" </w:instrText>
      </w:r>
      <w:r>
        <w:fldChar w:fldCharType="separate"/>
      </w:r>
      <w:r>
        <w:rPr>
          <w:rStyle w:val="16"/>
          <w:rFonts w:hint="eastAsia" w:ascii="仿宋_GB2312" w:hAnsi="宋体" w:eastAsia="仿宋_GB2312"/>
          <w:sz w:val="28"/>
          <w:szCs w:val="28"/>
        </w:rPr>
        <w:t>附表一  竹根镇土地利用主要调控指标表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_Toc486804507 \h </w:instrText>
      </w:r>
      <w:r>
        <w:rPr>
          <w:rFonts w:hint="eastAsia" w:ascii="仿宋_GB2312" w:eastAsia="仿宋_GB2312"/>
          <w:sz w:val="28"/>
          <w:szCs w:val="28"/>
        </w:rPr>
        <w:fldChar w:fldCharType="separate"/>
      </w:r>
      <w:r>
        <w:rPr>
          <w:rFonts w:hint="eastAsia"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"_Toc486804508" </w:instrText>
      </w:r>
      <w:r>
        <w:fldChar w:fldCharType="separate"/>
      </w:r>
      <w:r>
        <w:rPr>
          <w:rStyle w:val="16"/>
          <w:rFonts w:hint="eastAsia" w:ascii="仿宋_GB2312" w:hAnsi="宋体" w:eastAsia="仿宋_GB2312"/>
          <w:sz w:val="28"/>
          <w:szCs w:val="28"/>
        </w:rPr>
        <w:t>附表二  竹根镇土地利用结构调整表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_Toc486804508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"_Toc486804509" </w:instrText>
      </w:r>
      <w:r>
        <w:fldChar w:fldCharType="separate"/>
      </w:r>
      <w:r>
        <w:rPr>
          <w:rStyle w:val="16"/>
          <w:rFonts w:hint="eastAsia" w:ascii="仿宋_GB2312" w:hAnsi="宋体" w:eastAsia="仿宋_GB2312"/>
          <w:sz w:val="28"/>
          <w:szCs w:val="28"/>
        </w:rPr>
        <w:t>附表三  竹根镇各乡村土地用途分区面积表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_Toc486804509 \h </w:instrText>
      </w:r>
      <w:r>
        <w:rPr>
          <w:rFonts w:hint="eastAsia" w:ascii="仿宋_GB2312" w:eastAsia="仿宋_GB2312"/>
          <w:sz w:val="28"/>
          <w:szCs w:val="28"/>
        </w:rPr>
        <w:fldChar w:fldCharType="separate"/>
      </w:r>
      <w:r>
        <w:rPr>
          <w:rFonts w:hint="eastAsia" w:ascii="仿宋_GB2312" w:eastAsia="仿宋_GB2312"/>
          <w:sz w:val="28"/>
          <w:szCs w:val="28"/>
        </w:rPr>
        <w:t>31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"_Toc486804510" </w:instrText>
      </w:r>
      <w:r>
        <w:fldChar w:fldCharType="separate"/>
      </w:r>
      <w:r>
        <w:rPr>
          <w:rStyle w:val="16"/>
          <w:rFonts w:hint="eastAsia" w:ascii="仿宋_GB2312" w:hAnsi="宋体" w:eastAsia="仿宋_GB2312"/>
          <w:sz w:val="28"/>
          <w:szCs w:val="28"/>
        </w:rPr>
        <w:t>附表四   竹根镇耕地保有量、基本农田情况表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_Toc486804510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"_Toc486804511" </w:instrText>
      </w:r>
      <w:r>
        <w:fldChar w:fldCharType="separate"/>
      </w:r>
      <w:r>
        <w:rPr>
          <w:rStyle w:val="16"/>
          <w:rFonts w:hint="eastAsia" w:ascii="仿宋_GB2312" w:hAnsi="宋体" w:eastAsia="仿宋_GB2312"/>
          <w:sz w:val="28"/>
          <w:szCs w:val="28"/>
        </w:rPr>
        <w:t>附表五  竹根镇省、市、县重点建设项目规划表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_Toc486804511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Theme="minorHAnsi" w:hAnsiTheme="minorHAnsi" w:eastAsiaTheme="minorEastAsia" w:cstheme="minorBidi"/>
        </w:rPr>
      </w:pPr>
      <w:r>
        <w:fldChar w:fldCharType="begin"/>
      </w:r>
      <w:r>
        <w:instrText xml:space="preserve"> HYPERLINK \l "_Toc486804512" </w:instrText>
      </w:r>
      <w:r>
        <w:fldChar w:fldCharType="separate"/>
      </w:r>
      <w:r>
        <w:rPr>
          <w:rStyle w:val="16"/>
          <w:rFonts w:hint="eastAsia" w:ascii="仿宋_GB2312" w:hAnsi="宋体" w:eastAsia="仿宋_GB2312"/>
          <w:sz w:val="28"/>
          <w:szCs w:val="28"/>
        </w:rPr>
        <w:t>附表六  竹根镇各乡村规划控制指标表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_Toc486804512 \h </w:instrText>
      </w:r>
      <w:r>
        <w:rPr>
          <w:rFonts w:hint="eastAsia" w:ascii="仿宋_GB2312" w:eastAsia="仿宋_GB2312"/>
          <w:sz w:val="28"/>
          <w:szCs w:val="28"/>
        </w:rPr>
        <w:fldChar w:fldCharType="separate"/>
      </w:r>
      <w:r>
        <w:rPr>
          <w:rFonts w:hint="eastAsia" w:ascii="仿宋_GB2312" w:eastAsia="仿宋_GB2312"/>
          <w:sz w:val="28"/>
          <w:szCs w:val="28"/>
        </w:rPr>
        <w:t>36</w:t>
      </w:r>
      <w:r>
        <w:rPr>
          <w:rFonts w:hint="eastAsia" w:ascii="仿宋_GB2312" w:eastAsia="仿宋_GB2312"/>
          <w:sz w:val="28"/>
          <w:szCs w:val="28"/>
        </w:rPr>
        <w:fldChar w:fldCharType="end"/>
      </w:r>
      <w:r>
        <w:rPr>
          <w:rFonts w:hint="eastAsia" w:ascii="仿宋_GB2312" w:eastAsia="仿宋_GB2312"/>
          <w:sz w:val="28"/>
          <w:szCs w:val="28"/>
        </w:rPr>
        <w:fldChar w:fldCharType="end"/>
      </w:r>
    </w:p>
    <w:p>
      <w:pPr>
        <w:spacing w:line="500" w:lineRule="exact"/>
        <w:jc w:val="center"/>
        <w:rPr>
          <w:rFonts w:ascii="仿宋_GB2312" w:hAnsi="黑体" w:eastAsia="仿宋_GB2312"/>
          <w:sz w:val="28"/>
          <w:szCs w:val="28"/>
        </w:rPr>
      </w:pPr>
      <w:r>
        <w:rPr>
          <w:rFonts w:hint="eastAsia" w:ascii="仿宋_GB2312" w:hAnsi="宋体" w:eastAsia="仿宋_GB2312"/>
          <w:sz w:val="28"/>
          <w:szCs w:val="28"/>
        </w:rPr>
        <w:fldChar w:fldCharType="end"/>
      </w:r>
    </w:p>
    <w:p>
      <w:pPr>
        <w:spacing w:line="500" w:lineRule="exact"/>
        <w:jc w:val="center"/>
        <w:rPr>
          <w:rFonts w:ascii="仿宋_GB2312" w:hAnsi="黑体" w:eastAsia="仿宋_GB2312"/>
          <w:sz w:val="28"/>
          <w:szCs w:val="28"/>
        </w:rPr>
      </w:pPr>
    </w:p>
    <w:p>
      <w:pPr>
        <w:widowControl/>
        <w:jc w:val="left"/>
        <w:rPr>
          <w:rFonts w:ascii="仿宋_GB2312" w:hAnsi="宋体"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spacing w:line="500" w:lineRule="exact"/>
        <w:rPr>
          <w:rFonts w:ascii="仿宋_GB2312" w:hAnsi="宋体" w:eastAsia="仿宋_GB2312"/>
          <w:sz w:val="28"/>
          <w:szCs w:val="28"/>
        </w:rPr>
      </w:pPr>
    </w:p>
    <w:p>
      <w:pPr>
        <w:pStyle w:val="2"/>
      </w:pPr>
      <w:bookmarkStart w:id="0" w:name="_Toc486804467"/>
      <w:r>
        <w:rPr>
          <w:rFonts w:hint="eastAsia"/>
        </w:rPr>
        <w:t>一、2014年土地利用现状</w:t>
      </w:r>
      <w:bookmarkEnd w:id="0"/>
    </w:p>
    <w:p>
      <w:pPr>
        <w:pStyle w:val="3"/>
      </w:pPr>
      <w:bookmarkStart w:id="1" w:name="_Toc486804468"/>
      <w:r>
        <w:rPr>
          <w:rFonts w:hint="eastAsia"/>
        </w:rPr>
        <w:t>（一）土地利用现状及分布</w:t>
      </w:r>
      <w:bookmarkEnd w:id="1"/>
    </w:p>
    <w:p>
      <w:pPr>
        <w:ind w:firstLine="560" w:firstLineChars="200"/>
        <w:rPr>
          <w:rFonts w:ascii="仿宋_GB2312" w:hAnsi="等线" w:eastAsia="仿宋_GB2312" w:cs="宋体"/>
          <w:color w:val="000000"/>
          <w:kern w:val="0"/>
          <w:sz w:val="22"/>
        </w:rPr>
      </w:pPr>
      <w:r>
        <w:rPr>
          <w:rFonts w:hint="eastAsia" w:ascii="仿宋_GB2312" w:hAnsi="宋体" w:eastAsia="仿宋_GB2312"/>
          <w:sz w:val="28"/>
          <w:szCs w:val="28"/>
        </w:rPr>
        <w:t>根据五通桥2014年土地利用现状变更调查结果，2014年竹根镇土地总面积</w:t>
      </w:r>
      <w:r>
        <w:rPr>
          <w:rFonts w:ascii="仿宋_GB2312" w:hAnsi="宋体" w:eastAsia="仿宋_GB2312"/>
          <w:sz w:val="28"/>
          <w:szCs w:val="28"/>
        </w:rPr>
        <w:t>1679.8</w:t>
      </w:r>
      <w:r>
        <w:rPr>
          <w:rFonts w:hint="eastAsia" w:ascii="仿宋_GB2312" w:hAnsi="宋体" w:eastAsia="仿宋_GB2312"/>
          <w:sz w:val="28"/>
          <w:szCs w:val="28"/>
        </w:rPr>
        <w:t>公顷。其中农用地面积</w:t>
      </w:r>
      <w:r>
        <w:rPr>
          <w:rFonts w:ascii="仿宋_GB2312" w:hAnsi="宋体" w:eastAsia="仿宋_GB2312"/>
          <w:sz w:val="28"/>
          <w:szCs w:val="28"/>
        </w:rPr>
        <w:t>293.37</w:t>
      </w:r>
      <w:r>
        <w:rPr>
          <w:rFonts w:hint="eastAsia" w:ascii="仿宋_GB2312" w:hAnsi="宋体" w:eastAsia="仿宋_GB2312"/>
          <w:sz w:val="28"/>
          <w:szCs w:val="28"/>
        </w:rPr>
        <w:t>公顷，占土地总面积的</w:t>
      </w:r>
      <w:r>
        <w:rPr>
          <w:rFonts w:ascii="仿宋_GB2312" w:hAnsi="宋体" w:eastAsia="仿宋_GB2312"/>
          <w:sz w:val="28"/>
          <w:szCs w:val="28"/>
        </w:rPr>
        <w:t>17.46%</w:t>
      </w:r>
      <w:r>
        <w:rPr>
          <w:rFonts w:hint="eastAsia" w:ascii="仿宋_GB2312" w:hAnsi="宋体" w:eastAsia="仿宋_GB2312"/>
          <w:sz w:val="28"/>
          <w:szCs w:val="28"/>
        </w:rPr>
        <w:t>；建设用地面积</w:t>
      </w:r>
      <w:r>
        <w:rPr>
          <w:rFonts w:ascii="仿宋_GB2312" w:hAnsi="宋体" w:eastAsia="仿宋_GB2312"/>
          <w:sz w:val="28"/>
          <w:szCs w:val="28"/>
        </w:rPr>
        <w:t>916.97</w:t>
      </w:r>
      <w:r>
        <w:rPr>
          <w:rFonts w:hint="eastAsia" w:ascii="仿宋_GB2312" w:hAnsi="宋体" w:eastAsia="仿宋_GB2312"/>
          <w:sz w:val="28"/>
          <w:szCs w:val="28"/>
        </w:rPr>
        <w:t>公顷，占土地总面积的</w:t>
      </w:r>
      <w:r>
        <w:rPr>
          <w:rFonts w:ascii="仿宋_GB2312" w:hAnsi="宋体" w:eastAsia="仿宋_GB2312"/>
          <w:sz w:val="28"/>
          <w:szCs w:val="28"/>
        </w:rPr>
        <w:t>54.59%</w:t>
      </w:r>
      <w:r>
        <w:rPr>
          <w:rFonts w:hint="eastAsia" w:ascii="仿宋_GB2312" w:hAnsi="宋体" w:eastAsia="仿宋_GB2312"/>
          <w:sz w:val="28"/>
          <w:szCs w:val="28"/>
        </w:rPr>
        <w:t>；其他土地面积</w:t>
      </w:r>
      <w:r>
        <w:rPr>
          <w:rFonts w:ascii="仿宋_GB2312" w:hAnsi="宋体" w:eastAsia="仿宋_GB2312"/>
          <w:sz w:val="28"/>
          <w:szCs w:val="28"/>
        </w:rPr>
        <w:t>469.46</w:t>
      </w:r>
      <w:r>
        <w:rPr>
          <w:rFonts w:hint="eastAsia" w:ascii="仿宋_GB2312" w:hAnsi="宋体" w:eastAsia="仿宋_GB2312"/>
          <w:sz w:val="28"/>
          <w:szCs w:val="28"/>
        </w:rPr>
        <w:t>公顷，占土地总面积的</w:t>
      </w:r>
      <w:r>
        <w:rPr>
          <w:rFonts w:ascii="仿宋_GB2312" w:hAnsi="宋体" w:eastAsia="仿宋_GB2312"/>
          <w:sz w:val="28"/>
          <w:szCs w:val="28"/>
        </w:rPr>
        <w:t>27.95%</w:t>
      </w:r>
      <w:r>
        <w:rPr>
          <w:rFonts w:hint="eastAsia" w:ascii="仿宋_GB2312" w:hAnsi="宋体" w:eastAsia="仿宋_GB2312"/>
          <w:sz w:val="28"/>
          <w:szCs w:val="28"/>
        </w:rPr>
        <w:t>。</w:t>
      </w:r>
    </w:p>
    <w:p>
      <w:pPr>
        <w:pStyle w:val="4"/>
        <w:ind w:firstLine="562"/>
      </w:pPr>
      <w:r>
        <w:rPr>
          <w:rFonts w:hint="eastAsia"/>
        </w:rPr>
        <w:t>1．农用地</w:t>
      </w:r>
    </w:p>
    <w:p>
      <w:pPr>
        <w:spacing w:line="50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（1）耕地</w:t>
      </w:r>
    </w:p>
    <w:p>
      <w:pPr>
        <w:ind w:left="2" w:firstLine="560" w:firstLineChars="200"/>
        <w:rPr>
          <w:rFonts w:ascii="仿宋_GB2312" w:hAnsi="宋体" w:eastAsia="仿宋_GB2312"/>
          <w:sz w:val="28"/>
          <w:szCs w:val="28"/>
        </w:rPr>
      </w:pPr>
      <w:r>
        <w:rPr>
          <w:rFonts w:hint="eastAsia" w:ascii="仿宋_GB2312" w:hAnsi="宋体" w:eastAsia="仿宋_GB2312"/>
          <w:sz w:val="28"/>
          <w:szCs w:val="28"/>
        </w:rPr>
        <w:t>全镇耕地面积为</w:t>
      </w:r>
      <w:r>
        <w:rPr>
          <w:rFonts w:ascii="仿宋_GB2312" w:hAnsi="宋体" w:eastAsia="仿宋_GB2312"/>
          <w:sz w:val="28"/>
          <w:szCs w:val="28"/>
        </w:rPr>
        <w:t>235.62</w:t>
      </w:r>
      <w:r>
        <w:rPr>
          <w:rFonts w:hint="eastAsia" w:ascii="仿宋_GB2312" w:hAnsi="宋体" w:eastAsia="仿宋_GB2312"/>
          <w:sz w:val="28"/>
          <w:szCs w:val="28"/>
        </w:rPr>
        <w:t>公顷，占农用地面积的</w:t>
      </w:r>
      <w:r>
        <w:rPr>
          <w:rFonts w:ascii="仿宋_GB2312" w:hAnsi="宋体" w:eastAsia="仿宋_GB2312"/>
          <w:sz w:val="28"/>
          <w:szCs w:val="28"/>
        </w:rPr>
        <w:t>80.31%</w:t>
      </w:r>
      <w:r>
        <w:rPr>
          <w:rFonts w:hint="eastAsia" w:ascii="仿宋_GB2312" w:hAnsi="宋体" w:eastAsia="仿宋_GB2312"/>
          <w:sz w:val="28"/>
          <w:szCs w:val="28"/>
        </w:rPr>
        <w:t>；</w:t>
      </w:r>
      <w:bookmarkStart w:id="2" w:name="_Hlk486281055"/>
      <w:bookmarkStart w:id="3" w:name="_Hlk486263791"/>
      <w:r>
        <w:rPr>
          <w:rFonts w:hint="eastAsia" w:ascii="仿宋_GB2312" w:hAnsi="宋体" w:eastAsia="仿宋_GB2312"/>
          <w:sz w:val="28"/>
          <w:szCs w:val="28"/>
        </w:rPr>
        <w:t>主要分布情况为</w:t>
      </w:r>
      <w:bookmarkEnd w:id="2"/>
      <w:r>
        <w:rPr>
          <w:rFonts w:hint="eastAsia" w:ascii="仿宋_GB2312" w:hAnsi="宋体" w:eastAsia="仿宋_GB2312"/>
          <w:sz w:val="28"/>
          <w:szCs w:val="28"/>
        </w:rPr>
        <w:t>竹根镇城区</w:t>
      </w:r>
      <w:r>
        <w:rPr>
          <w:rFonts w:ascii="仿宋_GB2312" w:hAnsi="宋体" w:eastAsia="仿宋_GB2312"/>
          <w:sz w:val="28"/>
          <w:szCs w:val="28"/>
        </w:rPr>
        <w:t>26.77</w:t>
      </w:r>
      <w:r>
        <w:rPr>
          <w:rFonts w:hint="eastAsia" w:ascii="仿宋_GB2312" w:hAnsi="宋体" w:eastAsia="仿宋_GB2312"/>
          <w:sz w:val="28"/>
          <w:szCs w:val="28"/>
        </w:rPr>
        <w:t>公顷、新华村</w:t>
      </w:r>
      <w:r>
        <w:rPr>
          <w:rFonts w:ascii="仿宋_GB2312" w:hAnsi="宋体" w:eastAsia="仿宋_GB2312"/>
          <w:sz w:val="28"/>
          <w:szCs w:val="28"/>
        </w:rPr>
        <w:t>0.15</w:t>
      </w:r>
      <w:r>
        <w:rPr>
          <w:rFonts w:hint="eastAsia" w:ascii="仿宋_GB2312" w:hAnsi="宋体" w:eastAsia="仿宋_GB2312"/>
          <w:sz w:val="28"/>
          <w:szCs w:val="28"/>
        </w:rPr>
        <w:t>公顷、幸福村</w:t>
      </w:r>
      <w:r>
        <w:rPr>
          <w:rFonts w:ascii="仿宋_GB2312" w:hAnsi="宋体" w:eastAsia="仿宋_GB2312"/>
          <w:sz w:val="28"/>
          <w:szCs w:val="28"/>
        </w:rPr>
        <w:t>10.25</w:t>
      </w:r>
      <w:r>
        <w:rPr>
          <w:rFonts w:hint="eastAsia" w:ascii="仿宋_GB2312" w:hAnsi="宋体" w:eastAsia="仿宋_GB2312"/>
          <w:sz w:val="28"/>
          <w:szCs w:val="28"/>
        </w:rPr>
        <w:t>公顷、易坝村</w:t>
      </w:r>
      <w:r>
        <w:rPr>
          <w:rFonts w:ascii="仿宋_GB2312" w:hAnsi="宋体" w:eastAsia="仿宋_GB2312"/>
          <w:sz w:val="28"/>
          <w:szCs w:val="28"/>
        </w:rPr>
        <w:t>198.45</w:t>
      </w:r>
      <w:r>
        <w:rPr>
          <w:rFonts w:hint="eastAsia" w:ascii="仿宋_GB2312" w:hAnsi="宋体" w:eastAsia="仿宋_GB2312"/>
          <w:sz w:val="28"/>
          <w:szCs w:val="28"/>
        </w:rPr>
        <w:t>公顷。</w:t>
      </w:r>
    </w:p>
    <w:bookmarkEnd w:id="3"/>
    <w:p>
      <w:pPr>
        <w:ind w:firstLine="562" w:firstLineChars="200"/>
        <w:rPr>
          <w:rFonts w:ascii="仿宋_GB2312" w:hAnsi="宋体" w:eastAsia="仿宋_GB2312"/>
          <w:b/>
          <w:sz w:val="28"/>
          <w:szCs w:val="28"/>
        </w:rPr>
      </w:pPr>
      <w:r>
        <w:rPr>
          <w:rFonts w:hint="eastAsia" w:ascii="仿宋_GB2312" w:hAnsi="宋体" w:eastAsia="仿宋_GB2312"/>
          <w:b/>
          <w:sz w:val="28"/>
          <w:szCs w:val="28"/>
        </w:rPr>
        <w:t>（2）园地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全镇园地面积为</w:t>
      </w:r>
      <w:r>
        <w:rPr>
          <w:rFonts w:ascii="仿宋_GB2312" w:hAnsi="宋体" w:eastAsia="仿宋_GB2312"/>
          <w:sz w:val="28"/>
          <w:szCs w:val="28"/>
        </w:rPr>
        <w:t>15.01</w:t>
      </w:r>
      <w:r>
        <w:rPr>
          <w:rFonts w:hint="eastAsia" w:ascii="仿宋_GB2312" w:hAnsi="宋体" w:eastAsia="仿宋_GB2312"/>
          <w:sz w:val="28"/>
          <w:szCs w:val="28"/>
        </w:rPr>
        <w:t>公顷，占农用地面积的</w:t>
      </w:r>
      <w:r>
        <w:rPr>
          <w:rFonts w:ascii="仿宋_GB2312" w:hAnsi="宋体" w:eastAsia="仿宋_GB2312"/>
          <w:sz w:val="28"/>
          <w:szCs w:val="28"/>
        </w:rPr>
        <w:t>5.12%</w:t>
      </w:r>
      <w:r>
        <w:rPr>
          <w:rFonts w:hint="eastAsia" w:ascii="仿宋_GB2312" w:hAnsi="宋体" w:eastAsia="仿宋_GB2312"/>
          <w:sz w:val="28"/>
          <w:szCs w:val="28"/>
        </w:rPr>
        <w:t>；主要分布情况为竹根镇城区</w:t>
      </w:r>
      <w:r>
        <w:rPr>
          <w:rFonts w:ascii="仿宋_GB2312" w:hAnsi="宋体" w:eastAsia="仿宋_GB2312"/>
          <w:sz w:val="28"/>
          <w:szCs w:val="28"/>
        </w:rPr>
        <w:t>1.04</w:t>
      </w:r>
      <w:r>
        <w:rPr>
          <w:rFonts w:hint="eastAsia" w:ascii="仿宋_GB2312" w:hAnsi="宋体" w:eastAsia="仿宋_GB2312"/>
          <w:sz w:val="28"/>
          <w:szCs w:val="28"/>
        </w:rPr>
        <w:t>公顷、幸福村</w:t>
      </w:r>
      <w:r>
        <w:rPr>
          <w:rFonts w:ascii="仿宋_GB2312" w:hAnsi="宋体" w:eastAsia="仿宋_GB2312"/>
          <w:sz w:val="28"/>
          <w:szCs w:val="28"/>
        </w:rPr>
        <w:t>0.61</w:t>
      </w:r>
      <w:r>
        <w:rPr>
          <w:rFonts w:hint="eastAsia" w:ascii="仿宋_GB2312" w:hAnsi="宋体" w:eastAsia="仿宋_GB2312"/>
          <w:sz w:val="28"/>
          <w:szCs w:val="28"/>
        </w:rPr>
        <w:t>公顷、易坝村</w:t>
      </w:r>
      <w:r>
        <w:rPr>
          <w:rFonts w:ascii="仿宋_GB2312" w:hAnsi="宋体" w:eastAsia="仿宋_GB2312"/>
          <w:sz w:val="28"/>
          <w:szCs w:val="28"/>
        </w:rPr>
        <w:t>13.36</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全镇林地面积为</w:t>
      </w:r>
      <w:r>
        <w:rPr>
          <w:rFonts w:ascii="仿宋_GB2312" w:hAnsi="宋体" w:eastAsia="仿宋_GB2312"/>
          <w:sz w:val="28"/>
          <w:szCs w:val="28"/>
        </w:rPr>
        <w:t>28.15</w:t>
      </w:r>
      <w:r>
        <w:rPr>
          <w:rFonts w:hint="eastAsia" w:ascii="仿宋_GB2312" w:hAnsi="宋体" w:eastAsia="仿宋_GB2312"/>
          <w:sz w:val="28"/>
          <w:szCs w:val="28"/>
        </w:rPr>
        <w:t>公顷，占农用地面积的</w:t>
      </w:r>
      <w:r>
        <w:rPr>
          <w:rFonts w:ascii="仿宋_GB2312" w:hAnsi="宋体" w:eastAsia="仿宋_GB2312"/>
          <w:sz w:val="28"/>
          <w:szCs w:val="28"/>
        </w:rPr>
        <w:t>9.6%</w:t>
      </w:r>
      <w:r>
        <w:rPr>
          <w:rFonts w:hint="eastAsia" w:ascii="仿宋_GB2312" w:hAnsi="宋体" w:eastAsia="仿宋_GB2312"/>
          <w:sz w:val="28"/>
          <w:szCs w:val="28"/>
        </w:rPr>
        <w:t>；主要分布情况为竹根镇城区</w:t>
      </w:r>
      <w:r>
        <w:rPr>
          <w:rFonts w:ascii="仿宋_GB2312" w:hAnsi="宋体" w:eastAsia="仿宋_GB2312"/>
          <w:sz w:val="28"/>
          <w:szCs w:val="28"/>
        </w:rPr>
        <w:t>7.49</w:t>
      </w:r>
      <w:r>
        <w:rPr>
          <w:rFonts w:hint="eastAsia" w:ascii="仿宋_GB2312" w:hAnsi="宋体" w:eastAsia="仿宋_GB2312"/>
          <w:sz w:val="28"/>
          <w:szCs w:val="28"/>
        </w:rPr>
        <w:t>公顷、新华村</w:t>
      </w:r>
      <w:r>
        <w:rPr>
          <w:rFonts w:ascii="仿宋_GB2312" w:hAnsi="宋体" w:eastAsia="仿宋_GB2312"/>
          <w:sz w:val="28"/>
          <w:szCs w:val="28"/>
        </w:rPr>
        <w:t>0.45</w:t>
      </w:r>
      <w:r>
        <w:rPr>
          <w:rFonts w:hint="eastAsia" w:ascii="仿宋_GB2312" w:hAnsi="宋体" w:eastAsia="仿宋_GB2312"/>
          <w:sz w:val="28"/>
          <w:szCs w:val="28"/>
        </w:rPr>
        <w:t>公顷、幸福村</w:t>
      </w:r>
      <w:r>
        <w:rPr>
          <w:rFonts w:ascii="仿宋_GB2312" w:hAnsi="宋体" w:eastAsia="仿宋_GB2312"/>
          <w:sz w:val="28"/>
          <w:szCs w:val="28"/>
        </w:rPr>
        <w:t>4.59</w:t>
      </w:r>
      <w:r>
        <w:rPr>
          <w:rFonts w:hint="eastAsia" w:ascii="仿宋_GB2312" w:hAnsi="宋体" w:eastAsia="仿宋_GB2312"/>
          <w:sz w:val="28"/>
          <w:szCs w:val="28"/>
        </w:rPr>
        <w:t>公顷、易坝村</w:t>
      </w:r>
      <w:r>
        <w:rPr>
          <w:rFonts w:ascii="仿宋_GB2312" w:hAnsi="宋体" w:eastAsia="仿宋_GB2312"/>
          <w:sz w:val="28"/>
          <w:szCs w:val="28"/>
        </w:rPr>
        <w:t>15.62</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（4）其他农用地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全镇其他农用地面积为</w:t>
      </w:r>
      <w:r>
        <w:rPr>
          <w:rFonts w:ascii="仿宋_GB2312" w:hAnsi="宋体" w:eastAsia="仿宋_GB2312"/>
          <w:sz w:val="28"/>
          <w:szCs w:val="28"/>
        </w:rPr>
        <w:t>14.59</w:t>
      </w:r>
      <w:r>
        <w:rPr>
          <w:rFonts w:hint="eastAsia" w:ascii="仿宋_GB2312" w:hAnsi="宋体" w:eastAsia="仿宋_GB2312"/>
          <w:sz w:val="28"/>
          <w:szCs w:val="28"/>
        </w:rPr>
        <w:t>公顷，占农用地面积的</w:t>
      </w:r>
      <w:r>
        <w:rPr>
          <w:rFonts w:ascii="仿宋_GB2312" w:hAnsi="宋体" w:eastAsia="仿宋_GB2312"/>
          <w:sz w:val="28"/>
          <w:szCs w:val="28"/>
        </w:rPr>
        <w:t>4.97%</w:t>
      </w:r>
      <w:r>
        <w:rPr>
          <w:rFonts w:hint="eastAsia" w:ascii="仿宋_GB2312" w:hAnsi="宋体" w:eastAsia="仿宋_GB2312"/>
          <w:sz w:val="28"/>
          <w:szCs w:val="28"/>
        </w:rPr>
        <w:t>；主要分布情况为竹根镇城区</w:t>
      </w:r>
      <w:r>
        <w:rPr>
          <w:rFonts w:ascii="仿宋_GB2312" w:hAnsi="宋体" w:eastAsia="仿宋_GB2312"/>
          <w:sz w:val="28"/>
          <w:szCs w:val="28"/>
        </w:rPr>
        <w:t>0.53</w:t>
      </w:r>
      <w:r>
        <w:rPr>
          <w:rFonts w:hint="eastAsia" w:ascii="仿宋_GB2312" w:hAnsi="宋体" w:eastAsia="仿宋_GB2312"/>
          <w:sz w:val="28"/>
          <w:szCs w:val="28"/>
        </w:rPr>
        <w:t>公顷、新华村</w:t>
      </w:r>
      <w:r>
        <w:rPr>
          <w:rFonts w:ascii="仿宋_GB2312" w:hAnsi="宋体" w:eastAsia="仿宋_GB2312"/>
          <w:sz w:val="28"/>
          <w:szCs w:val="28"/>
        </w:rPr>
        <w:t>0.09</w:t>
      </w:r>
      <w:r>
        <w:rPr>
          <w:rFonts w:hint="eastAsia" w:ascii="仿宋_GB2312" w:hAnsi="宋体" w:eastAsia="仿宋_GB2312"/>
          <w:sz w:val="28"/>
          <w:szCs w:val="28"/>
        </w:rPr>
        <w:t>公顷、幸福村</w:t>
      </w:r>
      <w:r>
        <w:rPr>
          <w:rFonts w:ascii="仿宋_GB2312" w:hAnsi="宋体" w:eastAsia="仿宋_GB2312"/>
          <w:sz w:val="28"/>
          <w:szCs w:val="28"/>
        </w:rPr>
        <w:t>0.33</w:t>
      </w:r>
      <w:r>
        <w:rPr>
          <w:rFonts w:hint="eastAsia" w:ascii="仿宋_GB2312" w:hAnsi="宋体" w:eastAsia="仿宋_GB2312"/>
          <w:sz w:val="28"/>
          <w:szCs w:val="28"/>
        </w:rPr>
        <w:t>公顷、易坝村</w:t>
      </w:r>
      <w:r>
        <w:rPr>
          <w:rFonts w:ascii="仿宋_GB2312" w:hAnsi="宋体" w:eastAsia="仿宋_GB2312"/>
          <w:sz w:val="28"/>
          <w:szCs w:val="28"/>
        </w:rPr>
        <w:t>13.64</w:t>
      </w:r>
      <w:r>
        <w:rPr>
          <w:rFonts w:hint="eastAsia" w:ascii="仿宋_GB2312" w:hAnsi="宋体" w:eastAsia="仿宋_GB2312"/>
          <w:sz w:val="28"/>
          <w:szCs w:val="28"/>
        </w:rPr>
        <w:t>公顷。</w:t>
      </w:r>
    </w:p>
    <w:p>
      <w:pPr>
        <w:pStyle w:val="4"/>
        <w:ind w:firstLine="562"/>
      </w:pPr>
      <w:r>
        <w:rPr>
          <w:rFonts w:hint="eastAsia"/>
        </w:rPr>
        <w:t>2．建设用地</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（1）城乡建设用地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全镇城乡建设用地面积为</w:t>
      </w:r>
      <w:r>
        <w:rPr>
          <w:rFonts w:ascii="仿宋_GB2312" w:hAnsi="宋体" w:eastAsia="仿宋_GB2312"/>
          <w:sz w:val="28"/>
          <w:szCs w:val="28"/>
        </w:rPr>
        <w:t>899.45</w:t>
      </w:r>
      <w:r>
        <w:rPr>
          <w:rFonts w:hint="eastAsia" w:ascii="仿宋_GB2312" w:hAnsi="宋体" w:eastAsia="仿宋_GB2312"/>
          <w:sz w:val="28"/>
          <w:szCs w:val="28"/>
        </w:rPr>
        <w:t>公顷，占建设用地的</w:t>
      </w:r>
      <w:r>
        <w:rPr>
          <w:rFonts w:ascii="仿宋_GB2312" w:hAnsi="宋体" w:eastAsia="仿宋_GB2312"/>
          <w:sz w:val="28"/>
          <w:szCs w:val="28"/>
        </w:rPr>
        <w:t>98.08</w:t>
      </w:r>
      <w:r>
        <w:rPr>
          <w:rFonts w:hint="eastAsia" w:ascii="仿宋_GB2312" w:hAnsi="宋体" w:eastAsia="仿宋_GB2312"/>
          <w:sz w:val="28"/>
          <w:szCs w:val="28"/>
        </w:rPr>
        <w:t>%；其中，城镇用地面积为</w:t>
      </w:r>
      <w:r>
        <w:rPr>
          <w:rFonts w:ascii="仿宋_GB2312" w:hAnsi="宋体" w:eastAsia="仿宋_GB2312"/>
          <w:sz w:val="28"/>
          <w:szCs w:val="28"/>
        </w:rPr>
        <w:t>850.5</w:t>
      </w:r>
      <w:r>
        <w:rPr>
          <w:rFonts w:hint="eastAsia" w:ascii="仿宋_GB2312" w:hAnsi="宋体" w:eastAsia="仿宋_GB2312"/>
          <w:sz w:val="28"/>
          <w:szCs w:val="28"/>
        </w:rPr>
        <w:t>公顷，占城乡建设用地的</w:t>
      </w:r>
      <w:r>
        <w:rPr>
          <w:rFonts w:ascii="仿宋_GB2312" w:hAnsi="宋体" w:eastAsia="仿宋_GB2312"/>
          <w:sz w:val="28"/>
          <w:szCs w:val="28"/>
        </w:rPr>
        <w:t>94.56%</w:t>
      </w:r>
      <w:r>
        <w:rPr>
          <w:rFonts w:hint="eastAsia" w:ascii="仿宋_GB2312" w:hAnsi="宋体" w:eastAsia="仿宋_GB2312"/>
          <w:sz w:val="28"/>
          <w:szCs w:val="28"/>
        </w:rPr>
        <w:t>；农村居民点用地面积为</w:t>
      </w:r>
      <w:r>
        <w:rPr>
          <w:rFonts w:ascii="仿宋_GB2312" w:hAnsi="宋体" w:eastAsia="仿宋_GB2312"/>
          <w:sz w:val="28"/>
          <w:szCs w:val="28"/>
        </w:rPr>
        <w:t>33.59</w:t>
      </w:r>
      <w:r>
        <w:rPr>
          <w:rFonts w:hint="eastAsia" w:ascii="仿宋_GB2312" w:hAnsi="宋体" w:eastAsia="仿宋_GB2312"/>
          <w:sz w:val="28"/>
          <w:szCs w:val="28"/>
        </w:rPr>
        <w:t>公顷，占城乡建设用地的</w:t>
      </w:r>
      <w:r>
        <w:rPr>
          <w:rFonts w:ascii="仿宋_GB2312" w:hAnsi="宋体" w:eastAsia="仿宋_GB2312"/>
          <w:sz w:val="28"/>
          <w:szCs w:val="28"/>
        </w:rPr>
        <w:t>3.73%</w:t>
      </w:r>
      <w:r>
        <w:rPr>
          <w:rFonts w:hint="eastAsia" w:ascii="仿宋_GB2312" w:hAnsi="宋体" w:eastAsia="仿宋_GB2312"/>
          <w:sz w:val="28"/>
          <w:szCs w:val="28"/>
        </w:rPr>
        <w:t>；采矿用地的面积为</w:t>
      </w:r>
      <w:r>
        <w:rPr>
          <w:rFonts w:ascii="仿宋_GB2312" w:hAnsi="宋体" w:eastAsia="仿宋_GB2312"/>
          <w:sz w:val="28"/>
          <w:szCs w:val="28"/>
        </w:rPr>
        <w:t>15.36</w:t>
      </w:r>
      <w:r>
        <w:rPr>
          <w:rFonts w:hint="eastAsia" w:ascii="仿宋_GB2312" w:hAnsi="宋体" w:eastAsia="仿宋_GB2312"/>
          <w:sz w:val="28"/>
          <w:szCs w:val="28"/>
        </w:rPr>
        <w:t>公顷，占城乡建设用地的</w:t>
      </w:r>
      <w:r>
        <w:rPr>
          <w:rFonts w:ascii="仿宋_GB2312" w:hAnsi="宋体" w:eastAsia="仿宋_GB2312"/>
          <w:sz w:val="28"/>
          <w:szCs w:val="28"/>
        </w:rPr>
        <w:t>1.7%</w:t>
      </w:r>
      <w:r>
        <w:rPr>
          <w:rFonts w:hint="eastAsia" w:ascii="仿宋_GB2312" w:hAnsi="宋体" w:eastAsia="仿宋_GB2312"/>
          <w:sz w:val="28"/>
          <w:szCs w:val="28"/>
        </w:rPr>
        <w:t>；其他独立建设用地面积为0</w:t>
      </w:r>
      <w:r>
        <w:rPr>
          <w:rFonts w:ascii="仿宋_GB2312" w:hAnsi="宋体" w:eastAsia="仿宋_GB2312"/>
          <w:sz w:val="28"/>
          <w:szCs w:val="28"/>
        </w:rPr>
        <w:t>.00</w:t>
      </w:r>
      <w:r>
        <w:rPr>
          <w:rFonts w:hint="eastAsia" w:ascii="仿宋_GB2312" w:hAnsi="宋体" w:eastAsia="仿宋_GB2312"/>
          <w:sz w:val="28"/>
          <w:szCs w:val="28"/>
        </w:rPr>
        <w:t>公顷，占城乡建设用地的</w:t>
      </w:r>
      <w:r>
        <w:rPr>
          <w:rFonts w:ascii="仿宋_GB2312" w:hAnsi="宋体" w:eastAsia="仿宋_GB2312"/>
          <w:sz w:val="28"/>
          <w:szCs w:val="28"/>
        </w:rPr>
        <w:t>0.00</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城镇用地分布情况为</w:t>
      </w:r>
      <w:bookmarkStart w:id="4" w:name="_Hlk486801456"/>
      <w:r>
        <w:rPr>
          <w:rFonts w:hint="eastAsia" w:ascii="仿宋_GB2312" w:hAnsi="宋体" w:eastAsia="仿宋_GB2312"/>
          <w:sz w:val="28"/>
          <w:szCs w:val="28"/>
        </w:rPr>
        <w:t>竹根镇城区</w:t>
      </w:r>
      <w:r>
        <w:rPr>
          <w:rFonts w:ascii="仿宋_GB2312" w:hAnsi="宋体" w:eastAsia="仿宋_GB2312"/>
          <w:sz w:val="28"/>
          <w:szCs w:val="28"/>
        </w:rPr>
        <w:t>772.86</w:t>
      </w:r>
      <w:r>
        <w:rPr>
          <w:rFonts w:hint="eastAsia" w:ascii="仿宋_GB2312" w:hAnsi="宋体" w:eastAsia="仿宋_GB2312"/>
          <w:sz w:val="28"/>
          <w:szCs w:val="28"/>
        </w:rPr>
        <w:t>公顷、新华村</w:t>
      </w:r>
      <w:r>
        <w:rPr>
          <w:rFonts w:ascii="仿宋_GB2312" w:hAnsi="宋体" w:eastAsia="仿宋_GB2312"/>
          <w:sz w:val="28"/>
          <w:szCs w:val="28"/>
        </w:rPr>
        <w:t>42.69</w:t>
      </w:r>
      <w:r>
        <w:rPr>
          <w:rFonts w:hint="eastAsia" w:ascii="仿宋_GB2312" w:hAnsi="宋体" w:eastAsia="仿宋_GB2312"/>
          <w:sz w:val="28"/>
          <w:szCs w:val="28"/>
        </w:rPr>
        <w:t>公顷、幸福村</w:t>
      </w:r>
      <w:r>
        <w:rPr>
          <w:rFonts w:ascii="仿宋_GB2312" w:hAnsi="宋体" w:eastAsia="仿宋_GB2312"/>
          <w:sz w:val="28"/>
          <w:szCs w:val="28"/>
        </w:rPr>
        <w:t>16.45</w:t>
      </w:r>
      <w:r>
        <w:rPr>
          <w:rFonts w:hint="eastAsia" w:ascii="仿宋_GB2312" w:hAnsi="宋体" w:eastAsia="仿宋_GB2312"/>
          <w:sz w:val="28"/>
          <w:szCs w:val="28"/>
        </w:rPr>
        <w:t>公顷、易坝村</w:t>
      </w:r>
      <w:r>
        <w:rPr>
          <w:rFonts w:ascii="仿宋_GB2312" w:hAnsi="宋体" w:eastAsia="仿宋_GB2312"/>
          <w:sz w:val="28"/>
          <w:szCs w:val="28"/>
        </w:rPr>
        <w:t>18.50</w:t>
      </w:r>
      <w:r>
        <w:rPr>
          <w:rFonts w:hint="eastAsia" w:ascii="仿宋_GB2312" w:hAnsi="宋体" w:eastAsia="仿宋_GB2312"/>
          <w:sz w:val="28"/>
          <w:szCs w:val="28"/>
        </w:rPr>
        <w:t>公顷。</w:t>
      </w:r>
      <w:bookmarkEnd w:id="4"/>
    </w:p>
    <w:p>
      <w:pPr>
        <w:ind w:firstLine="560" w:firstLineChars="200"/>
        <w:rPr>
          <w:rFonts w:ascii="仿宋_GB2312" w:hAnsi="宋体" w:eastAsia="仿宋_GB2312"/>
          <w:sz w:val="28"/>
          <w:szCs w:val="28"/>
        </w:rPr>
      </w:pPr>
      <w:r>
        <w:rPr>
          <w:rFonts w:hint="eastAsia" w:ascii="仿宋_GB2312" w:hAnsi="宋体" w:eastAsia="仿宋_GB2312"/>
          <w:sz w:val="28"/>
          <w:szCs w:val="28"/>
        </w:rPr>
        <w:t>农村居民点用地分布情况为竹根镇城区</w:t>
      </w:r>
      <w:r>
        <w:rPr>
          <w:rFonts w:ascii="仿宋_GB2312" w:hAnsi="宋体" w:eastAsia="仿宋_GB2312"/>
          <w:sz w:val="28"/>
          <w:szCs w:val="28"/>
        </w:rPr>
        <w:t>1.78</w:t>
      </w:r>
      <w:r>
        <w:rPr>
          <w:rFonts w:hint="eastAsia" w:ascii="仿宋_GB2312" w:hAnsi="宋体" w:eastAsia="仿宋_GB2312"/>
          <w:sz w:val="28"/>
          <w:szCs w:val="28"/>
        </w:rPr>
        <w:t>公顷、新华村</w:t>
      </w:r>
      <w:r>
        <w:rPr>
          <w:rFonts w:ascii="仿宋_GB2312" w:hAnsi="宋体" w:eastAsia="仿宋_GB2312"/>
          <w:sz w:val="28"/>
          <w:szCs w:val="28"/>
        </w:rPr>
        <w:t>0.46</w:t>
      </w:r>
      <w:r>
        <w:rPr>
          <w:rFonts w:hint="eastAsia" w:ascii="仿宋_GB2312" w:hAnsi="宋体" w:eastAsia="仿宋_GB2312"/>
          <w:sz w:val="28"/>
          <w:szCs w:val="28"/>
        </w:rPr>
        <w:t>公顷、幸福村</w:t>
      </w:r>
      <w:r>
        <w:rPr>
          <w:rFonts w:ascii="仿宋_GB2312" w:hAnsi="宋体" w:eastAsia="仿宋_GB2312"/>
          <w:sz w:val="28"/>
          <w:szCs w:val="28"/>
        </w:rPr>
        <w:t>0.45</w:t>
      </w:r>
      <w:r>
        <w:rPr>
          <w:rFonts w:hint="eastAsia" w:ascii="仿宋_GB2312" w:hAnsi="宋体" w:eastAsia="仿宋_GB2312"/>
          <w:sz w:val="28"/>
          <w:szCs w:val="28"/>
        </w:rPr>
        <w:t>公顷、易坝村</w:t>
      </w:r>
      <w:r>
        <w:rPr>
          <w:rFonts w:ascii="仿宋_GB2312" w:hAnsi="宋体" w:eastAsia="仿宋_GB2312"/>
          <w:sz w:val="28"/>
          <w:szCs w:val="28"/>
        </w:rPr>
        <w:t>30.90</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采矿用地分布情况为新华村</w:t>
      </w:r>
      <w:r>
        <w:rPr>
          <w:rFonts w:ascii="仿宋_GB2312" w:hAnsi="宋体" w:eastAsia="仿宋_GB2312"/>
          <w:sz w:val="28"/>
          <w:szCs w:val="28"/>
        </w:rPr>
        <w:t>1.25</w:t>
      </w:r>
      <w:r>
        <w:rPr>
          <w:rFonts w:hint="eastAsia" w:ascii="仿宋_GB2312" w:hAnsi="宋体" w:eastAsia="仿宋_GB2312"/>
          <w:sz w:val="28"/>
          <w:szCs w:val="28"/>
        </w:rPr>
        <w:t>公顷、幸福村</w:t>
      </w:r>
      <w:r>
        <w:rPr>
          <w:rFonts w:ascii="仿宋_GB2312" w:hAnsi="宋体" w:eastAsia="仿宋_GB2312"/>
          <w:sz w:val="28"/>
          <w:szCs w:val="28"/>
        </w:rPr>
        <w:t>0.61</w:t>
      </w:r>
      <w:r>
        <w:rPr>
          <w:rFonts w:hint="eastAsia" w:ascii="仿宋_GB2312" w:hAnsi="宋体" w:eastAsia="仿宋_GB2312"/>
          <w:sz w:val="28"/>
          <w:szCs w:val="28"/>
        </w:rPr>
        <w:t>公顷、易坝村13.</w:t>
      </w:r>
      <w:r>
        <w:rPr>
          <w:rFonts w:ascii="仿宋_GB2312" w:hAnsi="宋体" w:eastAsia="仿宋_GB2312"/>
          <w:sz w:val="28"/>
          <w:szCs w:val="28"/>
        </w:rPr>
        <w:t>50</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（2）交通水利用地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全镇交通水利用地面积为</w:t>
      </w:r>
      <w:r>
        <w:rPr>
          <w:rFonts w:ascii="仿宋_GB2312" w:hAnsi="宋体" w:eastAsia="仿宋_GB2312"/>
          <w:sz w:val="28"/>
          <w:szCs w:val="28"/>
        </w:rPr>
        <w:t>17.21</w:t>
      </w:r>
      <w:r>
        <w:rPr>
          <w:rFonts w:hint="eastAsia" w:ascii="仿宋_GB2312" w:hAnsi="宋体" w:eastAsia="仿宋_GB2312"/>
          <w:sz w:val="28"/>
          <w:szCs w:val="28"/>
        </w:rPr>
        <w:t>公顷，占建设用地的</w:t>
      </w:r>
      <w:r>
        <w:rPr>
          <w:rFonts w:ascii="仿宋_GB2312" w:hAnsi="宋体" w:eastAsia="仿宋_GB2312"/>
          <w:sz w:val="28"/>
          <w:szCs w:val="28"/>
        </w:rPr>
        <w:t>1.88%</w:t>
      </w:r>
      <w:r>
        <w:rPr>
          <w:rFonts w:hint="eastAsia" w:ascii="仿宋_GB2312" w:hAnsi="宋体" w:eastAsia="仿宋_GB2312"/>
          <w:sz w:val="28"/>
          <w:szCs w:val="28"/>
        </w:rPr>
        <w:t>；主要分布情况为竹根镇城区</w:t>
      </w:r>
      <w:r>
        <w:rPr>
          <w:rFonts w:ascii="仿宋_GB2312" w:hAnsi="宋体" w:eastAsia="仿宋_GB2312"/>
          <w:sz w:val="28"/>
          <w:szCs w:val="28"/>
        </w:rPr>
        <w:t>1.51</w:t>
      </w:r>
      <w:r>
        <w:rPr>
          <w:rFonts w:hint="eastAsia" w:ascii="仿宋_GB2312" w:hAnsi="宋体" w:eastAsia="仿宋_GB2312"/>
          <w:sz w:val="28"/>
          <w:szCs w:val="28"/>
        </w:rPr>
        <w:t>公顷、新华村</w:t>
      </w:r>
      <w:r>
        <w:rPr>
          <w:rFonts w:ascii="仿宋_GB2312" w:hAnsi="宋体" w:eastAsia="仿宋_GB2312"/>
          <w:sz w:val="28"/>
          <w:szCs w:val="28"/>
        </w:rPr>
        <w:t>3.79</w:t>
      </w:r>
      <w:r>
        <w:rPr>
          <w:rFonts w:hint="eastAsia" w:ascii="仿宋_GB2312" w:hAnsi="宋体" w:eastAsia="仿宋_GB2312"/>
          <w:sz w:val="28"/>
          <w:szCs w:val="28"/>
        </w:rPr>
        <w:t>公顷、幸福村</w:t>
      </w:r>
      <w:r>
        <w:rPr>
          <w:rFonts w:ascii="仿宋_GB2312" w:hAnsi="宋体" w:eastAsia="仿宋_GB2312"/>
          <w:sz w:val="28"/>
          <w:szCs w:val="28"/>
        </w:rPr>
        <w:t>2.29</w:t>
      </w:r>
      <w:r>
        <w:rPr>
          <w:rFonts w:hint="eastAsia" w:ascii="仿宋_GB2312" w:hAnsi="宋体" w:eastAsia="仿宋_GB2312"/>
          <w:sz w:val="28"/>
          <w:szCs w:val="28"/>
        </w:rPr>
        <w:t>公顷、易坝村</w:t>
      </w:r>
      <w:r>
        <w:rPr>
          <w:rFonts w:ascii="仿宋_GB2312" w:hAnsi="宋体" w:eastAsia="仿宋_GB2312"/>
          <w:sz w:val="28"/>
          <w:szCs w:val="28"/>
        </w:rPr>
        <w:t>9.62</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（3）其他建设用地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其他建设用地面积为</w:t>
      </w:r>
      <w:r>
        <w:rPr>
          <w:rFonts w:ascii="仿宋_GB2312" w:hAnsi="宋体" w:eastAsia="仿宋_GB2312"/>
          <w:sz w:val="28"/>
          <w:szCs w:val="28"/>
        </w:rPr>
        <w:t>0.31</w:t>
      </w:r>
      <w:r>
        <w:rPr>
          <w:rFonts w:hint="eastAsia" w:ascii="仿宋_GB2312" w:hAnsi="宋体" w:eastAsia="仿宋_GB2312"/>
          <w:sz w:val="28"/>
          <w:szCs w:val="28"/>
        </w:rPr>
        <w:t>公顷，占建设用地的</w:t>
      </w:r>
      <w:r>
        <w:rPr>
          <w:rFonts w:ascii="仿宋_GB2312" w:hAnsi="宋体" w:eastAsia="仿宋_GB2312"/>
          <w:sz w:val="28"/>
          <w:szCs w:val="28"/>
        </w:rPr>
        <w:t>0.03%</w:t>
      </w:r>
      <w:r>
        <w:rPr>
          <w:rFonts w:hint="eastAsia" w:ascii="仿宋_GB2312" w:hAnsi="宋体" w:eastAsia="仿宋_GB2312"/>
          <w:sz w:val="28"/>
          <w:szCs w:val="28"/>
        </w:rPr>
        <w:t>，主要分布情况为易坝村</w:t>
      </w:r>
      <w:r>
        <w:rPr>
          <w:rFonts w:ascii="仿宋_GB2312" w:hAnsi="宋体" w:eastAsia="仿宋_GB2312"/>
          <w:sz w:val="28"/>
          <w:szCs w:val="28"/>
        </w:rPr>
        <w:t>0.31</w:t>
      </w:r>
      <w:r>
        <w:rPr>
          <w:rFonts w:hint="eastAsia" w:ascii="仿宋_GB2312" w:hAnsi="宋体" w:eastAsia="仿宋_GB2312"/>
          <w:sz w:val="28"/>
          <w:szCs w:val="28"/>
        </w:rPr>
        <w:t>公顷。</w:t>
      </w:r>
    </w:p>
    <w:p>
      <w:pPr>
        <w:pStyle w:val="4"/>
        <w:ind w:firstLine="562"/>
      </w:pPr>
      <w:r>
        <w:rPr>
          <w:rFonts w:hint="eastAsia"/>
        </w:rPr>
        <w:t>3．其他土地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其他土地中，水域面积为</w:t>
      </w:r>
      <w:r>
        <w:rPr>
          <w:rFonts w:ascii="仿宋_GB2312" w:hAnsi="宋体" w:eastAsia="仿宋_GB2312"/>
          <w:sz w:val="28"/>
          <w:szCs w:val="28"/>
        </w:rPr>
        <w:t>468.84</w:t>
      </w:r>
      <w:r>
        <w:rPr>
          <w:rFonts w:hint="eastAsia" w:ascii="仿宋_GB2312" w:hAnsi="宋体" w:eastAsia="仿宋_GB2312"/>
          <w:sz w:val="28"/>
          <w:szCs w:val="28"/>
        </w:rPr>
        <w:t>公顷，占其他土地面积的</w:t>
      </w:r>
      <w:r>
        <w:rPr>
          <w:rFonts w:ascii="仿宋_GB2312" w:hAnsi="宋体" w:eastAsia="仿宋_GB2312"/>
          <w:sz w:val="28"/>
          <w:szCs w:val="28"/>
        </w:rPr>
        <w:t>99.87%</w:t>
      </w:r>
      <w:r>
        <w:rPr>
          <w:rFonts w:hint="eastAsia" w:ascii="仿宋_GB2312" w:hAnsi="宋体" w:eastAsia="仿宋_GB2312"/>
          <w:sz w:val="28"/>
          <w:szCs w:val="28"/>
        </w:rPr>
        <w:t>；自然保留地面积</w:t>
      </w:r>
      <w:r>
        <w:rPr>
          <w:rFonts w:ascii="仿宋_GB2312" w:hAnsi="宋体" w:eastAsia="仿宋_GB2312"/>
          <w:sz w:val="28"/>
          <w:szCs w:val="28"/>
        </w:rPr>
        <w:t>0.62</w:t>
      </w:r>
      <w:r>
        <w:rPr>
          <w:rFonts w:hint="eastAsia" w:ascii="仿宋_GB2312" w:hAnsi="宋体" w:eastAsia="仿宋_GB2312"/>
          <w:sz w:val="28"/>
          <w:szCs w:val="28"/>
        </w:rPr>
        <w:t>公顷，占</w:t>
      </w:r>
      <w:r>
        <w:rPr>
          <w:rFonts w:ascii="仿宋_GB2312" w:hAnsi="宋体" w:eastAsia="仿宋_GB2312"/>
          <w:sz w:val="28"/>
          <w:szCs w:val="28"/>
        </w:rPr>
        <w:t>0.13%</w:t>
      </w:r>
      <w:r>
        <w:rPr>
          <w:rFonts w:hint="eastAsia" w:ascii="仿宋_GB2312" w:hAnsi="宋体" w:eastAsia="仿宋_GB2312"/>
          <w:sz w:val="28"/>
          <w:szCs w:val="28"/>
        </w:rPr>
        <w:t>。</w:t>
      </w:r>
    </w:p>
    <w:p>
      <w:pPr>
        <w:pStyle w:val="3"/>
      </w:pPr>
      <w:bookmarkStart w:id="5" w:name="_Toc486804469"/>
      <w:r>
        <w:rPr>
          <w:rFonts w:hint="eastAsia"/>
        </w:rPr>
        <w:t>（二）土地利用的特点</w:t>
      </w:r>
      <w:bookmarkEnd w:id="5"/>
    </w:p>
    <w:p>
      <w:pPr>
        <w:ind w:firstLine="560" w:firstLineChars="200"/>
        <w:rPr>
          <w:rFonts w:ascii="仿宋_GB2312" w:hAnsi="宋体" w:eastAsia="仿宋_GB2312"/>
          <w:sz w:val="28"/>
          <w:szCs w:val="28"/>
        </w:rPr>
      </w:pPr>
      <w:r>
        <w:rPr>
          <w:rFonts w:hint="eastAsia" w:ascii="仿宋_GB2312" w:hAnsi="宋体" w:eastAsia="仿宋_GB2312"/>
          <w:sz w:val="28"/>
          <w:szCs w:val="28"/>
        </w:rPr>
        <w:t>1 土地开发利用程度较高，后备土地资源有限</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w:t>
      </w:r>
      <w:r>
        <w:rPr>
          <w:rFonts w:ascii="仿宋_GB2312" w:hAnsi="宋体" w:eastAsia="仿宋_GB2312"/>
          <w:sz w:val="28"/>
          <w:szCs w:val="28"/>
        </w:rPr>
        <w:t>1679.8</w:t>
      </w:r>
      <w:r>
        <w:rPr>
          <w:rFonts w:hint="eastAsia" w:ascii="仿宋_GB2312" w:hAnsi="宋体" w:eastAsia="仿宋_GB2312"/>
          <w:sz w:val="28"/>
          <w:szCs w:val="28"/>
        </w:rPr>
        <w:t>公顷土地面积中，其他土地面积为</w:t>
      </w:r>
      <w:r>
        <w:rPr>
          <w:rFonts w:ascii="仿宋_GB2312" w:hAnsi="宋体" w:eastAsia="仿宋_GB2312"/>
          <w:sz w:val="28"/>
          <w:szCs w:val="28"/>
        </w:rPr>
        <w:t>469.46</w:t>
      </w:r>
      <w:r>
        <w:rPr>
          <w:rFonts w:hint="eastAsia" w:ascii="仿宋_GB2312" w:hAnsi="宋体" w:eastAsia="仿宋_GB2312"/>
          <w:sz w:val="28"/>
          <w:szCs w:val="28"/>
        </w:rPr>
        <w:t>公顷，占土地总面积的</w:t>
      </w:r>
      <w:r>
        <w:rPr>
          <w:rFonts w:ascii="仿宋_GB2312" w:hAnsi="宋体" w:eastAsia="仿宋_GB2312"/>
          <w:sz w:val="28"/>
          <w:szCs w:val="28"/>
        </w:rPr>
        <w:t>27.95%</w:t>
      </w:r>
      <w:r>
        <w:rPr>
          <w:rFonts w:hint="eastAsia" w:ascii="仿宋_GB2312" w:hAnsi="宋体" w:eastAsia="仿宋_GB2312"/>
          <w:sz w:val="28"/>
          <w:szCs w:val="28"/>
        </w:rPr>
        <w:t>，土地利用率为</w:t>
      </w:r>
      <w:r>
        <w:rPr>
          <w:rFonts w:ascii="仿宋_GB2312" w:hAnsi="宋体" w:eastAsia="仿宋_GB2312"/>
          <w:sz w:val="28"/>
          <w:szCs w:val="28"/>
        </w:rPr>
        <w:t>72.05</w:t>
      </w:r>
      <w:r>
        <w:rPr>
          <w:rFonts w:hint="eastAsia" w:ascii="仿宋_GB2312" w:hAnsi="宋体" w:eastAsia="仿宋_GB2312"/>
          <w:sz w:val="28"/>
          <w:szCs w:val="28"/>
        </w:rPr>
        <w:t>%。在其他土地中，不能被开发利用的河流水面面积为</w:t>
      </w:r>
      <w:r>
        <w:rPr>
          <w:rFonts w:ascii="仿宋_GB2312" w:hAnsi="宋体" w:eastAsia="仿宋_GB2312"/>
          <w:sz w:val="28"/>
          <w:szCs w:val="28"/>
        </w:rPr>
        <w:t>446.44</w:t>
      </w:r>
      <w:r>
        <w:rPr>
          <w:rFonts w:hint="eastAsia" w:ascii="仿宋_GB2312" w:hAnsi="宋体" w:eastAsia="仿宋_GB2312"/>
          <w:sz w:val="28"/>
          <w:szCs w:val="28"/>
        </w:rPr>
        <w:t>公顷，占其他土地面积的比重为</w:t>
      </w:r>
      <w:r>
        <w:rPr>
          <w:rFonts w:ascii="仿宋_GB2312" w:hAnsi="宋体" w:eastAsia="仿宋_GB2312"/>
          <w:sz w:val="28"/>
          <w:szCs w:val="28"/>
        </w:rPr>
        <w:t>95.1% %</w:t>
      </w:r>
      <w:r>
        <w:rPr>
          <w:rFonts w:hint="eastAsia" w:ascii="仿宋_GB2312" w:hAnsi="宋体" w:eastAsia="仿宋_GB2312"/>
          <w:sz w:val="28"/>
          <w:szCs w:val="28"/>
        </w:rPr>
        <w:t>；有条件作为后备土地资源的滩涂和自然保留地面积为</w:t>
      </w:r>
      <w:r>
        <w:rPr>
          <w:rFonts w:ascii="仿宋_GB2312" w:hAnsi="宋体" w:eastAsia="仿宋_GB2312"/>
          <w:sz w:val="28"/>
          <w:szCs w:val="28"/>
        </w:rPr>
        <w:t>23.02</w:t>
      </w:r>
      <w:r>
        <w:rPr>
          <w:rFonts w:hint="eastAsia" w:ascii="仿宋_GB2312" w:hAnsi="宋体" w:eastAsia="仿宋_GB2312"/>
          <w:sz w:val="28"/>
          <w:szCs w:val="28"/>
        </w:rPr>
        <w:t>公顷，占其他土地面积的比重仅为</w:t>
      </w:r>
      <w:r>
        <w:rPr>
          <w:rFonts w:ascii="仿宋_GB2312" w:hAnsi="宋体" w:eastAsia="仿宋_GB2312"/>
          <w:sz w:val="28"/>
          <w:szCs w:val="28"/>
        </w:rPr>
        <w:t>4.9</w:t>
      </w:r>
      <w:r>
        <w:rPr>
          <w:rFonts w:hint="eastAsia" w:ascii="仿宋_GB2312" w:hAnsi="宋体" w:eastAsia="仿宋_GB2312"/>
          <w:sz w:val="28"/>
          <w:szCs w:val="28"/>
        </w:rPr>
        <w:t>%，占全镇土地总面积的比重</w:t>
      </w:r>
      <w:r>
        <w:rPr>
          <w:rFonts w:ascii="仿宋_GB2312" w:hAnsi="宋体" w:eastAsia="仿宋_GB2312"/>
          <w:sz w:val="28"/>
          <w:szCs w:val="28"/>
        </w:rPr>
        <w:t>1.37</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2 土地以建设用地为主，城镇用地是建设地的主导利用方式</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2014年土地利用现状变更调查数据显示全镇建设用地面积为</w:t>
      </w:r>
      <w:r>
        <w:rPr>
          <w:rFonts w:ascii="仿宋_GB2312" w:hAnsi="宋体" w:eastAsia="仿宋_GB2312"/>
          <w:sz w:val="28"/>
          <w:szCs w:val="28"/>
        </w:rPr>
        <w:t>916.97</w:t>
      </w:r>
      <w:r>
        <w:rPr>
          <w:rFonts w:hint="eastAsia" w:ascii="仿宋_GB2312" w:hAnsi="宋体" w:eastAsia="仿宋_GB2312"/>
          <w:sz w:val="28"/>
          <w:szCs w:val="28"/>
        </w:rPr>
        <w:t>公顷，占土地总面积的</w:t>
      </w:r>
      <w:r>
        <w:rPr>
          <w:rFonts w:ascii="仿宋_GB2312" w:hAnsi="宋体" w:eastAsia="仿宋_GB2312"/>
          <w:sz w:val="28"/>
          <w:szCs w:val="28"/>
        </w:rPr>
        <w:t>54.59%</w:t>
      </w:r>
      <w:r>
        <w:rPr>
          <w:rFonts w:hint="eastAsia" w:ascii="仿宋_GB2312" w:hAnsi="宋体" w:eastAsia="仿宋_GB2312"/>
          <w:sz w:val="28"/>
          <w:szCs w:val="28"/>
        </w:rPr>
        <w:t>，全镇土地利用以建设用地为主。建设用地中城镇建设用地面积为</w:t>
      </w:r>
      <w:r>
        <w:rPr>
          <w:rFonts w:ascii="仿宋_GB2312" w:hAnsi="宋体" w:eastAsia="仿宋_GB2312"/>
          <w:sz w:val="28"/>
          <w:szCs w:val="28"/>
        </w:rPr>
        <w:t>850.5</w:t>
      </w:r>
      <w:r>
        <w:rPr>
          <w:rFonts w:hint="eastAsia" w:ascii="仿宋_GB2312" w:hAnsi="宋体" w:eastAsia="仿宋_GB2312"/>
          <w:sz w:val="28"/>
          <w:szCs w:val="28"/>
        </w:rPr>
        <w:t>公顷，占建设用地面积的</w:t>
      </w:r>
      <w:r>
        <w:rPr>
          <w:rFonts w:ascii="仿宋_GB2312" w:hAnsi="宋体" w:eastAsia="仿宋_GB2312"/>
          <w:sz w:val="28"/>
          <w:szCs w:val="28"/>
        </w:rPr>
        <w:t>92.75%</w:t>
      </w:r>
      <w:r>
        <w:rPr>
          <w:rFonts w:hint="eastAsia" w:ascii="仿宋_GB2312" w:hAnsi="宋体" w:eastAsia="仿宋_GB2312"/>
          <w:sz w:val="28"/>
          <w:szCs w:val="28"/>
        </w:rPr>
        <w:t>，其余建设用地面积为6</w:t>
      </w:r>
      <w:r>
        <w:rPr>
          <w:rFonts w:ascii="仿宋_GB2312" w:hAnsi="宋体" w:eastAsia="仿宋_GB2312"/>
          <w:sz w:val="28"/>
          <w:szCs w:val="28"/>
        </w:rPr>
        <w:t>6.47</w:t>
      </w:r>
      <w:r>
        <w:rPr>
          <w:rFonts w:hint="eastAsia" w:ascii="仿宋_GB2312" w:hAnsi="宋体" w:eastAsia="仿宋_GB2312"/>
          <w:sz w:val="28"/>
          <w:szCs w:val="28"/>
        </w:rPr>
        <w:t>公顷，仅占建设用地面积的</w:t>
      </w:r>
      <w:r>
        <w:rPr>
          <w:rFonts w:ascii="仿宋_GB2312" w:hAnsi="宋体" w:eastAsia="仿宋_GB2312"/>
          <w:sz w:val="28"/>
          <w:szCs w:val="28"/>
        </w:rPr>
        <w:t>7.25%</w:t>
      </w:r>
      <w:r>
        <w:rPr>
          <w:rFonts w:hint="eastAsia" w:ascii="仿宋_GB2312" w:hAnsi="宋体" w:eastAsia="仿宋_GB2312"/>
          <w:sz w:val="28"/>
          <w:szCs w:val="28"/>
        </w:rPr>
        <w:t>城镇用地是全镇建设地的主导利用方式。</w:t>
      </w:r>
    </w:p>
    <w:p>
      <w:pPr>
        <w:ind w:firstLine="560" w:firstLineChars="200"/>
        <w:rPr>
          <w:rFonts w:ascii="仿宋_GB2312" w:hAnsi="宋体" w:eastAsia="仿宋_GB2312"/>
          <w:sz w:val="28"/>
          <w:szCs w:val="28"/>
        </w:rPr>
      </w:pPr>
      <w:r>
        <w:rPr>
          <w:rFonts w:hint="eastAsia" w:ascii="仿宋_GB2312" w:hAnsi="宋体" w:eastAsia="仿宋_GB2312"/>
          <w:sz w:val="28"/>
          <w:szCs w:val="28"/>
        </w:rPr>
        <w:t>3 建设用地结构与人口结构基本一致</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2014年土地利用现状变更调查数据显示全镇建设用地总面积为</w:t>
      </w:r>
      <w:r>
        <w:rPr>
          <w:rFonts w:ascii="仿宋_GB2312" w:hAnsi="宋体" w:eastAsia="仿宋_GB2312"/>
          <w:sz w:val="28"/>
          <w:szCs w:val="28"/>
        </w:rPr>
        <w:t>916.97</w:t>
      </w:r>
      <w:r>
        <w:rPr>
          <w:rFonts w:hint="eastAsia" w:ascii="仿宋_GB2312" w:hAnsi="宋体" w:eastAsia="仿宋_GB2312"/>
          <w:sz w:val="28"/>
          <w:szCs w:val="28"/>
        </w:rPr>
        <w:t>公顷，其中城镇用地的面积为</w:t>
      </w:r>
      <w:r>
        <w:rPr>
          <w:rFonts w:ascii="仿宋_GB2312" w:hAnsi="宋体" w:eastAsia="仿宋_GB2312"/>
          <w:sz w:val="28"/>
          <w:szCs w:val="28"/>
        </w:rPr>
        <w:t>850.5</w:t>
      </w:r>
      <w:r>
        <w:rPr>
          <w:rFonts w:hint="eastAsia" w:ascii="仿宋_GB2312" w:hAnsi="宋体" w:eastAsia="仿宋_GB2312"/>
          <w:sz w:val="28"/>
          <w:szCs w:val="28"/>
        </w:rPr>
        <w:t>公顷，占建设用地总面积的</w:t>
      </w:r>
      <w:r>
        <w:rPr>
          <w:rFonts w:ascii="仿宋_GB2312" w:hAnsi="宋体" w:eastAsia="仿宋_GB2312"/>
          <w:sz w:val="28"/>
          <w:szCs w:val="28"/>
        </w:rPr>
        <w:t>92.75%</w:t>
      </w:r>
      <w:r>
        <w:rPr>
          <w:rFonts w:hint="eastAsia" w:ascii="仿宋_GB2312" w:hAnsi="宋体" w:eastAsia="仿宋_GB2312"/>
          <w:sz w:val="28"/>
          <w:szCs w:val="28"/>
        </w:rPr>
        <w:t>，农村居民点用地的面积为</w:t>
      </w:r>
      <w:r>
        <w:rPr>
          <w:rFonts w:ascii="仿宋_GB2312" w:hAnsi="宋体" w:eastAsia="仿宋_GB2312"/>
          <w:sz w:val="28"/>
          <w:szCs w:val="28"/>
        </w:rPr>
        <w:t>33.59</w:t>
      </w:r>
      <w:r>
        <w:rPr>
          <w:rFonts w:hint="eastAsia" w:ascii="仿宋_GB2312" w:hAnsi="宋体" w:eastAsia="仿宋_GB2312"/>
          <w:sz w:val="28"/>
          <w:szCs w:val="28"/>
        </w:rPr>
        <w:t>公顷，占建设用地总面积的比重为</w:t>
      </w:r>
      <w:r>
        <w:rPr>
          <w:rFonts w:ascii="仿宋_GB2312" w:hAnsi="宋体" w:eastAsia="仿宋_GB2312"/>
          <w:sz w:val="28"/>
          <w:szCs w:val="28"/>
        </w:rPr>
        <w:t>3.66%</w:t>
      </w:r>
      <w:r>
        <w:rPr>
          <w:rFonts w:hint="eastAsia" w:ascii="仿宋_GB2312" w:hAnsi="宋体" w:eastAsia="仿宋_GB2312"/>
          <w:sz w:val="28"/>
          <w:szCs w:val="28"/>
        </w:rPr>
        <w:t>，农村居民点用地的面积远低于城镇用地面积；从2014年全镇人口统计数据来看，全镇非农业人口为</w:t>
      </w:r>
      <w:r>
        <w:rPr>
          <w:rFonts w:ascii="仿宋_GB2312" w:hAnsi="宋体" w:eastAsia="仿宋_GB2312"/>
          <w:sz w:val="28"/>
          <w:szCs w:val="28"/>
        </w:rPr>
        <w:t>59642</w:t>
      </w:r>
      <w:r>
        <w:rPr>
          <w:rFonts w:hint="eastAsia" w:ascii="仿宋_GB2312" w:hAnsi="宋体" w:eastAsia="仿宋_GB2312"/>
          <w:sz w:val="28"/>
          <w:szCs w:val="28"/>
        </w:rPr>
        <w:t>人，占全镇总人口的比例为</w:t>
      </w:r>
      <w:r>
        <w:rPr>
          <w:rFonts w:ascii="仿宋_GB2312" w:hAnsi="宋体" w:eastAsia="仿宋_GB2312"/>
          <w:sz w:val="28"/>
          <w:szCs w:val="28"/>
        </w:rPr>
        <w:t>90.95</w:t>
      </w:r>
      <w:r>
        <w:rPr>
          <w:rFonts w:hint="eastAsia" w:ascii="仿宋_GB2312" w:hAnsi="宋体" w:eastAsia="仿宋_GB2312"/>
          <w:sz w:val="28"/>
          <w:szCs w:val="28"/>
        </w:rPr>
        <w:t>%；农业人口为</w:t>
      </w:r>
      <w:r>
        <w:rPr>
          <w:rFonts w:ascii="仿宋_GB2312" w:hAnsi="宋体" w:eastAsia="仿宋_GB2312"/>
          <w:sz w:val="28"/>
          <w:szCs w:val="28"/>
        </w:rPr>
        <w:t>5935</w:t>
      </w:r>
      <w:r>
        <w:rPr>
          <w:rFonts w:hint="eastAsia" w:ascii="仿宋_GB2312" w:hAnsi="宋体" w:eastAsia="仿宋_GB2312"/>
          <w:sz w:val="28"/>
          <w:szCs w:val="28"/>
        </w:rPr>
        <w:t>人占全镇总人口的比例为</w:t>
      </w:r>
      <w:r>
        <w:rPr>
          <w:rFonts w:ascii="仿宋_GB2312" w:hAnsi="宋体" w:eastAsia="仿宋_GB2312"/>
          <w:sz w:val="28"/>
          <w:szCs w:val="28"/>
        </w:rPr>
        <w:t>9.05</w:t>
      </w:r>
      <w:r>
        <w:rPr>
          <w:rFonts w:hint="eastAsia" w:ascii="仿宋_GB2312" w:hAnsi="宋体" w:eastAsia="仿宋_GB2312"/>
          <w:sz w:val="28"/>
          <w:szCs w:val="28"/>
        </w:rPr>
        <w:t>%。由此可以看出，在新型城镇化建设过程中，竹根镇农村建设用地随着农村人口向城镇转移而逐渐减少，建设用地结构与人口结构基本一致。</w:t>
      </w:r>
    </w:p>
    <w:p>
      <w:pPr>
        <w:pStyle w:val="3"/>
      </w:pPr>
      <w:bookmarkStart w:id="6" w:name="_Toc486804470"/>
      <w:r>
        <w:rPr>
          <w:rFonts w:hint="eastAsia"/>
        </w:rPr>
        <w:t>（三）土地利用中存在的问题</w:t>
      </w:r>
      <w:bookmarkEnd w:id="6"/>
    </w:p>
    <w:p>
      <w:pPr>
        <w:ind w:firstLine="560" w:firstLineChars="200"/>
        <w:rPr>
          <w:rFonts w:ascii="仿宋_GB2312" w:hAnsi="宋体" w:eastAsia="仿宋_GB2312"/>
          <w:sz w:val="28"/>
          <w:szCs w:val="28"/>
        </w:rPr>
      </w:pPr>
      <w:r>
        <w:rPr>
          <w:rFonts w:hint="eastAsia" w:ascii="仿宋_GB2312" w:hAnsi="宋体" w:eastAsia="仿宋_GB2312"/>
          <w:sz w:val="28"/>
          <w:szCs w:val="28"/>
        </w:rPr>
        <w:t>建设用地节约集约利用程度较低，城镇建设用地表现较为突出，近些年来随着竹根镇社会经济的快速发展和城镇化水平的快速提高，全镇建设用地总量也出现了较为明显的增加。从现阶段竹根镇建设用地总体利用情况来看，较为突出的问题主要表现在节约集约利用程度较低，利用较为粗放。从城镇建设用地的利用情况来看，全镇2014年城镇工矿规模为</w:t>
      </w:r>
      <w:r>
        <w:rPr>
          <w:rFonts w:ascii="仿宋_GB2312" w:hAnsi="宋体" w:eastAsia="仿宋_GB2312"/>
          <w:sz w:val="28"/>
          <w:szCs w:val="28"/>
        </w:rPr>
        <w:t>865.86</w:t>
      </w:r>
      <w:r>
        <w:rPr>
          <w:rFonts w:hint="eastAsia" w:ascii="仿宋_GB2312" w:hAnsi="宋体" w:eastAsia="仿宋_GB2312"/>
          <w:sz w:val="28"/>
          <w:szCs w:val="28"/>
        </w:rPr>
        <w:t>公顷，同期非农业人口规模为</w:t>
      </w:r>
      <w:r>
        <w:rPr>
          <w:rFonts w:ascii="仿宋_GB2312" w:hAnsi="宋体" w:eastAsia="仿宋_GB2312"/>
          <w:sz w:val="28"/>
          <w:szCs w:val="28"/>
        </w:rPr>
        <w:t>59642</w:t>
      </w:r>
      <w:r>
        <w:rPr>
          <w:rFonts w:hint="eastAsia" w:ascii="仿宋_GB2312" w:hAnsi="宋体" w:eastAsia="仿宋_GB2312"/>
          <w:sz w:val="28"/>
          <w:szCs w:val="28"/>
        </w:rPr>
        <w:t>人，人均城镇用地规模为</w:t>
      </w:r>
      <w:r>
        <w:rPr>
          <w:rFonts w:ascii="仿宋_GB2312" w:hAnsi="宋体" w:eastAsia="仿宋_GB2312"/>
          <w:sz w:val="28"/>
          <w:szCs w:val="28"/>
        </w:rPr>
        <w:t>145.18</w:t>
      </w:r>
      <w:r>
        <w:rPr>
          <w:rFonts w:hint="eastAsia" w:ascii="仿宋_GB2312" w:hAnsi="宋体" w:eastAsia="仿宋_GB2312"/>
          <w:sz w:val="28"/>
          <w:szCs w:val="28"/>
        </w:rPr>
        <w:t>m2,远高于全区人均城镇工矿</w:t>
      </w:r>
      <w:r>
        <w:rPr>
          <w:rFonts w:ascii="仿宋_GB2312" w:hAnsi="宋体" w:eastAsia="仿宋_GB2312"/>
          <w:sz w:val="28"/>
          <w:szCs w:val="28"/>
        </w:rPr>
        <w:t>120m2</w:t>
      </w:r>
      <w:r>
        <w:rPr>
          <w:rFonts w:hint="eastAsia" w:ascii="仿宋_GB2312" w:hAnsi="宋体" w:eastAsia="仿宋_GB2312"/>
          <w:sz w:val="28"/>
          <w:szCs w:val="28"/>
        </w:rPr>
        <w:t>的规划预期指标。</w:t>
      </w:r>
    </w:p>
    <w:p>
      <w:pPr>
        <w:ind w:firstLine="560" w:firstLineChars="200"/>
        <w:rPr>
          <w:rFonts w:ascii="仿宋_GB2312" w:hAnsi="宋体" w:eastAsia="仿宋_GB2312"/>
          <w:sz w:val="28"/>
          <w:szCs w:val="28"/>
        </w:rPr>
      </w:pPr>
    </w:p>
    <w:p>
      <w:pPr>
        <w:widowControl/>
        <w:jc w:val="left"/>
        <w:rPr>
          <w:rFonts w:ascii="仿宋_GB2312" w:hAnsi="宋体" w:eastAsia="仿宋_GB2312" w:cs="仿宋_GB2312"/>
          <w:sz w:val="28"/>
          <w:szCs w:val="28"/>
        </w:rPr>
      </w:pPr>
    </w:p>
    <w:p>
      <w:pPr>
        <w:widowControl/>
        <w:jc w:val="left"/>
        <w:rPr>
          <w:rFonts w:ascii="仿宋_GB2312" w:hAnsi="宋体" w:eastAsia="仿宋_GB2312" w:cs="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pPr>
      <w:bookmarkStart w:id="7" w:name="_Toc486804471"/>
      <w:r>
        <w:rPr>
          <w:rFonts w:hint="eastAsia"/>
        </w:rPr>
        <w:t>二、规划目标调整情况</w:t>
      </w:r>
      <w:bookmarkEnd w:id="7"/>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按照五通桥区土地利用总体规划调整完善方案的相关要求，对竹根镇2020年土地利用主要指标作如下调整：</w:t>
      </w:r>
    </w:p>
    <w:p>
      <w:pPr>
        <w:pStyle w:val="3"/>
      </w:pPr>
      <w:bookmarkStart w:id="8" w:name="_Toc477699465"/>
      <w:bookmarkStart w:id="9" w:name="_Toc486804472"/>
      <w:r>
        <w:rPr>
          <w:rFonts w:hint="eastAsia"/>
        </w:rPr>
        <w:t>（一）耕地保有量调整</w:t>
      </w:r>
      <w:bookmarkEnd w:id="8"/>
      <w:bookmarkEnd w:id="9"/>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调整完善前竹根镇2020年耕地保有量指标为</w:t>
      </w:r>
      <w:r>
        <w:rPr>
          <w:rFonts w:ascii="仿宋_GB2312" w:hAnsi="宋体" w:eastAsia="仿宋_GB2312"/>
          <w:sz w:val="28"/>
          <w:szCs w:val="28"/>
        </w:rPr>
        <w:t>0</w:t>
      </w:r>
      <w:r>
        <w:rPr>
          <w:rFonts w:hint="eastAsia" w:ascii="仿宋_GB2312" w:hAnsi="宋体" w:eastAsia="仿宋_GB2312"/>
          <w:sz w:val="28"/>
          <w:szCs w:val="28"/>
        </w:rPr>
        <w:t>公顷，2014年现状耕地面积为</w:t>
      </w:r>
      <w:r>
        <w:rPr>
          <w:rFonts w:ascii="仿宋_GB2312" w:hAnsi="宋体" w:eastAsia="仿宋_GB2312"/>
          <w:sz w:val="28"/>
          <w:szCs w:val="28"/>
        </w:rPr>
        <w:t>235.62</w:t>
      </w:r>
      <w:r>
        <w:rPr>
          <w:rFonts w:hint="eastAsia" w:ascii="仿宋_GB2312" w:hAnsi="宋体" w:eastAsia="仿宋_GB2312"/>
          <w:sz w:val="28"/>
          <w:szCs w:val="28"/>
        </w:rPr>
        <w:t>公顷，超额完成了耕地保有量目标任务。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根据此次五通桥区土地利用总体规划调整完善方案下达到竹根镇的耕地保有量指标，竹根镇的耕地保有量调整为</w:t>
      </w:r>
      <w:r>
        <w:rPr>
          <w:rFonts w:ascii="仿宋_GB2312" w:hAnsi="宋体" w:eastAsia="仿宋_GB2312"/>
          <w:sz w:val="28"/>
          <w:szCs w:val="28"/>
        </w:rPr>
        <w:t>213.2</w:t>
      </w:r>
      <w:r>
        <w:rPr>
          <w:rFonts w:hint="eastAsia" w:ascii="仿宋_GB2312" w:hAnsi="宋体" w:eastAsia="仿宋_GB2312"/>
          <w:sz w:val="28"/>
          <w:szCs w:val="28"/>
        </w:rPr>
        <w:t>公顷，调整后竹根镇耕地保有量比原规划目标增加了</w:t>
      </w:r>
      <w:r>
        <w:rPr>
          <w:rFonts w:ascii="仿宋_GB2312" w:hAnsi="宋体" w:eastAsia="仿宋_GB2312"/>
          <w:sz w:val="28"/>
          <w:szCs w:val="28"/>
        </w:rPr>
        <w:t>213.2</w:t>
      </w:r>
      <w:r>
        <w:rPr>
          <w:rFonts w:hint="eastAsia" w:ascii="仿宋_GB2312" w:hAnsi="宋体" w:eastAsia="仿宋_GB2312"/>
          <w:sz w:val="28"/>
          <w:szCs w:val="28"/>
        </w:rPr>
        <w:t>公顷。</w:t>
      </w:r>
    </w:p>
    <w:p>
      <w:pPr>
        <w:pStyle w:val="3"/>
      </w:pPr>
      <w:bookmarkStart w:id="10" w:name="_Toc477699466"/>
      <w:bookmarkStart w:id="11" w:name="_Toc486804473"/>
      <w:r>
        <w:rPr>
          <w:rFonts w:hint="eastAsia"/>
        </w:rPr>
        <w:t>（二）基本农田保护面积调整</w:t>
      </w:r>
      <w:bookmarkEnd w:id="10"/>
      <w:bookmarkEnd w:id="11"/>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调整完善前竹根镇2020年基本农田保护面积为</w:t>
      </w:r>
      <w:r>
        <w:rPr>
          <w:rFonts w:ascii="仿宋_GB2312" w:hAnsi="宋体" w:eastAsia="仿宋_GB2312"/>
          <w:sz w:val="28"/>
          <w:szCs w:val="28"/>
        </w:rPr>
        <w:t>0</w:t>
      </w:r>
      <w:r>
        <w:rPr>
          <w:rFonts w:hint="eastAsia" w:ascii="仿宋_GB2312" w:hAnsi="宋体" w:eastAsia="仿宋_GB2312"/>
          <w:sz w:val="28"/>
          <w:szCs w:val="28"/>
        </w:rPr>
        <w:t>公顷</w:t>
      </w:r>
      <w:bookmarkStart w:id="12" w:name="_Toc477699467"/>
      <w:r>
        <w:rPr>
          <w:rFonts w:hint="eastAsia" w:ascii="仿宋_GB2312" w:hAnsi="宋体" w:eastAsia="仿宋_GB2312"/>
          <w:sz w:val="28"/>
          <w:szCs w:val="28"/>
        </w:rPr>
        <w:t>，此次调整完善未对全镇基本农田保护面积目标人均进行调整。</w:t>
      </w:r>
    </w:p>
    <w:p>
      <w:pPr>
        <w:pStyle w:val="3"/>
      </w:pPr>
      <w:bookmarkStart w:id="13" w:name="_Toc486804474"/>
      <w:r>
        <w:rPr>
          <w:rFonts w:hint="eastAsia"/>
        </w:rPr>
        <w:t>（三）建设用地规模调整</w:t>
      </w:r>
      <w:bookmarkEnd w:id="12"/>
      <w:bookmarkEnd w:id="13"/>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调整完善前竹根镇2020年建设用地总规模指标为</w:t>
      </w:r>
      <w:r>
        <w:rPr>
          <w:rFonts w:ascii="仿宋_GB2312" w:hAnsi="宋体" w:eastAsia="仿宋_GB2312"/>
          <w:sz w:val="28"/>
          <w:szCs w:val="28"/>
        </w:rPr>
        <w:t>1069.87</w:t>
      </w:r>
      <w:r>
        <w:rPr>
          <w:rFonts w:hint="eastAsia" w:ascii="仿宋_GB2312" w:hAnsi="宋体" w:eastAsia="仿宋_GB2312"/>
          <w:sz w:val="28"/>
          <w:szCs w:val="28"/>
        </w:rPr>
        <w:t>公顷，2014年现状建设用地为</w:t>
      </w:r>
      <w:r>
        <w:rPr>
          <w:rFonts w:ascii="仿宋_GB2312" w:hAnsi="宋体" w:eastAsia="仿宋_GB2312"/>
          <w:sz w:val="28"/>
          <w:szCs w:val="28"/>
        </w:rPr>
        <w:t>916.97</w:t>
      </w:r>
      <w:r>
        <w:rPr>
          <w:rFonts w:hint="eastAsia" w:ascii="仿宋_GB2312" w:hAnsi="宋体" w:eastAsia="仿宋_GB2312"/>
          <w:sz w:val="28"/>
          <w:szCs w:val="28"/>
        </w:rPr>
        <w:t>公顷，达到2020年规划目标值的</w:t>
      </w:r>
      <w:r>
        <w:rPr>
          <w:rFonts w:ascii="仿宋_GB2312" w:hAnsi="宋体" w:eastAsia="仿宋_GB2312"/>
          <w:sz w:val="28"/>
          <w:szCs w:val="28"/>
        </w:rPr>
        <w:t>85.71%</w:t>
      </w:r>
      <w:r>
        <w:rPr>
          <w:rFonts w:hint="eastAsia" w:ascii="仿宋_GB2312" w:hAnsi="宋体" w:eastAsia="仿宋_GB2312"/>
          <w:sz w:val="28"/>
          <w:szCs w:val="28"/>
        </w:rPr>
        <w:t>，完成了建设用地总规模指标的限制。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根据此次五通桥区土地利用总体规划调整完善方案下达到竹根镇的建设用地总规模指标，竹根镇的建设用地总规模调整为</w:t>
      </w:r>
      <w:r>
        <w:rPr>
          <w:rFonts w:ascii="仿宋_GB2312" w:hAnsi="宋体" w:eastAsia="仿宋_GB2312"/>
          <w:sz w:val="28"/>
          <w:szCs w:val="28"/>
        </w:rPr>
        <w:t>946.52</w:t>
      </w:r>
      <w:r>
        <w:rPr>
          <w:rFonts w:hint="eastAsia" w:ascii="仿宋_GB2312" w:hAnsi="宋体" w:eastAsia="仿宋_GB2312"/>
          <w:sz w:val="28"/>
          <w:szCs w:val="28"/>
        </w:rPr>
        <w:t>公顷，调整后竹根镇建设用地总规模比原规划目标减少了</w:t>
      </w:r>
      <w:r>
        <w:rPr>
          <w:rFonts w:ascii="仿宋_GB2312" w:hAnsi="宋体" w:eastAsia="仿宋_GB2312"/>
          <w:sz w:val="28"/>
          <w:szCs w:val="28"/>
        </w:rPr>
        <w:t>123.35</w:t>
      </w:r>
      <w:r>
        <w:rPr>
          <w:rFonts w:hint="eastAsia" w:ascii="仿宋_GB2312" w:hAnsi="宋体" w:eastAsia="仿宋_GB2312"/>
          <w:sz w:val="28"/>
          <w:szCs w:val="28"/>
        </w:rPr>
        <w:t>公顷。</w:t>
      </w:r>
    </w:p>
    <w:p>
      <w:pPr>
        <w:pStyle w:val="3"/>
      </w:pPr>
      <w:bookmarkStart w:id="14" w:name="_Toc486804475"/>
      <w:bookmarkStart w:id="15" w:name="_Toc477699468"/>
      <w:r>
        <w:rPr>
          <w:rFonts w:hint="eastAsia"/>
        </w:rPr>
        <w:t>（四）城乡建设用地规模调整</w:t>
      </w:r>
      <w:bookmarkEnd w:id="14"/>
      <w:bookmarkEnd w:id="15"/>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调整完善前竹根镇2020年城乡建设用地总规模指标为</w:t>
      </w:r>
      <w:r>
        <w:rPr>
          <w:rFonts w:ascii="仿宋_GB2312" w:hAnsi="宋体" w:eastAsia="仿宋_GB2312"/>
          <w:sz w:val="28"/>
          <w:szCs w:val="28"/>
        </w:rPr>
        <w:t>1064.16</w:t>
      </w:r>
      <w:r>
        <w:rPr>
          <w:rFonts w:hint="eastAsia" w:ascii="仿宋_GB2312" w:hAnsi="宋体" w:eastAsia="仿宋_GB2312"/>
          <w:sz w:val="28"/>
          <w:szCs w:val="28"/>
        </w:rPr>
        <w:t>公顷。2014年现状城乡建设用地为</w:t>
      </w:r>
      <w:r>
        <w:rPr>
          <w:rFonts w:ascii="仿宋_GB2312" w:hAnsi="宋体" w:eastAsia="仿宋_GB2312"/>
          <w:sz w:val="28"/>
          <w:szCs w:val="28"/>
        </w:rPr>
        <w:t>899.45</w:t>
      </w:r>
      <w:r>
        <w:rPr>
          <w:rFonts w:hint="eastAsia" w:ascii="仿宋_GB2312" w:hAnsi="宋体" w:eastAsia="仿宋_GB2312"/>
          <w:sz w:val="28"/>
          <w:szCs w:val="28"/>
        </w:rPr>
        <w:t>公顷，达到2020年规划目标的</w:t>
      </w:r>
      <w:r>
        <w:rPr>
          <w:rFonts w:ascii="仿宋_GB2312" w:hAnsi="宋体" w:eastAsia="仿宋_GB2312"/>
          <w:sz w:val="28"/>
          <w:szCs w:val="28"/>
        </w:rPr>
        <w:t>84.52%</w:t>
      </w:r>
      <w:r>
        <w:rPr>
          <w:rFonts w:hint="eastAsia" w:ascii="仿宋_GB2312" w:hAnsi="宋体" w:eastAsia="仿宋_GB2312"/>
          <w:sz w:val="28"/>
          <w:szCs w:val="28"/>
        </w:rPr>
        <w:t>。完成了城乡建设用地规模指标的控制。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根据此次五通桥区土地利用总体规划调整完善方案下达到竹根镇的城乡建设用地总规模指标，竹根镇的城乡建设用地总规模调整为</w:t>
      </w:r>
      <w:r>
        <w:rPr>
          <w:rFonts w:ascii="仿宋_GB2312" w:hAnsi="宋体" w:eastAsia="仿宋_GB2312"/>
          <w:sz w:val="28"/>
          <w:szCs w:val="28"/>
        </w:rPr>
        <w:t>924.62</w:t>
      </w:r>
      <w:r>
        <w:rPr>
          <w:rFonts w:hint="eastAsia" w:ascii="仿宋_GB2312" w:hAnsi="宋体" w:eastAsia="仿宋_GB2312"/>
          <w:sz w:val="28"/>
          <w:szCs w:val="28"/>
        </w:rPr>
        <w:t>公顷，调整后竹根镇城乡建设用地规模比原规划减少了</w:t>
      </w:r>
      <w:r>
        <w:rPr>
          <w:rFonts w:ascii="仿宋_GB2312" w:hAnsi="宋体" w:eastAsia="仿宋_GB2312"/>
          <w:sz w:val="28"/>
          <w:szCs w:val="28"/>
        </w:rPr>
        <w:t>139.54</w:t>
      </w:r>
      <w:r>
        <w:rPr>
          <w:rFonts w:hint="eastAsia" w:ascii="仿宋_GB2312" w:hAnsi="宋体" w:eastAsia="仿宋_GB2312"/>
          <w:sz w:val="28"/>
          <w:szCs w:val="28"/>
        </w:rPr>
        <w:t>公顷。</w:t>
      </w:r>
    </w:p>
    <w:p>
      <w:pPr>
        <w:pStyle w:val="3"/>
      </w:pPr>
      <w:bookmarkStart w:id="16" w:name="_Toc477699469"/>
      <w:bookmarkStart w:id="17" w:name="_Toc486804476"/>
      <w:r>
        <w:rPr>
          <w:rFonts w:hint="eastAsia"/>
        </w:rPr>
        <w:t>（五）城镇工矿用地规模调整</w:t>
      </w:r>
      <w:bookmarkEnd w:id="16"/>
      <w:bookmarkEnd w:id="17"/>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规划调整完善前竹根镇2020年城镇工矿建设用地规模指标为</w:t>
      </w:r>
      <w:r>
        <w:rPr>
          <w:rFonts w:ascii="仿宋_GB2312" w:hAnsi="宋体" w:eastAsia="仿宋_GB2312"/>
          <w:sz w:val="28"/>
          <w:szCs w:val="28"/>
        </w:rPr>
        <w:t>1047.58</w:t>
      </w:r>
      <w:r>
        <w:rPr>
          <w:rFonts w:hint="eastAsia" w:ascii="仿宋_GB2312" w:hAnsi="宋体" w:eastAsia="仿宋_GB2312"/>
          <w:sz w:val="28"/>
          <w:szCs w:val="28"/>
        </w:rPr>
        <w:t>公顷，2014年现状城镇工矿建设用地为</w:t>
      </w:r>
      <w:r>
        <w:rPr>
          <w:rFonts w:ascii="仿宋_GB2312" w:hAnsi="宋体" w:eastAsia="仿宋_GB2312"/>
          <w:sz w:val="28"/>
          <w:szCs w:val="28"/>
        </w:rPr>
        <w:t>865.86</w:t>
      </w:r>
      <w:r>
        <w:rPr>
          <w:rFonts w:hint="eastAsia" w:ascii="仿宋_GB2312" w:hAnsi="宋体" w:eastAsia="仿宋_GB2312"/>
          <w:sz w:val="28"/>
          <w:szCs w:val="28"/>
        </w:rPr>
        <w:t>公顷，达到2020年规划目标的</w:t>
      </w:r>
      <w:r>
        <w:rPr>
          <w:rFonts w:ascii="仿宋_GB2312" w:hAnsi="宋体" w:eastAsia="仿宋_GB2312"/>
          <w:sz w:val="28"/>
          <w:szCs w:val="28"/>
        </w:rPr>
        <w:t>82.65%</w:t>
      </w:r>
      <w:r>
        <w:rPr>
          <w:rFonts w:hint="eastAsia" w:ascii="仿宋_GB2312" w:hAnsi="宋体" w:eastAsia="仿宋_GB2312"/>
          <w:sz w:val="28"/>
          <w:szCs w:val="28"/>
        </w:rPr>
        <w:t>。完成了城镇工矿用地规模指标的控制。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根据此次五通桥区土地利用总体规划调整完善方案下达到竹根镇的城镇工矿用地规模指标，竹根镇的城镇工矿用地规模调整为</w:t>
      </w:r>
      <w:r>
        <w:rPr>
          <w:rFonts w:ascii="仿宋_GB2312" w:hAnsi="宋体" w:eastAsia="仿宋_GB2312"/>
          <w:sz w:val="28"/>
          <w:szCs w:val="28"/>
        </w:rPr>
        <w:t>891.03</w:t>
      </w:r>
      <w:r>
        <w:rPr>
          <w:rFonts w:hint="eastAsia" w:ascii="仿宋_GB2312" w:hAnsi="宋体" w:eastAsia="仿宋_GB2312"/>
          <w:sz w:val="28"/>
          <w:szCs w:val="28"/>
        </w:rPr>
        <w:t>公顷，调整后竹根镇城镇工矿用地规模比原规划指标减少了</w:t>
      </w:r>
      <w:r>
        <w:rPr>
          <w:rFonts w:ascii="仿宋_GB2312" w:hAnsi="宋体" w:eastAsia="仿宋_GB2312"/>
          <w:sz w:val="28"/>
          <w:szCs w:val="28"/>
        </w:rPr>
        <w:t>156.55</w:t>
      </w:r>
      <w:r>
        <w:rPr>
          <w:rFonts w:hint="eastAsia" w:ascii="仿宋_GB2312" w:hAnsi="宋体" w:eastAsia="仿宋_GB2312"/>
          <w:sz w:val="28"/>
          <w:szCs w:val="28"/>
        </w:rPr>
        <w:t>公顷。</w:t>
      </w:r>
    </w:p>
    <w:p>
      <w:pPr>
        <w:pStyle w:val="3"/>
      </w:pPr>
      <w:bookmarkStart w:id="18" w:name="_Toc477699470"/>
      <w:bookmarkStart w:id="19" w:name="_Toc486804477"/>
      <w:r>
        <w:rPr>
          <w:rFonts w:hint="eastAsia"/>
        </w:rPr>
        <w:t>（六）新增建设用地总量</w:t>
      </w:r>
      <w:bookmarkEnd w:id="18"/>
      <w:bookmarkEnd w:id="19"/>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根据此次五通桥区土地利用总体规划调整完善方案下达到竹根镇的新增建设用地指标，竹根镇的新增建设用地调整为</w:t>
      </w:r>
      <w:r>
        <w:rPr>
          <w:rFonts w:ascii="仿宋_GB2312" w:hAnsi="宋体" w:eastAsia="仿宋_GB2312"/>
          <w:sz w:val="28"/>
          <w:szCs w:val="28"/>
        </w:rPr>
        <w:t>29.55</w:t>
      </w:r>
      <w:r>
        <w:rPr>
          <w:rFonts w:hint="eastAsia" w:ascii="仿宋_GB2312" w:hAnsi="宋体" w:eastAsia="仿宋_GB2312"/>
          <w:sz w:val="28"/>
          <w:szCs w:val="28"/>
        </w:rPr>
        <w:t>公顷。</w:t>
      </w:r>
    </w:p>
    <w:p>
      <w:pPr>
        <w:pStyle w:val="3"/>
      </w:pPr>
      <w:bookmarkStart w:id="20" w:name="_Toc477699471"/>
      <w:bookmarkStart w:id="21" w:name="_Toc486804478"/>
      <w:r>
        <w:rPr>
          <w:rFonts w:hint="eastAsia"/>
        </w:rPr>
        <w:t>（七）新增建设用地占用耕地指标</w:t>
      </w:r>
      <w:bookmarkEnd w:id="20"/>
      <w:bookmarkEnd w:id="21"/>
    </w:p>
    <w:p>
      <w:pPr>
        <w:ind w:firstLine="560" w:firstLineChars="200"/>
        <w:rPr>
          <w:rFonts w:ascii="仿宋_GB2312" w:hAnsi="宋体" w:eastAsia="仿宋_GB2312"/>
          <w:sz w:val="28"/>
          <w:szCs w:val="28"/>
        </w:rPr>
      </w:pPr>
      <w:bookmarkStart w:id="22" w:name="_Toc477699472"/>
      <w:r>
        <w:rPr>
          <w:rFonts w:hint="eastAsia" w:ascii="仿宋_GB2312" w:hAnsi="宋体" w:eastAsia="仿宋_GB2312"/>
          <w:sz w:val="28"/>
          <w:szCs w:val="28"/>
        </w:rPr>
        <w:t>根据此次五通桥区土地利用总体规划调整完善方案下达到竹根镇的新增建设用地占用耕地指标，竹根镇的新增建设用地占用耕地调整为</w:t>
      </w:r>
      <w:r>
        <w:rPr>
          <w:rFonts w:ascii="仿宋_GB2312" w:hAnsi="宋体" w:eastAsia="仿宋_GB2312"/>
          <w:sz w:val="28"/>
          <w:szCs w:val="28"/>
        </w:rPr>
        <w:t>22.42</w:t>
      </w:r>
      <w:r>
        <w:rPr>
          <w:rFonts w:hint="eastAsia" w:ascii="仿宋_GB2312" w:hAnsi="宋体" w:eastAsia="仿宋_GB2312"/>
          <w:sz w:val="28"/>
          <w:szCs w:val="28"/>
        </w:rPr>
        <w:t>公顷。</w:t>
      </w:r>
    </w:p>
    <w:p>
      <w:pPr>
        <w:pStyle w:val="3"/>
      </w:pPr>
      <w:bookmarkStart w:id="23" w:name="_Toc486804479"/>
      <w:r>
        <w:rPr>
          <w:rFonts w:hint="eastAsia"/>
        </w:rPr>
        <w:t>（八）新增建设用地占用农用地指标</w:t>
      </w:r>
      <w:bookmarkEnd w:id="22"/>
      <w:bookmarkEnd w:id="23"/>
    </w:p>
    <w:p>
      <w:pPr>
        <w:ind w:firstLine="560" w:firstLineChars="200"/>
        <w:rPr>
          <w:rFonts w:ascii="仿宋_GB2312" w:hAnsi="宋体" w:eastAsia="仿宋_GB2312"/>
          <w:sz w:val="28"/>
          <w:szCs w:val="28"/>
        </w:rPr>
      </w:pPr>
      <w:bookmarkStart w:id="24" w:name="_Toc477699473"/>
      <w:r>
        <w:rPr>
          <w:rFonts w:hint="eastAsia" w:ascii="仿宋_GB2312" w:hAnsi="宋体" w:eastAsia="仿宋_GB2312"/>
          <w:sz w:val="28"/>
          <w:szCs w:val="28"/>
        </w:rPr>
        <w:t>根据此次五通桥区土地利用总体规划调整完善方案下达到竹根镇的新增建设用地占用农用地指标，竹根镇的新增建设用地占用农用地调整为</w:t>
      </w:r>
      <w:r>
        <w:rPr>
          <w:rFonts w:ascii="仿宋_GB2312" w:hAnsi="宋体" w:eastAsia="仿宋_GB2312"/>
          <w:sz w:val="28"/>
          <w:szCs w:val="28"/>
        </w:rPr>
        <w:t>29.55</w:t>
      </w:r>
      <w:r>
        <w:rPr>
          <w:rFonts w:hint="eastAsia" w:ascii="仿宋_GB2312" w:hAnsi="宋体" w:eastAsia="仿宋_GB2312"/>
          <w:sz w:val="28"/>
          <w:szCs w:val="28"/>
        </w:rPr>
        <w:t>公顷。</w:t>
      </w:r>
    </w:p>
    <w:p>
      <w:pPr>
        <w:pStyle w:val="3"/>
      </w:pPr>
      <w:bookmarkStart w:id="25" w:name="_Toc486804480"/>
      <w:r>
        <w:rPr>
          <w:rFonts w:hint="eastAsia"/>
        </w:rPr>
        <w:t>（九）土地整治补充耕地规模</w:t>
      </w:r>
      <w:bookmarkEnd w:id="24"/>
      <w:bookmarkEnd w:id="25"/>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根据此次五通桥区土地利用总体规划调整完善方案下达到竹根镇的补充耕地义务量指标，竹根镇的补充耕地义务量调整为</w:t>
      </w:r>
      <w:r>
        <w:rPr>
          <w:rFonts w:ascii="仿宋_GB2312" w:hAnsi="宋体" w:eastAsia="仿宋_GB2312"/>
          <w:sz w:val="28"/>
          <w:szCs w:val="28"/>
        </w:rPr>
        <w:t>0</w:t>
      </w:r>
      <w:r>
        <w:rPr>
          <w:rFonts w:hint="eastAsia" w:ascii="仿宋_GB2312" w:hAnsi="宋体" w:eastAsia="仿宋_GB2312"/>
          <w:sz w:val="28"/>
          <w:szCs w:val="28"/>
        </w:rPr>
        <w:t>公顷。</w:t>
      </w:r>
    </w:p>
    <w:p>
      <w:pPr>
        <w:pStyle w:val="3"/>
      </w:pPr>
      <w:bookmarkStart w:id="26" w:name="_Toc485386618"/>
      <w:bookmarkStart w:id="27" w:name="_Toc486804481"/>
      <w:r>
        <w:rPr>
          <w:rFonts w:hint="eastAsia"/>
        </w:rPr>
        <w:t>（十）人均城镇工矿用地规模</w:t>
      </w:r>
      <w:bookmarkEnd w:id="26"/>
      <w:bookmarkEnd w:id="27"/>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按照2020年城镇工矿用地面积除以2020年城镇人口计算，结合此次规划调整完善上级下达到竹根镇的人均城镇工矿用地规模，到2020年，全镇人均城镇工矿用地面积为120平方米。</w:t>
      </w:r>
    </w:p>
    <w:p>
      <w:pPr>
        <w:pStyle w:val="3"/>
      </w:pPr>
      <w:bookmarkStart w:id="28" w:name="_Toc485386619"/>
      <w:bookmarkStart w:id="29" w:name="_Toc486804482"/>
      <w:r>
        <w:rPr>
          <w:rFonts w:hint="eastAsia"/>
        </w:rPr>
        <w:t>（十一）园地面积调整</w:t>
      </w:r>
      <w:bookmarkEnd w:id="28"/>
      <w:bookmarkEnd w:id="29"/>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根据此次五通桥区土地利用总体规划调整完善方案下达到竹根镇的园地保有量指标，竹根镇的园地保有量调整为</w:t>
      </w:r>
      <w:r>
        <w:rPr>
          <w:rFonts w:ascii="仿宋_GB2312" w:eastAsia="仿宋_GB2312" w:hAnsiTheme="minorEastAsia"/>
          <w:sz w:val="28"/>
          <w:szCs w:val="28"/>
        </w:rPr>
        <w:t>14.58</w:t>
      </w:r>
      <w:r>
        <w:rPr>
          <w:rFonts w:hint="eastAsia" w:ascii="仿宋_GB2312" w:eastAsia="仿宋_GB2312" w:hAnsiTheme="minorEastAsia"/>
          <w:sz w:val="28"/>
          <w:szCs w:val="28"/>
        </w:rPr>
        <w:t>公顷。</w:t>
      </w:r>
    </w:p>
    <w:p>
      <w:pPr>
        <w:pStyle w:val="3"/>
      </w:pPr>
      <w:bookmarkStart w:id="30" w:name="_Toc486804483"/>
      <w:bookmarkStart w:id="31" w:name="_Toc485386620"/>
      <w:r>
        <w:rPr>
          <w:rFonts w:hint="eastAsia"/>
        </w:rPr>
        <w:t>（十二）林地面积调整</w:t>
      </w:r>
      <w:bookmarkEnd w:id="30"/>
      <w:bookmarkEnd w:id="31"/>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根据此次五通桥区土地利用总体规划调整完善方案下达到竹根镇的林地保有量指标，竹根镇的林地保有量调整为</w:t>
      </w:r>
      <w:r>
        <w:rPr>
          <w:rFonts w:ascii="仿宋_GB2312" w:eastAsia="仿宋_GB2312" w:hAnsiTheme="minorEastAsia"/>
          <w:sz w:val="28"/>
          <w:szCs w:val="28"/>
        </w:rPr>
        <w:t>22.15</w:t>
      </w:r>
      <w:r>
        <w:rPr>
          <w:rFonts w:hint="eastAsia" w:ascii="仿宋_GB2312" w:eastAsia="仿宋_GB2312" w:hAnsiTheme="minorEastAsia"/>
          <w:sz w:val="28"/>
          <w:szCs w:val="28"/>
        </w:rPr>
        <w:t>公顷。</w:t>
      </w:r>
    </w:p>
    <w:p>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pPr>
        <w:ind w:firstLine="560" w:firstLineChars="200"/>
        <w:rPr>
          <w:rFonts w:ascii="仿宋_GB2312" w:hAnsi="宋体" w:eastAsia="仿宋_GB2312"/>
          <w:sz w:val="28"/>
          <w:szCs w:val="28"/>
        </w:rPr>
      </w:pPr>
    </w:p>
    <w:p>
      <w:pPr>
        <w:pStyle w:val="2"/>
      </w:pPr>
      <w:bookmarkStart w:id="32" w:name="_Toc486804484"/>
      <w:r>
        <w:rPr>
          <w:rFonts w:hint="eastAsia"/>
        </w:rPr>
        <w:t>三、土地利用结构和布局调整</w:t>
      </w:r>
      <w:bookmarkEnd w:id="32"/>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为实现规划期土地利用各项目标，结合竹根镇社会经济发展实际，对农用地、建设用地（城乡建设用地、交通水利用地）、其他土地的结构进行优化调整。其结构调整情况如下：</w:t>
      </w:r>
    </w:p>
    <w:p>
      <w:pPr>
        <w:pStyle w:val="3"/>
      </w:pPr>
      <w:bookmarkStart w:id="33" w:name="_Toc486804485"/>
      <w:r>
        <w:rPr>
          <w:rFonts w:hint="eastAsia"/>
        </w:rPr>
        <w:t>（一）农用地结构和布局调整</w:t>
      </w:r>
      <w:bookmarkEnd w:id="33"/>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规划调整完善后竹根镇2</w:t>
      </w:r>
      <w:r>
        <w:rPr>
          <w:rFonts w:ascii="仿宋_GB2312" w:hAnsi="宋体" w:eastAsia="仿宋_GB2312"/>
          <w:sz w:val="28"/>
          <w:szCs w:val="28"/>
        </w:rPr>
        <w:t>020</w:t>
      </w:r>
      <w:r>
        <w:rPr>
          <w:rFonts w:hint="eastAsia" w:ascii="仿宋_GB2312" w:hAnsi="宋体" w:eastAsia="仿宋_GB2312"/>
          <w:sz w:val="28"/>
          <w:szCs w:val="28"/>
        </w:rPr>
        <w:t>年农用地总规模为</w:t>
      </w:r>
      <w:r>
        <w:rPr>
          <w:rFonts w:ascii="仿宋_GB2312" w:hAnsi="宋体" w:eastAsia="仿宋_GB2312"/>
          <w:sz w:val="28"/>
          <w:szCs w:val="28"/>
        </w:rPr>
        <w:t>263.82</w:t>
      </w:r>
      <w:r>
        <w:rPr>
          <w:rFonts w:hint="eastAsia" w:ascii="仿宋_GB2312" w:hAnsi="宋体" w:eastAsia="仿宋_GB2312"/>
          <w:sz w:val="28"/>
          <w:szCs w:val="28"/>
        </w:rPr>
        <w:t>公顷，占全镇土地总面积的比例为</w:t>
      </w:r>
      <w:r>
        <w:rPr>
          <w:rFonts w:ascii="仿宋_GB2312" w:hAnsi="宋体" w:eastAsia="仿宋_GB2312"/>
          <w:sz w:val="28"/>
          <w:szCs w:val="28"/>
        </w:rPr>
        <w:t>15.71%</w:t>
      </w:r>
      <w:r>
        <w:rPr>
          <w:rFonts w:hint="eastAsia" w:ascii="仿宋_GB2312" w:hAnsi="宋体" w:eastAsia="仿宋_GB2312"/>
          <w:sz w:val="28"/>
          <w:szCs w:val="28"/>
        </w:rPr>
        <w:t>，其中耕地</w:t>
      </w:r>
      <w:r>
        <w:rPr>
          <w:rFonts w:ascii="仿宋_GB2312" w:hAnsi="宋体" w:eastAsia="仿宋_GB2312"/>
          <w:sz w:val="28"/>
          <w:szCs w:val="28"/>
        </w:rPr>
        <w:t>213.2</w:t>
      </w:r>
      <w:r>
        <w:rPr>
          <w:rFonts w:hint="eastAsia" w:ascii="仿宋_GB2312" w:hAnsi="宋体" w:eastAsia="仿宋_GB2312"/>
          <w:sz w:val="28"/>
          <w:szCs w:val="28"/>
        </w:rPr>
        <w:t>公顷，占农用地总面积的比例为</w:t>
      </w:r>
      <w:r>
        <w:rPr>
          <w:rFonts w:ascii="仿宋_GB2312" w:hAnsi="宋体" w:eastAsia="仿宋_GB2312"/>
          <w:sz w:val="28"/>
          <w:szCs w:val="28"/>
        </w:rPr>
        <w:t>80.81%</w:t>
      </w:r>
      <w:r>
        <w:rPr>
          <w:rFonts w:hint="eastAsia" w:ascii="仿宋_GB2312" w:hAnsi="宋体" w:eastAsia="仿宋_GB2312"/>
          <w:sz w:val="28"/>
          <w:szCs w:val="28"/>
        </w:rPr>
        <w:t>；园地</w:t>
      </w:r>
      <w:r>
        <w:rPr>
          <w:rFonts w:ascii="仿宋_GB2312" w:hAnsi="宋体" w:eastAsia="仿宋_GB2312"/>
          <w:sz w:val="28"/>
          <w:szCs w:val="28"/>
        </w:rPr>
        <w:t>14.58</w:t>
      </w:r>
      <w:r>
        <w:rPr>
          <w:rFonts w:hint="eastAsia" w:ascii="仿宋_GB2312" w:hAnsi="宋体" w:eastAsia="仿宋_GB2312"/>
          <w:sz w:val="28"/>
          <w:szCs w:val="28"/>
        </w:rPr>
        <w:t>公顷，占农用地总面积的比例为</w:t>
      </w:r>
      <w:r>
        <w:rPr>
          <w:rFonts w:ascii="仿宋_GB2312" w:hAnsi="宋体" w:eastAsia="仿宋_GB2312"/>
          <w:sz w:val="28"/>
          <w:szCs w:val="28"/>
        </w:rPr>
        <w:t>5.53%</w:t>
      </w:r>
      <w:r>
        <w:rPr>
          <w:rFonts w:hint="eastAsia" w:ascii="仿宋_GB2312" w:hAnsi="宋体" w:eastAsia="仿宋_GB2312"/>
          <w:sz w:val="28"/>
          <w:szCs w:val="28"/>
        </w:rPr>
        <w:t>；林地规模为</w:t>
      </w:r>
      <w:r>
        <w:rPr>
          <w:rFonts w:ascii="仿宋_GB2312" w:hAnsi="宋体" w:eastAsia="仿宋_GB2312"/>
          <w:sz w:val="28"/>
          <w:szCs w:val="28"/>
        </w:rPr>
        <w:t>22.15</w:t>
      </w:r>
      <w:r>
        <w:rPr>
          <w:rFonts w:hint="eastAsia" w:ascii="仿宋_GB2312" w:hAnsi="宋体" w:eastAsia="仿宋_GB2312"/>
          <w:sz w:val="28"/>
          <w:szCs w:val="28"/>
        </w:rPr>
        <w:t>公顷，占农用地总面积的比例为</w:t>
      </w:r>
      <w:r>
        <w:rPr>
          <w:rFonts w:ascii="仿宋_GB2312" w:hAnsi="宋体" w:eastAsia="仿宋_GB2312"/>
          <w:sz w:val="28"/>
          <w:szCs w:val="28"/>
        </w:rPr>
        <w:t>8.4%</w:t>
      </w:r>
      <w:r>
        <w:rPr>
          <w:rFonts w:hint="eastAsia" w:ascii="仿宋_GB2312" w:hAnsi="宋体" w:eastAsia="仿宋_GB2312"/>
          <w:sz w:val="28"/>
          <w:szCs w:val="28"/>
        </w:rPr>
        <w:t>；其他农用地规模为</w:t>
      </w:r>
      <w:r>
        <w:rPr>
          <w:rFonts w:ascii="仿宋_GB2312" w:hAnsi="宋体" w:eastAsia="仿宋_GB2312"/>
          <w:sz w:val="28"/>
          <w:szCs w:val="28"/>
        </w:rPr>
        <w:t>13.89</w:t>
      </w:r>
      <w:r>
        <w:rPr>
          <w:rFonts w:hint="eastAsia" w:ascii="仿宋_GB2312" w:hAnsi="宋体" w:eastAsia="仿宋_GB2312"/>
          <w:sz w:val="28"/>
          <w:szCs w:val="28"/>
        </w:rPr>
        <w:t>公顷，占农用地总面积的比例为</w:t>
      </w:r>
      <w:r>
        <w:rPr>
          <w:rFonts w:ascii="仿宋_GB2312" w:hAnsi="宋体" w:eastAsia="仿宋_GB2312"/>
          <w:sz w:val="28"/>
          <w:szCs w:val="28"/>
        </w:rPr>
        <w:t>5.26%</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调整后全镇耕地主要分布情况为竹根镇城区</w:t>
      </w:r>
      <w:r>
        <w:rPr>
          <w:rFonts w:ascii="仿宋_GB2312" w:hAnsi="宋体" w:eastAsia="仿宋_GB2312"/>
          <w:sz w:val="28"/>
          <w:szCs w:val="28"/>
        </w:rPr>
        <w:t>21.21</w:t>
      </w:r>
      <w:r>
        <w:rPr>
          <w:rFonts w:hint="eastAsia" w:ascii="仿宋_GB2312" w:hAnsi="宋体" w:eastAsia="仿宋_GB2312"/>
          <w:sz w:val="28"/>
          <w:szCs w:val="28"/>
        </w:rPr>
        <w:t>公顷、新华村</w:t>
      </w:r>
      <w:r>
        <w:rPr>
          <w:rFonts w:ascii="仿宋_GB2312" w:hAnsi="宋体" w:eastAsia="仿宋_GB2312"/>
          <w:sz w:val="28"/>
          <w:szCs w:val="28"/>
        </w:rPr>
        <w:t>0.15</w:t>
      </w:r>
      <w:r>
        <w:rPr>
          <w:rFonts w:hint="eastAsia" w:ascii="仿宋_GB2312" w:hAnsi="宋体" w:eastAsia="仿宋_GB2312"/>
          <w:sz w:val="28"/>
          <w:szCs w:val="28"/>
        </w:rPr>
        <w:t>公顷、幸福村</w:t>
      </w:r>
      <w:r>
        <w:rPr>
          <w:rFonts w:ascii="仿宋_GB2312" w:hAnsi="宋体" w:eastAsia="仿宋_GB2312"/>
          <w:sz w:val="28"/>
          <w:szCs w:val="28"/>
        </w:rPr>
        <w:t>8.23</w:t>
      </w:r>
      <w:r>
        <w:rPr>
          <w:rFonts w:hint="eastAsia" w:ascii="仿宋_GB2312" w:hAnsi="宋体" w:eastAsia="仿宋_GB2312"/>
          <w:sz w:val="28"/>
          <w:szCs w:val="28"/>
        </w:rPr>
        <w:t>公顷、易坝村</w:t>
      </w:r>
      <w:r>
        <w:rPr>
          <w:rFonts w:ascii="仿宋_GB2312" w:hAnsi="宋体" w:eastAsia="仿宋_GB2312"/>
          <w:sz w:val="28"/>
          <w:szCs w:val="28"/>
        </w:rPr>
        <w:t>183.61</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调整后全镇园地主要分布情况为竹根镇城区</w:t>
      </w:r>
      <w:r>
        <w:rPr>
          <w:rFonts w:ascii="仿宋_GB2312" w:hAnsi="宋体" w:eastAsia="仿宋_GB2312"/>
          <w:sz w:val="28"/>
          <w:szCs w:val="28"/>
        </w:rPr>
        <w:t>0.61</w:t>
      </w:r>
      <w:r>
        <w:rPr>
          <w:rFonts w:hint="eastAsia" w:ascii="仿宋_GB2312" w:hAnsi="宋体" w:eastAsia="仿宋_GB2312"/>
          <w:sz w:val="28"/>
          <w:szCs w:val="28"/>
        </w:rPr>
        <w:t>公顷、幸福村</w:t>
      </w:r>
      <w:r>
        <w:rPr>
          <w:rFonts w:ascii="仿宋_GB2312" w:hAnsi="宋体" w:eastAsia="仿宋_GB2312"/>
          <w:sz w:val="28"/>
          <w:szCs w:val="28"/>
        </w:rPr>
        <w:t>0.61</w:t>
      </w:r>
      <w:r>
        <w:rPr>
          <w:rFonts w:hint="eastAsia" w:ascii="仿宋_GB2312" w:hAnsi="宋体" w:eastAsia="仿宋_GB2312"/>
          <w:sz w:val="28"/>
          <w:szCs w:val="28"/>
        </w:rPr>
        <w:t>公顷、易坝村</w:t>
      </w:r>
      <w:r>
        <w:rPr>
          <w:rFonts w:ascii="仿宋_GB2312" w:hAnsi="宋体" w:eastAsia="仿宋_GB2312"/>
          <w:sz w:val="28"/>
          <w:szCs w:val="28"/>
        </w:rPr>
        <w:t>13.36</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调整后全镇林地主要分布情况为竹根镇城区</w:t>
      </w:r>
      <w:r>
        <w:rPr>
          <w:rFonts w:ascii="仿宋_GB2312" w:hAnsi="宋体" w:eastAsia="仿宋_GB2312"/>
          <w:sz w:val="28"/>
          <w:szCs w:val="28"/>
        </w:rPr>
        <w:t>6.20</w:t>
      </w:r>
      <w:r>
        <w:rPr>
          <w:rFonts w:hint="eastAsia" w:ascii="仿宋_GB2312" w:hAnsi="宋体" w:eastAsia="仿宋_GB2312"/>
          <w:sz w:val="28"/>
          <w:szCs w:val="28"/>
        </w:rPr>
        <w:t>公顷、新华村</w:t>
      </w:r>
      <w:r>
        <w:rPr>
          <w:rFonts w:ascii="仿宋_GB2312" w:hAnsi="宋体" w:eastAsia="仿宋_GB2312"/>
          <w:sz w:val="28"/>
          <w:szCs w:val="28"/>
        </w:rPr>
        <w:t>0.45</w:t>
      </w:r>
      <w:r>
        <w:rPr>
          <w:rFonts w:hint="eastAsia" w:ascii="仿宋_GB2312" w:hAnsi="宋体" w:eastAsia="仿宋_GB2312"/>
          <w:sz w:val="28"/>
          <w:szCs w:val="28"/>
        </w:rPr>
        <w:t>公顷、幸福村</w:t>
      </w:r>
      <w:r>
        <w:rPr>
          <w:rFonts w:ascii="仿宋_GB2312" w:hAnsi="宋体" w:eastAsia="仿宋_GB2312"/>
          <w:sz w:val="28"/>
          <w:szCs w:val="28"/>
        </w:rPr>
        <w:t>3.71</w:t>
      </w:r>
      <w:r>
        <w:rPr>
          <w:rFonts w:hint="eastAsia" w:ascii="仿宋_GB2312" w:hAnsi="宋体" w:eastAsia="仿宋_GB2312"/>
          <w:sz w:val="28"/>
          <w:szCs w:val="28"/>
        </w:rPr>
        <w:t>公顷、易坝村</w:t>
      </w:r>
      <w:r>
        <w:rPr>
          <w:rFonts w:ascii="仿宋_GB2312" w:hAnsi="宋体" w:eastAsia="仿宋_GB2312"/>
          <w:sz w:val="28"/>
          <w:szCs w:val="28"/>
        </w:rPr>
        <w:t>11.79</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调整后全镇其他农用地主要分布情况为竹根镇城区</w:t>
      </w:r>
      <w:r>
        <w:rPr>
          <w:rFonts w:ascii="仿宋_GB2312" w:hAnsi="宋体" w:eastAsia="仿宋_GB2312"/>
          <w:sz w:val="28"/>
          <w:szCs w:val="28"/>
        </w:rPr>
        <w:t>0.53</w:t>
      </w:r>
      <w:r>
        <w:rPr>
          <w:rFonts w:hint="eastAsia" w:ascii="仿宋_GB2312" w:hAnsi="宋体" w:eastAsia="仿宋_GB2312"/>
          <w:sz w:val="28"/>
          <w:szCs w:val="28"/>
        </w:rPr>
        <w:t>公顷、新华村</w:t>
      </w:r>
      <w:r>
        <w:rPr>
          <w:rFonts w:ascii="仿宋_GB2312" w:hAnsi="宋体" w:eastAsia="仿宋_GB2312"/>
          <w:sz w:val="28"/>
          <w:szCs w:val="28"/>
        </w:rPr>
        <w:t>0.09</w:t>
      </w:r>
      <w:r>
        <w:rPr>
          <w:rFonts w:hint="eastAsia" w:ascii="仿宋_GB2312" w:hAnsi="宋体" w:eastAsia="仿宋_GB2312"/>
          <w:sz w:val="28"/>
          <w:szCs w:val="28"/>
        </w:rPr>
        <w:t>公顷、幸福村</w:t>
      </w:r>
      <w:r>
        <w:rPr>
          <w:rFonts w:ascii="仿宋_GB2312" w:hAnsi="宋体" w:eastAsia="仿宋_GB2312"/>
          <w:sz w:val="28"/>
          <w:szCs w:val="28"/>
        </w:rPr>
        <w:t>0.33</w:t>
      </w:r>
      <w:r>
        <w:rPr>
          <w:rFonts w:hint="eastAsia" w:ascii="仿宋_GB2312" w:hAnsi="宋体" w:eastAsia="仿宋_GB2312"/>
          <w:sz w:val="28"/>
          <w:szCs w:val="28"/>
        </w:rPr>
        <w:t>公顷、易坝村</w:t>
      </w:r>
      <w:r>
        <w:rPr>
          <w:rFonts w:ascii="仿宋_GB2312" w:hAnsi="宋体" w:eastAsia="仿宋_GB2312"/>
          <w:sz w:val="28"/>
          <w:szCs w:val="28"/>
        </w:rPr>
        <w:t>12.94</w:t>
      </w:r>
      <w:r>
        <w:rPr>
          <w:rFonts w:hint="eastAsia" w:ascii="仿宋_GB2312" w:hAnsi="宋体" w:eastAsia="仿宋_GB2312"/>
          <w:sz w:val="28"/>
          <w:szCs w:val="28"/>
        </w:rPr>
        <w:t>公顷。</w:t>
      </w:r>
    </w:p>
    <w:p>
      <w:pPr>
        <w:pStyle w:val="3"/>
      </w:pPr>
      <w:bookmarkStart w:id="34" w:name="_Toc486804486"/>
      <w:r>
        <w:rPr>
          <w:rFonts w:hint="eastAsia"/>
        </w:rPr>
        <w:t>（二）建设用地结构和布局调整</w:t>
      </w:r>
      <w:bookmarkEnd w:id="34"/>
    </w:p>
    <w:p>
      <w:pPr>
        <w:ind w:firstLine="560" w:firstLineChars="200"/>
        <w:rPr>
          <w:rFonts w:ascii="仿宋_GB2312" w:hAnsi="宋体" w:eastAsia="仿宋_GB2312"/>
          <w:sz w:val="28"/>
          <w:szCs w:val="28"/>
        </w:rPr>
      </w:pPr>
      <w:bookmarkStart w:id="35" w:name="_Hlk486338737"/>
      <w:r>
        <w:rPr>
          <w:rFonts w:hint="eastAsia" w:ascii="仿宋_GB2312" w:hAnsi="宋体" w:eastAsia="仿宋_GB2312"/>
          <w:sz w:val="28"/>
          <w:szCs w:val="28"/>
        </w:rPr>
        <w:t>规划</w:t>
      </w:r>
      <w:bookmarkEnd w:id="35"/>
      <w:r>
        <w:rPr>
          <w:rFonts w:hint="eastAsia" w:ascii="仿宋_GB2312" w:hAnsi="宋体" w:eastAsia="仿宋_GB2312"/>
          <w:sz w:val="28"/>
          <w:szCs w:val="28"/>
        </w:rPr>
        <w:t>调整完善后竹根镇2</w:t>
      </w:r>
      <w:r>
        <w:rPr>
          <w:rFonts w:ascii="仿宋_GB2312" w:hAnsi="宋体" w:eastAsia="仿宋_GB2312"/>
          <w:sz w:val="28"/>
          <w:szCs w:val="28"/>
        </w:rPr>
        <w:t>020</w:t>
      </w:r>
      <w:r>
        <w:rPr>
          <w:rFonts w:hint="eastAsia" w:ascii="仿宋_GB2312" w:hAnsi="宋体" w:eastAsia="仿宋_GB2312"/>
          <w:sz w:val="28"/>
          <w:szCs w:val="28"/>
        </w:rPr>
        <w:t>年建设用地总规模为</w:t>
      </w:r>
      <w:r>
        <w:rPr>
          <w:rFonts w:ascii="仿宋_GB2312" w:hAnsi="宋体" w:eastAsia="仿宋_GB2312"/>
          <w:sz w:val="28"/>
          <w:szCs w:val="28"/>
        </w:rPr>
        <w:t>946.52</w:t>
      </w:r>
      <w:r>
        <w:rPr>
          <w:rFonts w:hint="eastAsia" w:ascii="仿宋_GB2312" w:hAnsi="宋体" w:eastAsia="仿宋_GB2312"/>
          <w:sz w:val="28"/>
          <w:szCs w:val="28"/>
        </w:rPr>
        <w:t>公顷，占全镇土地总面积的比例为</w:t>
      </w:r>
      <w:r>
        <w:rPr>
          <w:rFonts w:ascii="仿宋_GB2312" w:hAnsi="宋体" w:eastAsia="仿宋_GB2312"/>
          <w:sz w:val="28"/>
          <w:szCs w:val="28"/>
        </w:rPr>
        <w:t>56.35%</w:t>
      </w:r>
      <w:r>
        <w:rPr>
          <w:rFonts w:hint="eastAsia" w:ascii="仿宋_GB2312" w:hAnsi="宋体" w:eastAsia="仿宋_GB2312"/>
          <w:sz w:val="28"/>
          <w:szCs w:val="28"/>
        </w:rPr>
        <w:t>。其中城镇建设用地</w:t>
      </w:r>
      <w:r>
        <w:rPr>
          <w:rFonts w:ascii="仿宋_GB2312" w:hAnsi="宋体" w:eastAsia="仿宋_GB2312"/>
          <w:sz w:val="28"/>
          <w:szCs w:val="28"/>
        </w:rPr>
        <w:t>875.67</w:t>
      </w:r>
      <w:r>
        <w:rPr>
          <w:rFonts w:hint="eastAsia" w:ascii="仿宋_GB2312" w:hAnsi="宋体" w:eastAsia="仿宋_GB2312"/>
          <w:sz w:val="28"/>
          <w:szCs w:val="28"/>
        </w:rPr>
        <w:t>公顷，占建设用地总面积的比例为</w:t>
      </w:r>
      <w:r>
        <w:rPr>
          <w:rFonts w:ascii="仿宋_GB2312" w:hAnsi="宋体" w:eastAsia="仿宋_GB2312"/>
          <w:sz w:val="28"/>
          <w:szCs w:val="28"/>
        </w:rPr>
        <w:t>92.51%</w:t>
      </w:r>
      <w:r>
        <w:rPr>
          <w:rFonts w:hint="eastAsia" w:ascii="仿宋_GB2312" w:hAnsi="宋体" w:eastAsia="仿宋_GB2312"/>
          <w:sz w:val="28"/>
          <w:szCs w:val="28"/>
        </w:rPr>
        <w:t>；农村居民点</w:t>
      </w:r>
      <w:r>
        <w:rPr>
          <w:rFonts w:ascii="仿宋_GB2312" w:hAnsi="宋体" w:eastAsia="仿宋_GB2312"/>
          <w:sz w:val="28"/>
          <w:szCs w:val="28"/>
        </w:rPr>
        <w:t>33.59</w:t>
      </w:r>
      <w:r>
        <w:rPr>
          <w:rFonts w:hint="eastAsia" w:ascii="仿宋_GB2312" w:hAnsi="宋体" w:eastAsia="仿宋_GB2312"/>
          <w:sz w:val="28"/>
          <w:szCs w:val="28"/>
        </w:rPr>
        <w:t>公顷，占建设用地总规模的比例为</w:t>
      </w:r>
      <w:r>
        <w:rPr>
          <w:rFonts w:ascii="仿宋_GB2312" w:hAnsi="宋体" w:eastAsia="仿宋_GB2312"/>
          <w:sz w:val="28"/>
          <w:szCs w:val="28"/>
        </w:rPr>
        <w:t>3.55%</w:t>
      </w:r>
      <w:r>
        <w:rPr>
          <w:rFonts w:hint="eastAsia" w:ascii="仿宋_GB2312" w:hAnsi="宋体" w:eastAsia="仿宋_GB2312"/>
          <w:sz w:val="28"/>
          <w:szCs w:val="28"/>
        </w:rPr>
        <w:t>；采矿用地为</w:t>
      </w:r>
      <w:r>
        <w:rPr>
          <w:rFonts w:ascii="仿宋_GB2312" w:hAnsi="宋体" w:eastAsia="仿宋_GB2312"/>
          <w:sz w:val="28"/>
          <w:szCs w:val="28"/>
        </w:rPr>
        <w:t>15.36</w:t>
      </w:r>
      <w:r>
        <w:rPr>
          <w:rFonts w:hint="eastAsia" w:ascii="仿宋_GB2312" w:hAnsi="宋体" w:eastAsia="仿宋_GB2312"/>
          <w:sz w:val="28"/>
          <w:szCs w:val="28"/>
        </w:rPr>
        <w:t>公顷，占建设用地总规模的比例为</w:t>
      </w:r>
      <w:r>
        <w:rPr>
          <w:rFonts w:ascii="仿宋_GB2312" w:hAnsi="宋体" w:eastAsia="仿宋_GB2312"/>
          <w:sz w:val="28"/>
          <w:szCs w:val="28"/>
        </w:rPr>
        <w:t>1.62%</w:t>
      </w:r>
      <w:r>
        <w:rPr>
          <w:rFonts w:hint="eastAsia" w:ascii="仿宋_GB2312" w:hAnsi="宋体" w:eastAsia="仿宋_GB2312"/>
          <w:sz w:val="28"/>
          <w:szCs w:val="28"/>
        </w:rPr>
        <w:t>；交通水利用地为</w:t>
      </w:r>
      <w:r>
        <w:rPr>
          <w:rFonts w:ascii="仿宋_GB2312" w:hAnsi="宋体" w:eastAsia="仿宋_GB2312"/>
          <w:sz w:val="28"/>
          <w:szCs w:val="28"/>
        </w:rPr>
        <w:t>21.59</w:t>
      </w:r>
      <w:r>
        <w:rPr>
          <w:rFonts w:hint="eastAsia" w:ascii="仿宋_GB2312" w:hAnsi="宋体" w:eastAsia="仿宋_GB2312"/>
          <w:sz w:val="28"/>
          <w:szCs w:val="28"/>
        </w:rPr>
        <w:t>公顷，占建设用地总规模的比例为</w:t>
      </w:r>
      <w:r>
        <w:rPr>
          <w:rFonts w:ascii="仿宋_GB2312" w:hAnsi="宋体" w:eastAsia="仿宋_GB2312"/>
          <w:sz w:val="28"/>
          <w:szCs w:val="28"/>
        </w:rPr>
        <w:t>2.28%</w:t>
      </w:r>
      <w:r>
        <w:rPr>
          <w:rFonts w:hint="eastAsia" w:ascii="仿宋_GB2312" w:hAnsi="宋体" w:eastAsia="仿宋_GB2312"/>
          <w:sz w:val="28"/>
          <w:szCs w:val="28"/>
        </w:rPr>
        <w:t>；其他建设用地为0.00公顷，占建设用地总规模的比例为0.00%。</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规划调整完善后全镇城镇建设用地主要分布情况为竹根镇城区</w:t>
      </w:r>
      <w:r>
        <w:rPr>
          <w:rFonts w:ascii="仿宋_GB2312" w:hAnsi="宋体" w:eastAsia="仿宋_GB2312"/>
          <w:sz w:val="28"/>
          <w:szCs w:val="28"/>
        </w:rPr>
        <w:t>778.77</w:t>
      </w:r>
      <w:r>
        <w:rPr>
          <w:rFonts w:hint="eastAsia" w:ascii="仿宋_GB2312" w:hAnsi="宋体" w:eastAsia="仿宋_GB2312"/>
          <w:sz w:val="28"/>
          <w:szCs w:val="28"/>
        </w:rPr>
        <w:t>公顷、新华村42.69公顷、幸福村</w:t>
      </w:r>
      <w:r>
        <w:rPr>
          <w:rFonts w:ascii="仿宋_GB2312" w:hAnsi="宋体" w:eastAsia="仿宋_GB2312"/>
          <w:sz w:val="28"/>
          <w:szCs w:val="28"/>
        </w:rPr>
        <w:t>17.90</w:t>
      </w:r>
      <w:r>
        <w:rPr>
          <w:rFonts w:hint="eastAsia" w:ascii="仿宋_GB2312" w:hAnsi="宋体" w:eastAsia="仿宋_GB2312"/>
          <w:sz w:val="28"/>
          <w:szCs w:val="28"/>
        </w:rPr>
        <w:t>公顷、易坝村</w:t>
      </w:r>
      <w:r>
        <w:rPr>
          <w:rFonts w:ascii="仿宋_GB2312" w:hAnsi="宋体" w:eastAsia="仿宋_GB2312"/>
          <w:sz w:val="28"/>
          <w:szCs w:val="28"/>
        </w:rPr>
        <w:t>36.31</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规划调整完善后全镇农村居民点用地主要分布情况为竹根镇城区</w:t>
      </w:r>
      <w:r>
        <w:rPr>
          <w:rFonts w:ascii="仿宋_GB2312" w:hAnsi="宋体" w:eastAsia="仿宋_GB2312"/>
          <w:sz w:val="28"/>
          <w:szCs w:val="28"/>
        </w:rPr>
        <w:t>1.78</w:t>
      </w:r>
      <w:r>
        <w:rPr>
          <w:rFonts w:hint="eastAsia" w:ascii="仿宋_GB2312" w:hAnsi="宋体" w:eastAsia="仿宋_GB2312"/>
          <w:sz w:val="28"/>
          <w:szCs w:val="28"/>
        </w:rPr>
        <w:t>公顷、新华村</w:t>
      </w:r>
      <w:r>
        <w:rPr>
          <w:rFonts w:ascii="仿宋_GB2312" w:hAnsi="宋体" w:eastAsia="仿宋_GB2312"/>
          <w:sz w:val="28"/>
          <w:szCs w:val="28"/>
        </w:rPr>
        <w:t>0.46</w:t>
      </w:r>
      <w:r>
        <w:rPr>
          <w:rFonts w:hint="eastAsia" w:ascii="仿宋_GB2312" w:hAnsi="宋体" w:eastAsia="仿宋_GB2312"/>
          <w:sz w:val="28"/>
          <w:szCs w:val="28"/>
        </w:rPr>
        <w:t>公顷、幸福村</w:t>
      </w:r>
      <w:r>
        <w:rPr>
          <w:rFonts w:ascii="仿宋_GB2312" w:hAnsi="宋体" w:eastAsia="仿宋_GB2312"/>
          <w:sz w:val="28"/>
          <w:szCs w:val="28"/>
        </w:rPr>
        <w:t>0.45</w:t>
      </w:r>
      <w:r>
        <w:rPr>
          <w:rFonts w:hint="eastAsia" w:ascii="仿宋_GB2312" w:hAnsi="宋体" w:eastAsia="仿宋_GB2312"/>
          <w:sz w:val="28"/>
          <w:szCs w:val="28"/>
        </w:rPr>
        <w:t>公顷、易坝村</w:t>
      </w:r>
      <w:r>
        <w:rPr>
          <w:rFonts w:ascii="仿宋_GB2312" w:hAnsi="宋体" w:eastAsia="仿宋_GB2312"/>
          <w:sz w:val="28"/>
          <w:szCs w:val="28"/>
        </w:rPr>
        <w:t>30.90</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规划调整完善后全镇采矿用地主要分布情况为新华村</w:t>
      </w:r>
      <w:r>
        <w:rPr>
          <w:rFonts w:ascii="仿宋_GB2312" w:hAnsi="宋体" w:eastAsia="仿宋_GB2312"/>
          <w:sz w:val="28"/>
          <w:szCs w:val="28"/>
        </w:rPr>
        <w:t>1.25</w:t>
      </w:r>
      <w:r>
        <w:rPr>
          <w:rFonts w:hint="eastAsia" w:ascii="仿宋_GB2312" w:hAnsi="宋体" w:eastAsia="仿宋_GB2312"/>
          <w:sz w:val="28"/>
          <w:szCs w:val="28"/>
        </w:rPr>
        <w:t>公顷、幸福村</w:t>
      </w:r>
      <w:r>
        <w:rPr>
          <w:rFonts w:ascii="仿宋_GB2312" w:hAnsi="宋体" w:eastAsia="仿宋_GB2312"/>
          <w:sz w:val="28"/>
          <w:szCs w:val="28"/>
        </w:rPr>
        <w:t>0.61</w:t>
      </w:r>
      <w:r>
        <w:rPr>
          <w:rFonts w:hint="eastAsia" w:ascii="仿宋_GB2312" w:hAnsi="宋体" w:eastAsia="仿宋_GB2312"/>
          <w:sz w:val="28"/>
          <w:szCs w:val="28"/>
        </w:rPr>
        <w:t>公顷、易坝村</w:t>
      </w:r>
      <w:r>
        <w:rPr>
          <w:rFonts w:ascii="仿宋_GB2312" w:hAnsi="宋体" w:eastAsia="仿宋_GB2312"/>
          <w:sz w:val="28"/>
          <w:szCs w:val="28"/>
        </w:rPr>
        <w:t>13.50</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规划调整完善后全镇交通水利用地主要分布情况为竹根镇城区</w:t>
      </w:r>
      <w:r>
        <w:rPr>
          <w:rFonts w:ascii="仿宋_GB2312" w:hAnsi="宋体" w:eastAsia="仿宋_GB2312"/>
          <w:sz w:val="28"/>
          <w:szCs w:val="28"/>
        </w:rPr>
        <w:t>2.88</w:t>
      </w:r>
      <w:r>
        <w:rPr>
          <w:rFonts w:hint="eastAsia" w:ascii="仿宋_GB2312" w:hAnsi="宋体" w:eastAsia="仿宋_GB2312"/>
          <w:sz w:val="28"/>
          <w:szCs w:val="28"/>
        </w:rPr>
        <w:t>公顷、新华村</w:t>
      </w:r>
      <w:r>
        <w:rPr>
          <w:rFonts w:ascii="仿宋_GB2312" w:hAnsi="宋体" w:eastAsia="仿宋_GB2312"/>
          <w:sz w:val="28"/>
          <w:szCs w:val="28"/>
        </w:rPr>
        <w:t>3.79</w:t>
      </w:r>
      <w:r>
        <w:rPr>
          <w:rFonts w:hint="eastAsia" w:ascii="仿宋_GB2312" w:hAnsi="宋体" w:eastAsia="仿宋_GB2312"/>
          <w:sz w:val="28"/>
          <w:szCs w:val="28"/>
        </w:rPr>
        <w:t>公顷、幸福村</w:t>
      </w:r>
      <w:r>
        <w:rPr>
          <w:rFonts w:ascii="仿宋_GB2312" w:hAnsi="宋体" w:eastAsia="仿宋_GB2312"/>
          <w:sz w:val="28"/>
          <w:szCs w:val="28"/>
        </w:rPr>
        <w:t>3.74</w:t>
      </w:r>
      <w:r>
        <w:rPr>
          <w:rFonts w:hint="eastAsia" w:ascii="仿宋_GB2312" w:hAnsi="宋体" w:eastAsia="仿宋_GB2312"/>
          <w:sz w:val="28"/>
          <w:szCs w:val="28"/>
        </w:rPr>
        <w:t>公顷、易坝村</w:t>
      </w:r>
      <w:r>
        <w:rPr>
          <w:rFonts w:ascii="仿宋_GB2312" w:hAnsi="宋体" w:eastAsia="仿宋_GB2312"/>
          <w:sz w:val="28"/>
          <w:szCs w:val="28"/>
        </w:rPr>
        <w:t>11.18</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其他建设用地与调整完善前规划期末规模及布局保持一致。</w:t>
      </w:r>
    </w:p>
    <w:p>
      <w:pPr>
        <w:pStyle w:val="3"/>
      </w:pPr>
      <w:bookmarkStart w:id="36" w:name="_Toc486804487"/>
      <w:r>
        <w:rPr>
          <w:rFonts w:hint="eastAsia"/>
        </w:rPr>
        <w:t>（三）其他用地结构和布局调整</w:t>
      </w:r>
      <w:bookmarkEnd w:id="36"/>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规划调整完善后竹根镇2</w:t>
      </w:r>
      <w:r>
        <w:rPr>
          <w:rFonts w:ascii="仿宋_GB2312" w:hAnsi="宋体" w:eastAsia="仿宋_GB2312"/>
          <w:sz w:val="28"/>
          <w:szCs w:val="28"/>
        </w:rPr>
        <w:t>020</w:t>
      </w:r>
      <w:r>
        <w:rPr>
          <w:rFonts w:hint="eastAsia" w:ascii="仿宋_GB2312" w:hAnsi="宋体" w:eastAsia="仿宋_GB2312"/>
          <w:sz w:val="28"/>
          <w:szCs w:val="28"/>
        </w:rPr>
        <w:t>年其他用地面积为</w:t>
      </w:r>
      <w:r>
        <w:rPr>
          <w:rFonts w:ascii="仿宋_GB2312" w:hAnsi="宋体" w:eastAsia="仿宋_GB2312"/>
          <w:sz w:val="28"/>
          <w:szCs w:val="28"/>
        </w:rPr>
        <w:t>469.46</w:t>
      </w:r>
      <w:r>
        <w:rPr>
          <w:rFonts w:hint="eastAsia" w:ascii="仿宋_GB2312" w:hAnsi="宋体" w:eastAsia="仿宋_GB2312"/>
          <w:sz w:val="28"/>
          <w:szCs w:val="28"/>
        </w:rPr>
        <w:t>公顷，占全镇土地总面积的比例为</w:t>
      </w:r>
      <w:r>
        <w:rPr>
          <w:rFonts w:ascii="仿宋_GB2312" w:hAnsi="宋体" w:eastAsia="仿宋_GB2312"/>
          <w:sz w:val="28"/>
          <w:szCs w:val="28"/>
        </w:rPr>
        <w:t>27.95%</w:t>
      </w:r>
      <w:r>
        <w:rPr>
          <w:rFonts w:hint="eastAsia" w:ascii="仿宋_GB2312" w:hAnsi="宋体" w:eastAsia="仿宋_GB2312"/>
          <w:sz w:val="28"/>
          <w:szCs w:val="28"/>
        </w:rPr>
        <w:t>。</w:t>
      </w: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37" w:name="_Toc486804488"/>
      <w:r>
        <w:rPr>
          <w:rFonts w:hint="eastAsia"/>
        </w:rPr>
        <w:t>四、耕地和基本农田保护规划</w:t>
      </w:r>
      <w:bookmarkEnd w:id="37"/>
    </w:p>
    <w:p>
      <w:pPr>
        <w:pStyle w:val="3"/>
      </w:pPr>
      <w:bookmarkStart w:id="38" w:name="_Toc486804489"/>
      <w:bookmarkStart w:id="39" w:name="_Toc288825065"/>
      <w:bookmarkStart w:id="40" w:name="_Toc357580156"/>
      <w:r>
        <w:rPr>
          <w:rFonts w:hint="eastAsia"/>
        </w:rPr>
        <w:t>（一）耕地和基本农田保护目标</w:t>
      </w:r>
      <w:bookmarkEnd w:id="38"/>
      <w:bookmarkEnd w:id="39"/>
      <w:bookmarkEnd w:id="40"/>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规划调整完善前竹根镇2020年耕地保有量目标任务为</w:t>
      </w:r>
      <w:r>
        <w:rPr>
          <w:rFonts w:ascii="仿宋_GB2312" w:hAnsi="宋体" w:eastAsia="仿宋_GB2312"/>
          <w:sz w:val="28"/>
          <w:szCs w:val="28"/>
        </w:rPr>
        <w:t>0.00</w:t>
      </w:r>
      <w:r>
        <w:rPr>
          <w:rFonts w:hint="eastAsia" w:ascii="仿宋_GB2312" w:hAnsi="宋体" w:eastAsia="仿宋_GB2312"/>
          <w:sz w:val="28"/>
          <w:szCs w:val="28"/>
        </w:rPr>
        <w:t>公顷基本农田保护面积目标任务为</w:t>
      </w:r>
      <w:r>
        <w:rPr>
          <w:rFonts w:ascii="仿宋_GB2312" w:hAnsi="宋体" w:eastAsia="仿宋_GB2312"/>
          <w:sz w:val="28"/>
          <w:szCs w:val="28"/>
        </w:rPr>
        <w:t>0.00</w:t>
      </w:r>
      <w:r>
        <w:rPr>
          <w:rFonts w:hint="eastAsia" w:ascii="仿宋_GB2312" w:hAnsi="宋体" w:eastAsia="仿宋_GB2312"/>
          <w:sz w:val="28"/>
          <w:szCs w:val="28"/>
        </w:rPr>
        <w:t>公顷。调整完善后，全镇安排耕地保有量目标任务为</w:t>
      </w:r>
      <w:r>
        <w:rPr>
          <w:rFonts w:ascii="仿宋_GB2312" w:hAnsi="宋体" w:eastAsia="仿宋_GB2312"/>
          <w:sz w:val="28"/>
          <w:szCs w:val="28"/>
        </w:rPr>
        <w:t>213.2</w:t>
      </w:r>
      <w:r>
        <w:rPr>
          <w:rFonts w:hint="eastAsia" w:ascii="仿宋_GB2312" w:hAnsi="宋体" w:eastAsia="仿宋_GB2312"/>
          <w:sz w:val="28"/>
          <w:szCs w:val="28"/>
        </w:rPr>
        <w:t>公顷，划定永久基本农田</w:t>
      </w:r>
      <w:r>
        <w:rPr>
          <w:rFonts w:ascii="仿宋_GB2312" w:hAnsi="宋体" w:eastAsia="仿宋_GB2312"/>
          <w:sz w:val="28"/>
          <w:szCs w:val="28"/>
        </w:rPr>
        <w:t>0.00</w:t>
      </w:r>
      <w:r>
        <w:rPr>
          <w:rFonts w:hint="eastAsia" w:ascii="仿宋_GB2312" w:hAnsi="宋体" w:eastAsia="仿宋_GB2312"/>
          <w:sz w:val="28"/>
          <w:szCs w:val="28"/>
        </w:rPr>
        <w:t>公顷，耕地保有量和基本农田保护面积分别比调整完善前规划期末规模增加了</w:t>
      </w:r>
      <w:r>
        <w:rPr>
          <w:rFonts w:ascii="仿宋_GB2312" w:hAnsi="宋体" w:eastAsia="仿宋_GB2312"/>
          <w:sz w:val="28"/>
          <w:szCs w:val="28"/>
        </w:rPr>
        <w:t>213.2</w:t>
      </w:r>
      <w:r>
        <w:rPr>
          <w:rFonts w:hint="eastAsia" w:ascii="仿宋_GB2312" w:hAnsi="宋体" w:eastAsia="仿宋_GB2312"/>
          <w:sz w:val="28"/>
          <w:szCs w:val="28"/>
        </w:rPr>
        <w:t>公顷和</w:t>
      </w:r>
      <w:r>
        <w:rPr>
          <w:rFonts w:ascii="仿宋_GB2312" w:hAnsi="宋体" w:eastAsia="仿宋_GB2312"/>
          <w:sz w:val="28"/>
          <w:szCs w:val="28"/>
        </w:rPr>
        <w:t>0.00</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tbl>
      <w:tblPr>
        <w:tblStyle w:val="13"/>
        <w:tblW w:w="8340" w:type="dxa"/>
        <w:jc w:val="center"/>
        <w:tblLayout w:type="autofit"/>
        <w:tblCellMar>
          <w:top w:w="15" w:type="dxa"/>
          <w:left w:w="108" w:type="dxa"/>
          <w:bottom w:w="15" w:type="dxa"/>
          <w:right w:w="108" w:type="dxa"/>
        </w:tblCellMar>
      </w:tblPr>
      <w:tblGrid>
        <w:gridCol w:w="1080"/>
        <w:gridCol w:w="3220"/>
        <w:gridCol w:w="2080"/>
        <w:gridCol w:w="1960"/>
      </w:tblGrid>
      <w:tr>
        <w:tblPrEx>
          <w:tblCellMar>
            <w:top w:w="15" w:type="dxa"/>
            <w:left w:w="108" w:type="dxa"/>
            <w:bottom w:w="15" w:type="dxa"/>
            <w:right w:w="108" w:type="dxa"/>
          </w:tblCellMar>
        </w:tblPrEx>
        <w:trPr>
          <w:trHeight w:val="285" w:hRule="atLeast"/>
          <w:jc w:val="center"/>
        </w:trPr>
        <w:tc>
          <w:tcPr>
            <w:tcW w:w="10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序号</w:t>
            </w:r>
          </w:p>
        </w:tc>
        <w:tc>
          <w:tcPr>
            <w:tcW w:w="3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乡(镇)名称</w:t>
            </w:r>
          </w:p>
        </w:tc>
        <w:tc>
          <w:tcPr>
            <w:tcW w:w="2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耕地保有量</w:t>
            </w:r>
          </w:p>
        </w:tc>
        <w:tc>
          <w:tcPr>
            <w:tcW w:w="19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基本农田保护面积</w:t>
            </w:r>
          </w:p>
        </w:tc>
      </w:tr>
      <w:tr>
        <w:tblPrEx>
          <w:tblCellMar>
            <w:top w:w="15" w:type="dxa"/>
            <w:left w:w="108" w:type="dxa"/>
            <w:bottom w:w="15" w:type="dxa"/>
            <w:right w:w="108" w:type="dxa"/>
          </w:tblCellMar>
        </w:tblPrEx>
        <w:trPr>
          <w:trHeight w:val="285" w:hRule="atLeast"/>
          <w:jc w:val="center"/>
        </w:trPr>
        <w:tc>
          <w:tcPr>
            <w:tcW w:w="10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1</w:t>
            </w:r>
          </w:p>
        </w:tc>
        <w:tc>
          <w:tcPr>
            <w:tcW w:w="3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竹根镇城区</w:t>
            </w:r>
          </w:p>
        </w:tc>
        <w:tc>
          <w:tcPr>
            <w:tcW w:w="2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21.21</w:t>
            </w:r>
          </w:p>
        </w:tc>
        <w:tc>
          <w:tcPr>
            <w:tcW w:w="19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r>
      <w:tr>
        <w:tblPrEx>
          <w:tblCellMar>
            <w:top w:w="15" w:type="dxa"/>
            <w:left w:w="108" w:type="dxa"/>
            <w:bottom w:w="15" w:type="dxa"/>
            <w:right w:w="108" w:type="dxa"/>
          </w:tblCellMar>
        </w:tblPrEx>
        <w:trPr>
          <w:trHeight w:val="285" w:hRule="atLeast"/>
          <w:jc w:val="center"/>
        </w:trPr>
        <w:tc>
          <w:tcPr>
            <w:tcW w:w="10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2</w:t>
            </w:r>
          </w:p>
        </w:tc>
        <w:tc>
          <w:tcPr>
            <w:tcW w:w="3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新华村</w:t>
            </w:r>
          </w:p>
        </w:tc>
        <w:tc>
          <w:tcPr>
            <w:tcW w:w="2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0.15</w:t>
            </w:r>
          </w:p>
        </w:tc>
        <w:tc>
          <w:tcPr>
            <w:tcW w:w="19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r>
      <w:tr>
        <w:tblPrEx>
          <w:tblCellMar>
            <w:top w:w="15" w:type="dxa"/>
            <w:left w:w="108" w:type="dxa"/>
            <w:bottom w:w="15" w:type="dxa"/>
            <w:right w:w="108" w:type="dxa"/>
          </w:tblCellMar>
        </w:tblPrEx>
        <w:trPr>
          <w:trHeight w:val="285" w:hRule="atLeast"/>
          <w:jc w:val="center"/>
        </w:trPr>
        <w:tc>
          <w:tcPr>
            <w:tcW w:w="10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3</w:t>
            </w:r>
          </w:p>
        </w:tc>
        <w:tc>
          <w:tcPr>
            <w:tcW w:w="3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幸福村</w:t>
            </w:r>
          </w:p>
        </w:tc>
        <w:tc>
          <w:tcPr>
            <w:tcW w:w="2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8.23</w:t>
            </w:r>
          </w:p>
        </w:tc>
        <w:tc>
          <w:tcPr>
            <w:tcW w:w="19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r>
      <w:tr>
        <w:tblPrEx>
          <w:tblCellMar>
            <w:top w:w="15" w:type="dxa"/>
            <w:left w:w="108" w:type="dxa"/>
            <w:bottom w:w="15" w:type="dxa"/>
            <w:right w:w="108" w:type="dxa"/>
          </w:tblCellMar>
        </w:tblPrEx>
        <w:trPr>
          <w:trHeight w:val="285" w:hRule="atLeast"/>
          <w:jc w:val="center"/>
        </w:trPr>
        <w:tc>
          <w:tcPr>
            <w:tcW w:w="10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4</w:t>
            </w:r>
          </w:p>
        </w:tc>
        <w:tc>
          <w:tcPr>
            <w:tcW w:w="3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易坝村</w:t>
            </w:r>
          </w:p>
        </w:tc>
        <w:tc>
          <w:tcPr>
            <w:tcW w:w="2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183.61</w:t>
            </w:r>
          </w:p>
        </w:tc>
        <w:tc>
          <w:tcPr>
            <w:tcW w:w="19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r>
      <w:tr>
        <w:tblPrEx>
          <w:tblCellMar>
            <w:top w:w="15" w:type="dxa"/>
            <w:left w:w="108" w:type="dxa"/>
            <w:bottom w:w="15" w:type="dxa"/>
            <w:right w:w="108" w:type="dxa"/>
          </w:tblCellMar>
        </w:tblPrEx>
        <w:trPr>
          <w:trHeight w:val="285" w:hRule="atLeast"/>
          <w:jc w:val="center"/>
        </w:trPr>
        <w:tc>
          <w:tcPr>
            <w:tcW w:w="10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5</w:t>
            </w:r>
          </w:p>
        </w:tc>
        <w:tc>
          <w:tcPr>
            <w:tcW w:w="32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合计</w:t>
            </w:r>
          </w:p>
        </w:tc>
        <w:tc>
          <w:tcPr>
            <w:tcW w:w="20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213.2</w:t>
            </w:r>
          </w:p>
        </w:tc>
        <w:tc>
          <w:tcPr>
            <w:tcW w:w="196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Cs w:val="21"/>
              </w:rPr>
            </w:pPr>
            <w:r>
              <w:rPr>
                <w:rFonts w:hint="eastAsia" w:ascii="仿宋_GB2312" w:hAnsi="等线" w:eastAsia="仿宋_GB2312" w:cs="宋体"/>
                <w:color w:val="000000"/>
                <w:kern w:val="0"/>
                <w:szCs w:val="21"/>
              </w:rPr>
              <w:t>0</w:t>
            </w:r>
          </w:p>
        </w:tc>
      </w:tr>
    </w:tbl>
    <w:p>
      <w:pPr>
        <w:pStyle w:val="3"/>
      </w:pPr>
      <w:bookmarkStart w:id="41" w:name="_Toc486804490"/>
      <w:r>
        <w:rPr>
          <w:rFonts w:hint="eastAsia"/>
        </w:rPr>
        <w:t>（二）土地综合整治</w:t>
      </w:r>
      <w:bookmarkEnd w:id="41"/>
    </w:p>
    <w:p>
      <w:pPr>
        <w:pStyle w:val="4"/>
        <w:ind w:firstLine="562"/>
      </w:pPr>
      <w:r>
        <w:t>1</w:t>
      </w:r>
      <w:r>
        <w:rPr>
          <w:rFonts w:hint="eastAsia"/>
        </w:rPr>
        <w:t>．土地整治安排的要求</w:t>
      </w:r>
    </w:p>
    <w:p>
      <w:pPr>
        <w:ind w:firstLine="560" w:firstLineChars="200"/>
        <w:rPr>
          <w:rFonts w:ascii="仿宋_GB2312" w:hAnsi="宋体" w:eastAsia="仿宋_GB2312"/>
          <w:sz w:val="28"/>
          <w:szCs w:val="28"/>
        </w:rPr>
      </w:pPr>
      <w:r>
        <w:rPr>
          <w:rFonts w:hint="eastAsia" w:ascii="仿宋_GB2312" w:hAnsi="宋体" w:eastAsia="仿宋_GB2312"/>
          <w:sz w:val="28"/>
          <w:szCs w:val="28"/>
        </w:rPr>
        <w:t>（1）竹根镇土地整治安排要做到与经济社会发展规划、城乡建设规划、产业发展规划、基础设施建设规划、生态建设和环境保护规划、基本农田保护规划等相协调，以提高规划的针对性和可操作性。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仿宋_GB2312" w:hAnsi="宋体" w:eastAsia="仿宋_GB2312"/>
          <w:sz w:val="28"/>
          <w:szCs w:val="28"/>
        </w:rPr>
      </w:pPr>
      <w:r>
        <w:rPr>
          <w:rFonts w:hint="eastAsia" w:ascii="仿宋_GB2312" w:hAnsi="宋体"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仿宋_GB2312" w:hAnsi="宋体" w:eastAsia="仿宋_GB2312"/>
          <w:sz w:val="28"/>
          <w:szCs w:val="28"/>
        </w:rPr>
      </w:pPr>
      <w:r>
        <w:rPr>
          <w:rFonts w:hint="eastAsia" w:ascii="仿宋_GB2312" w:hAnsi="宋体"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仿宋_GB2312" w:hAnsi="宋体" w:eastAsia="仿宋_GB2312"/>
          <w:sz w:val="28"/>
          <w:szCs w:val="28"/>
        </w:rPr>
      </w:pPr>
      <w:r>
        <w:rPr>
          <w:rFonts w:hint="eastAsia" w:ascii="仿宋_GB2312" w:hAnsi="宋体" w:eastAsia="仿宋_GB2312"/>
          <w:sz w:val="28"/>
          <w:szCs w:val="28"/>
        </w:rPr>
        <w:t>（4）农村土地整治安排，要充分尊重农民意愿，切实维护农民权益。在整治方式、旧房拆迁、新居建设等方面要为农民提供多种选择。</w:t>
      </w:r>
    </w:p>
    <w:p>
      <w:pPr>
        <w:pStyle w:val="4"/>
        <w:ind w:firstLine="562"/>
      </w:pPr>
      <w:r>
        <w:t>3</w:t>
      </w:r>
      <w:r>
        <w:rPr>
          <w:rFonts w:hint="eastAsia"/>
        </w:rPr>
        <w:t>．土地整治规划方案与布局</w:t>
      </w:r>
    </w:p>
    <w:p>
      <w:pPr>
        <w:ind w:firstLine="560" w:firstLineChars="200"/>
        <w:rPr>
          <w:rFonts w:ascii="仿宋_GB2312" w:hAnsi="宋体" w:eastAsia="仿宋_GB2312"/>
          <w:sz w:val="28"/>
          <w:szCs w:val="28"/>
        </w:rPr>
      </w:pPr>
      <w:r>
        <w:rPr>
          <w:rFonts w:hint="eastAsia" w:ascii="仿宋_GB2312" w:hAnsi="宋体" w:eastAsia="仿宋_GB2312"/>
          <w:sz w:val="28"/>
          <w:szCs w:val="28"/>
        </w:rPr>
        <w:t>（1）农用地整理规划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农用地整理范围区安排在基本农田保护区内，未与非农建设用地规划区重合。本着“先易后难”、“集中成片”的原则，选择地理条件、社会经济相对较好的村社优先开展农用地整理。</w:t>
      </w:r>
    </w:p>
    <w:p>
      <w:pPr>
        <w:ind w:firstLine="560" w:firstLineChars="200"/>
        <w:rPr>
          <w:rFonts w:ascii="仿宋_GB2312" w:hAnsi="宋体" w:eastAsia="仿宋_GB2312"/>
          <w:sz w:val="28"/>
          <w:szCs w:val="28"/>
        </w:rPr>
      </w:pPr>
      <w:r>
        <w:rPr>
          <w:rFonts w:hint="eastAsia" w:ascii="仿宋_GB2312" w:hAnsi="宋体" w:eastAsia="仿宋_GB2312"/>
          <w:sz w:val="28"/>
          <w:szCs w:val="28"/>
        </w:rPr>
        <w:t>（2）农村建设用地整理规划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2"/>
      </w:pPr>
      <w:bookmarkStart w:id="42" w:name="_Toc486804491"/>
      <w:r>
        <w:rPr>
          <w:rFonts w:hint="eastAsia"/>
        </w:rPr>
        <w:t>五、建设用地规划</w:t>
      </w:r>
      <w:bookmarkEnd w:id="42"/>
    </w:p>
    <w:p>
      <w:pPr>
        <w:pStyle w:val="3"/>
      </w:pPr>
      <w:bookmarkStart w:id="43" w:name="_Toc486804492"/>
      <w:r>
        <w:rPr>
          <w:rFonts w:hint="eastAsia"/>
        </w:rPr>
        <w:t>（一）</w:t>
      </w:r>
      <w:bookmarkStart w:id="44" w:name="_Toc357580159"/>
      <w:r>
        <w:rPr>
          <w:rFonts w:hint="eastAsia"/>
        </w:rPr>
        <w:t>城镇和农村居民点用地控制</w:t>
      </w:r>
      <w:bookmarkEnd w:id="43"/>
      <w:bookmarkEnd w:id="44"/>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规划调整完善后竹根镇2020年建设用地总规模、城镇工矿规模、农村居民点用地规模，分别控制在</w:t>
      </w:r>
      <w:r>
        <w:rPr>
          <w:rFonts w:ascii="仿宋_GB2312" w:hAnsi="宋体" w:eastAsia="仿宋_GB2312"/>
          <w:sz w:val="28"/>
          <w:szCs w:val="28"/>
        </w:rPr>
        <w:t>946.52</w:t>
      </w:r>
      <w:r>
        <w:rPr>
          <w:rFonts w:hint="eastAsia" w:ascii="仿宋_GB2312" w:hAnsi="宋体" w:eastAsia="仿宋_GB2312"/>
          <w:sz w:val="28"/>
          <w:szCs w:val="28"/>
        </w:rPr>
        <w:t>公顷、</w:t>
      </w:r>
      <w:r>
        <w:rPr>
          <w:rFonts w:ascii="仿宋_GB2312" w:hAnsi="宋体" w:eastAsia="仿宋_GB2312"/>
          <w:sz w:val="28"/>
          <w:szCs w:val="28"/>
        </w:rPr>
        <w:t>946.52</w:t>
      </w:r>
      <w:r>
        <w:rPr>
          <w:rFonts w:hint="eastAsia" w:ascii="仿宋_GB2312" w:hAnsi="宋体" w:eastAsia="仿宋_GB2312"/>
          <w:sz w:val="28"/>
          <w:szCs w:val="28"/>
        </w:rPr>
        <w:t>公顷、</w:t>
      </w:r>
      <w:r>
        <w:rPr>
          <w:rFonts w:ascii="仿宋_GB2312" w:hAnsi="宋体" w:eastAsia="仿宋_GB2312"/>
          <w:sz w:val="28"/>
          <w:szCs w:val="28"/>
        </w:rPr>
        <w:t>891.03</w:t>
      </w:r>
      <w:r>
        <w:rPr>
          <w:rFonts w:hint="eastAsia" w:ascii="仿宋_GB2312" w:hAnsi="宋体" w:eastAsia="仿宋_GB2312"/>
          <w:sz w:val="28"/>
          <w:szCs w:val="28"/>
        </w:rPr>
        <w:t>公顷以内。</w:t>
      </w:r>
    </w:p>
    <w:p>
      <w:pPr>
        <w:pStyle w:val="4"/>
        <w:ind w:firstLine="562"/>
      </w:pPr>
      <w:r>
        <w:rPr>
          <w:rFonts w:hint="eastAsia"/>
        </w:rPr>
        <w:t>1．城镇建设用地调控</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w:t>
      </w:r>
      <w:r>
        <w:rPr>
          <w:rFonts w:ascii="仿宋_GB2312" w:hAnsi="宋体" w:eastAsia="仿宋_GB2312"/>
          <w:sz w:val="28"/>
          <w:szCs w:val="28"/>
        </w:rPr>
        <w:t>875.67</w:t>
      </w:r>
      <w:r>
        <w:rPr>
          <w:rFonts w:hint="eastAsia" w:ascii="仿宋_GB2312" w:hAnsi="宋体" w:eastAsia="仿宋_GB2312"/>
          <w:sz w:val="28"/>
          <w:szCs w:val="28"/>
        </w:rPr>
        <w:t>公顷，其中现状建设用地规模为</w:t>
      </w:r>
      <w:r>
        <w:rPr>
          <w:rFonts w:ascii="仿宋_GB2312" w:hAnsi="宋体" w:eastAsia="仿宋_GB2312"/>
          <w:sz w:val="28"/>
          <w:szCs w:val="28"/>
        </w:rPr>
        <w:t>850.5</w:t>
      </w:r>
      <w:r>
        <w:rPr>
          <w:rFonts w:hint="eastAsia" w:ascii="仿宋_GB2312" w:hAnsi="宋体" w:eastAsia="仿宋_GB2312"/>
          <w:sz w:val="28"/>
          <w:szCs w:val="28"/>
        </w:rPr>
        <w:t>公顷，新增建设用地规模为</w:t>
      </w:r>
      <w:r>
        <w:rPr>
          <w:rFonts w:ascii="仿宋_GB2312" w:hAnsi="宋体" w:eastAsia="仿宋_GB2312"/>
          <w:sz w:val="28"/>
          <w:szCs w:val="28"/>
        </w:rPr>
        <w:t>25.17</w:t>
      </w:r>
      <w:r>
        <w:rPr>
          <w:rFonts w:hint="eastAsia" w:ascii="仿宋_GB2312" w:hAnsi="宋体" w:eastAsia="仿宋_GB2312"/>
          <w:sz w:val="28"/>
          <w:szCs w:val="28"/>
        </w:rPr>
        <w:t>公顷。</w:t>
      </w:r>
    </w:p>
    <w:p>
      <w:pPr>
        <w:pStyle w:val="4"/>
        <w:ind w:firstLine="562"/>
      </w:pPr>
      <w:bookmarkStart w:id="45" w:name="_Toc271901693"/>
      <w:bookmarkStart w:id="46" w:name="_Toc272496878"/>
      <w:bookmarkStart w:id="47" w:name="_Toc272826232"/>
      <w:r>
        <w:rPr>
          <w:rFonts w:hint="eastAsia"/>
        </w:rPr>
        <w:t>2．农村居民点用地调控</w:t>
      </w:r>
      <w:bookmarkEnd w:id="45"/>
      <w:bookmarkEnd w:id="46"/>
      <w:bookmarkEnd w:id="47"/>
    </w:p>
    <w:p>
      <w:pPr>
        <w:ind w:firstLine="560" w:firstLineChars="200"/>
        <w:rPr>
          <w:rFonts w:ascii="仿宋_GB2312" w:hAnsi="宋体" w:eastAsia="仿宋_GB2312"/>
          <w:sz w:val="28"/>
          <w:szCs w:val="28"/>
        </w:rPr>
      </w:pPr>
      <w:r>
        <w:rPr>
          <w:rFonts w:hint="eastAsia" w:ascii="仿宋_GB2312" w:hAnsi="宋体"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规划调整完善后2020年全镇农村居民点用地规模控制在</w:t>
      </w:r>
      <w:r>
        <w:rPr>
          <w:rFonts w:ascii="仿宋_GB2312" w:hAnsi="宋体" w:eastAsia="仿宋_GB2312"/>
          <w:sz w:val="28"/>
          <w:szCs w:val="28"/>
        </w:rPr>
        <w:t>33.59</w:t>
      </w:r>
      <w:r>
        <w:rPr>
          <w:rFonts w:hint="eastAsia" w:ascii="仿宋_GB2312" w:hAnsi="宋体" w:eastAsia="仿宋_GB2312"/>
          <w:sz w:val="28"/>
          <w:szCs w:val="28"/>
        </w:rPr>
        <w:t>公顷，其中现状建设用地规模为</w:t>
      </w:r>
      <w:r>
        <w:rPr>
          <w:rFonts w:ascii="仿宋_GB2312" w:hAnsi="宋体" w:eastAsia="仿宋_GB2312"/>
          <w:sz w:val="28"/>
          <w:szCs w:val="28"/>
        </w:rPr>
        <w:t>33.59</w:t>
      </w:r>
      <w:r>
        <w:rPr>
          <w:rFonts w:hint="eastAsia" w:ascii="仿宋_GB2312" w:hAnsi="宋体" w:eastAsia="仿宋_GB2312"/>
          <w:sz w:val="28"/>
          <w:szCs w:val="28"/>
        </w:rPr>
        <w:t>公顷，新增建设用地规模为</w:t>
      </w:r>
      <w:r>
        <w:rPr>
          <w:rFonts w:ascii="仿宋_GB2312" w:hAnsi="宋体" w:eastAsia="仿宋_GB2312"/>
          <w:sz w:val="28"/>
          <w:szCs w:val="28"/>
        </w:rPr>
        <w:t>0.00</w:t>
      </w:r>
      <w:r>
        <w:rPr>
          <w:rFonts w:hint="eastAsia" w:ascii="仿宋_GB2312" w:hAnsi="宋体" w:eastAsia="仿宋_GB2312"/>
          <w:sz w:val="28"/>
          <w:szCs w:val="28"/>
        </w:rPr>
        <w:t>公顷。农村居民点用地增量中包括易地扶贫搬迁、地质灾害搬迁等零散农村集体建设用地。</w:t>
      </w:r>
    </w:p>
    <w:p>
      <w:pPr>
        <w:pStyle w:val="3"/>
      </w:pPr>
      <w:bookmarkStart w:id="48" w:name="_Toc357580160"/>
      <w:bookmarkStart w:id="49" w:name="_Toc486804493"/>
      <w:r>
        <w:rPr>
          <w:rFonts w:hint="eastAsia"/>
        </w:rPr>
        <w:t>（二）</w:t>
      </w:r>
      <w:bookmarkEnd w:id="48"/>
      <w:r>
        <w:rPr>
          <w:rFonts w:hint="eastAsia"/>
        </w:rPr>
        <w:t>重点建设项目用地安排</w:t>
      </w:r>
      <w:bookmarkEnd w:id="49"/>
    </w:p>
    <w:p>
      <w:pPr>
        <w:ind w:firstLine="560" w:firstLineChars="200"/>
        <w:rPr>
          <w:rFonts w:ascii="仿宋_GB2312" w:hAnsi="宋体" w:eastAsia="仿宋_GB2312"/>
          <w:sz w:val="28"/>
          <w:szCs w:val="28"/>
        </w:rPr>
      </w:pPr>
      <w:r>
        <w:rPr>
          <w:rFonts w:hint="eastAsia" w:ascii="仿宋_GB2312" w:hAnsi="宋体" w:eastAsia="仿宋_GB2312"/>
          <w:sz w:val="28"/>
          <w:szCs w:val="28"/>
        </w:rPr>
        <w:t>根据省、市、县的重点建设项目安排以及“十三五”期间竹根镇社会经济发展需要，“十三五”期间全镇范围内预计将要实施的重点建设项目共计</w:t>
      </w:r>
      <w:r>
        <w:rPr>
          <w:rFonts w:ascii="仿宋_GB2312" w:hAnsi="宋体" w:eastAsia="仿宋_GB2312"/>
          <w:sz w:val="28"/>
          <w:szCs w:val="28"/>
        </w:rPr>
        <w:t>27</w:t>
      </w:r>
      <w:r>
        <w:rPr>
          <w:rFonts w:hint="eastAsia" w:ascii="仿宋_GB2312" w:hAnsi="宋体" w:eastAsia="仿宋_GB2312"/>
          <w:sz w:val="28"/>
          <w:szCs w:val="28"/>
        </w:rPr>
        <w:t>项目，规划调整完善后，预留用于保障重点建设项目的本级新增建设用地指标</w:t>
      </w:r>
      <w:r>
        <w:rPr>
          <w:rFonts w:ascii="仿宋_GB2312" w:hAnsi="宋体" w:eastAsia="仿宋_GB2312"/>
          <w:sz w:val="28"/>
          <w:szCs w:val="28"/>
        </w:rPr>
        <w:t>4.38</w:t>
      </w:r>
      <w:r>
        <w:rPr>
          <w:rFonts w:hint="eastAsia" w:ascii="仿宋_GB2312" w:hAnsi="宋体" w:eastAsia="仿宋_GB2312"/>
          <w:sz w:val="28"/>
          <w:szCs w:val="28"/>
        </w:rPr>
        <w:t>公顷，具体项目安排如下：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1.能源项目：老木孔枢纽（岷江航电综合开发）、岷江航电东风岩枢纽共计</w:t>
      </w:r>
      <w:r>
        <w:rPr>
          <w:rFonts w:ascii="仿宋_GB2312" w:hAnsi="宋体" w:eastAsia="仿宋_GB2312"/>
          <w:sz w:val="28"/>
          <w:szCs w:val="28"/>
        </w:rPr>
        <w:t>2</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交通项目：G213线改建工程、成贵铁路（乐山至贵阳段）、五通岷江大桥、竹根西坝渡改桥共计</w:t>
      </w:r>
      <w:r>
        <w:rPr>
          <w:rFonts w:ascii="仿宋_GB2312" w:hAnsi="宋体" w:eastAsia="仿宋_GB2312"/>
          <w:sz w:val="28"/>
          <w:szCs w:val="28"/>
        </w:rPr>
        <w:t>4</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hint="eastAsia" w:ascii="仿宋_GB2312" w:hAnsi="宋体" w:eastAsia="仿宋_GB2312"/>
          <w:sz w:val="28"/>
          <w:szCs w:val="28"/>
        </w:rPr>
        <w:t>3</w:t>
      </w:r>
      <w:r>
        <w:rPr>
          <w:rFonts w:ascii="仿宋_GB2312" w:hAnsi="宋体" w:eastAsia="仿宋_GB2312"/>
          <w:sz w:val="28"/>
          <w:szCs w:val="28"/>
        </w:rPr>
        <w:t>.</w:t>
      </w:r>
      <w:r>
        <w:rPr>
          <w:rFonts w:hint="eastAsia" w:ascii="仿宋_GB2312" w:hAnsi="宋体" w:eastAsia="仿宋_GB2312"/>
          <w:sz w:val="28"/>
          <w:szCs w:val="28"/>
        </w:rPr>
        <w:t>水利项目：河堤工程、泊滩堰罐区河湖水系连通工程（三江临港段）、岷江干流乐山段防洪工程、中小河流治理工程、小型水库工程、中小型已成灌区续建配套与节水改造工程、病险水库除险加固工程、农村饮水安全工程等共计</w:t>
      </w:r>
      <w:r>
        <w:rPr>
          <w:rFonts w:ascii="仿宋_GB2312" w:hAnsi="宋体" w:eastAsia="仿宋_GB2312"/>
          <w:sz w:val="28"/>
          <w:szCs w:val="28"/>
        </w:rPr>
        <w:t>8</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hint="eastAsia" w:ascii="仿宋_GB2312" w:hAnsi="宋体" w:eastAsia="仿宋_GB2312"/>
          <w:sz w:val="28"/>
          <w:szCs w:val="28"/>
        </w:rPr>
        <w:t>4</w:t>
      </w:r>
      <w:r>
        <w:rPr>
          <w:rFonts w:ascii="仿宋_GB2312" w:hAnsi="宋体" w:eastAsia="仿宋_GB2312"/>
          <w:sz w:val="28"/>
          <w:szCs w:val="28"/>
        </w:rPr>
        <w:t>.</w:t>
      </w:r>
      <w:r>
        <w:rPr>
          <w:rFonts w:hint="eastAsia" w:ascii="仿宋_GB2312" w:hAnsi="宋体" w:eastAsia="仿宋_GB2312"/>
          <w:sz w:val="28"/>
          <w:szCs w:val="28"/>
        </w:rPr>
        <w:t>电力项目：220kv输变电工程、110kv输变电工程共计</w:t>
      </w:r>
      <w:r>
        <w:rPr>
          <w:rFonts w:ascii="仿宋_GB2312" w:hAnsi="宋体" w:eastAsia="仿宋_GB2312"/>
          <w:sz w:val="28"/>
          <w:szCs w:val="28"/>
        </w:rPr>
        <w:t>2</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hint="eastAsia" w:ascii="仿宋_GB2312" w:hAnsi="宋体" w:eastAsia="仿宋_GB2312"/>
          <w:sz w:val="28"/>
          <w:szCs w:val="28"/>
        </w:rPr>
        <w:t>5</w:t>
      </w:r>
      <w:r>
        <w:rPr>
          <w:rFonts w:ascii="仿宋_GB2312" w:hAnsi="宋体" w:eastAsia="仿宋_GB2312"/>
          <w:sz w:val="28"/>
          <w:szCs w:val="28"/>
        </w:rPr>
        <w:t>.</w:t>
      </w:r>
      <w:r>
        <w:rPr>
          <w:rFonts w:hint="eastAsia" w:ascii="仿宋_GB2312" w:hAnsi="宋体" w:eastAsia="仿宋_GB2312"/>
          <w:sz w:val="28"/>
          <w:szCs w:val="28"/>
        </w:rPr>
        <w:t>旅游项目：菩提山、木鱼山基础设施改造工程、沫溪河生态观光度假区、根石家文化博览园共计</w:t>
      </w:r>
      <w:r>
        <w:rPr>
          <w:rFonts w:ascii="仿宋_GB2312" w:hAnsi="宋体" w:eastAsia="仿宋_GB2312"/>
          <w:sz w:val="28"/>
          <w:szCs w:val="28"/>
        </w:rPr>
        <w:t>3</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hint="eastAsia" w:ascii="仿宋_GB2312" w:hAnsi="宋体" w:eastAsia="仿宋_GB2312"/>
          <w:sz w:val="28"/>
          <w:szCs w:val="28"/>
        </w:rPr>
        <w:t>6</w:t>
      </w:r>
      <w:r>
        <w:rPr>
          <w:rFonts w:ascii="仿宋_GB2312" w:hAnsi="宋体" w:eastAsia="仿宋_GB2312"/>
          <w:sz w:val="28"/>
          <w:szCs w:val="28"/>
        </w:rPr>
        <w:t>.</w:t>
      </w:r>
      <w:r>
        <w:rPr>
          <w:rFonts w:hint="eastAsia" w:ascii="仿宋_GB2312" w:hAnsi="宋体" w:eastAsia="仿宋_GB2312"/>
          <w:sz w:val="28"/>
          <w:szCs w:val="28"/>
        </w:rPr>
        <w:t>其他项目：加气站及输气管道、加油站及输油管道、自来水厂及供水管网工程、污水处理厂（站）及管网设施、垃圾处理厂（站）、通讯电缆工程、殡葬项目、宗教用地等共计8项</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规划期内，须优先保障上述省、市、县级规划的交通、水利、电力等重点基础设施建设项目用地。同时，按照竹根镇新农村建设规划，科学合理规划乡镇公路和村社道路，全面提升乡村道等级。</w:t>
      </w:r>
    </w:p>
    <w:p>
      <w:pPr>
        <w:pStyle w:val="3"/>
      </w:pPr>
      <w:bookmarkStart w:id="50" w:name="_Toc486804494"/>
      <w:r>
        <w:rPr>
          <w:rFonts w:hint="eastAsia"/>
        </w:rPr>
        <w:t>（三）建设用地空间管制</w:t>
      </w:r>
      <w:bookmarkEnd w:id="50"/>
    </w:p>
    <w:p>
      <w:pPr>
        <w:ind w:firstLine="560" w:firstLineChars="200"/>
        <w:rPr>
          <w:rFonts w:ascii="仿宋_GB2312" w:hAnsi="宋体" w:eastAsia="仿宋_GB2312"/>
          <w:sz w:val="28"/>
          <w:szCs w:val="28"/>
        </w:rPr>
      </w:pPr>
      <w:r>
        <w:rPr>
          <w:rFonts w:hint="eastAsia" w:ascii="仿宋_GB2312" w:hAnsi="宋体" w:eastAsia="仿宋_GB2312"/>
          <w:sz w:val="28"/>
          <w:szCs w:val="28"/>
        </w:rPr>
        <w:t>根据上级下达给竹根镇的建设用地指标，在统筹存量与增量建设用地利用，结合竹根镇社会经济发展的实际，在建设用地布局适宜性评价基础上，与相关规划相协调，合理安排建设用地布局，按照建设用地空间管制规则将全镇土地划分为四个区域进行不同的管制。</w:t>
      </w:r>
    </w:p>
    <w:p>
      <w:pPr>
        <w:pStyle w:val="4"/>
        <w:ind w:firstLine="562"/>
      </w:pPr>
      <w:r>
        <w:rPr>
          <w:rFonts w:hint="eastAsia"/>
        </w:rPr>
        <w:t>1．允许建设区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竹根镇城乡建设用地规模边界以内的区域，是规划期内新增城镇、工矿、村庄建设用地规划选址的区域，也是规划确定的城乡建设用地指标落实到空间上的预期用地区。全镇各乡村均有不同量的分布，主要集中分布在荣丰村、兴福村、石子埂村和尚村。该区域面积为</w:t>
      </w:r>
      <w:r>
        <w:rPr>
          <w:rFonts w:ascii="仿宋_GB2312" w:hAnsi="宋体" w:eastAsia="仿宋_GB2312"/>
          <w:sz w:val="28"/>
          <w:szCs w:val="28"/>
        </w:rPr>
        <w:t>925.94</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竹根镇经济社会发展的龙头。</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pPr>
      <w:r>
        <w:rPr>
          <w:rFonts w:hint="eastAsia"/>
        </w:rPr>
        <w:t>2．有条件建设区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仿宋_GB2312" w:hAnsi="宋体" w:eastAsia="仿宋_GB2312"/>
          <w:sz w:val="28"/>
          <w:szCs w:val="28"/>
        </w:rPr>
      </w:pPr>
      <w:r>
        <w:rPr>
          <w:rFonts w:hint="eastAsia" w:ascii="仿宋_GB2312" w:hAnsi="宋体"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竹根镇有条件建设区规模为</w:t>
      </w:r>
      <w:r>
        <w:rPr>
          <w:rFonts w:ascii="仿宋_GB2312" w:hAnsi="宋体" w:eastAsia="仿宋_GB2312"/>
          <w:sz w:val="28"/>
          <w:szCs w:val="28"/>
        </w:rPr>
        <w:t>279.50</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pPr>
      <w:r>
        <w:rPr>
          <w:rFonts w:hint="eastAsia"/>
        </w:rPr>
        <w:t>3．限制建设区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该区域主要是竹根镇境内农村腹地区域，这些地区区位优势不明显，土地资源利用主要以农业为主。该区范围面积为</w:t>
      </w:r>
      <w:r>
        <w:rPr>
          <w:rFonts w:ascii="仿宋_GB2312" w:hAnsi="宋体" w:eastAsia="仿宋_GB2312"/>
          <w:sz w:val="28"/>
          <w:szCs w:val="28"/>
        </w:rPr>
        <w:t>474.36</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四 禁止建设区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竹根镇范围内未划定禁止建设区。</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1" w:name="_Toc486804495"/>
      <w:r>
        <w:rPr>
          <w:rFonts w:hint="eastAsia"/>
        </w:rPr>
        <w:t>六、用途分区</w:t>
      </w:r>
      <w:bookmarkEnd w:id="51"/>
    </w:p>
    <w:p>
      <w:pPr>
        <w:ind w:firstLine="560" w:firstLineChars="200"/>
        <w:rPr>
          <w:rFonts w:ascii="仿宋_GB2312" w:hAnsi="宋体" w:eastAsia="仿宋_GB2312"/>
          <w:sz w:val="28"/>
          <w:szCs w:val="28"/>
        </w:rPr>
      </w:pPr>
      <w:r>
        <w:rPr>
          <w:rFonts w:hint="eastAsia" w:ascii="仿宋_GB2312" w:hAnsi="宋体" w:eastAsia="仿宋_GB2312"/>
          <w:sz w:val="28"/>
          <w:szCs w:val="28"/>
        </w:rPr>
        <w:t>此次规划调整完善，按照全镇国民经济发展需要和土地利用的主要用途，将竹根镇土地划分为：基本农田保护区、一般农地区、城镇村建设用地区、独立工矿用地区、林业用地区、其他用地区等六种土地用途区。</w:t>
      </w:r>
    </w:p>
    <w:p>
      <w:pPr>
        <w:pStyle w:val="3"/>
      </w:pPr>
      <w:bookmarkStart w:id="52" w:name="_Toc259716770"/>
      <w:bookmarkStart w:id="53" w:name="_Toc271189964"/>
      <w:bookmarkStart w:id="54" w:name="_Toc272826212"/>
      <w:bookmarkStart w:id="55" w:name="_Toc288825079"/>
      <w:bookmarkStart w:id="56" w:name="_Toc357580169"/>
      <w:bookmarkStart w:id="57" w:name="_Toc486804496"/>
      <w:r>
        <w:rPr>
          <w:rFonts w:hint="eastAsia"/>
        </w:rPr>
        <w:t>（一）基本农田保护区</w:t>
      </w:r>
      <w:bookmarkEnd w:id="52"/>
      <w:bookmarkEnd w:id="53"/>
      <w:bookmarkEnd w:id="54"/>
      <w:bookmarkEnd w:id="55"/>
      <w:bookmarkEnd w:id="56"/>
      <w:bookmarkEnd w:id="57"/>
    </w:p>
    <w:p>
      <w:pPr>
        <w:ind w:firstLine="560" w:firstLineChars="200"/>
        <w:rPr>
          <w:rFonts w:ascii="仿宋_GB2312" w:hAnsi="宋体" w:eastAsia="仿宋_GB2312"/>
          <w:sz w:val="28"/>
          <w:szCs w:val="28"/>
        </w:rPr>
      </w:pPr>
      <w:r>
        <w:rPr>
          <w:rFonts w:hint="eastAsia" w:ascii="仿宋_GB2312" w:hAnsi="宋体"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w:t>
      </w:r>
      <w:r>
        <w:rPr>
          <w:rFonts w:ascii="仿宋_GB2312" w:hAnsi="宋体" w:eastAsia="仿宋_GB2312"/>
          <w:sz w:val="28"/>
          <w:szCs w:val="28"/>
        </w:rPr>
        <w:t>0</w:t>
      </w:r>
      <w:r>
        <w:rPr>
          <w:rFonts w:hint="eastAsia" w:ascii="仿宋_GB2312" w:hAnsi="宋体" w:eastAsia="仿宋_GB2312"/>
          <w:sz w:val="28"/>
          <w:szCs w:val="28"/>
        </w:rPr>
        <w:t>公顷，占全镇土地总面积的</w:t>
      </w:r>
      <w:r>
        <w:rPr>
          <w:rFonts w:ascii="仿宋_GB2312" w:hAnsi="宋体" w:eastAsia="仿宋_GB2312"/>
          <w:sz w:val="28"/>
          <w:szCs w:val="28"/>
        </w:rPr>
        <w:t>0</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本区土地利用管制规则如下：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pPr>
      <w:bookmarkStart w:id="58" w:name="_Toc272826213"/>
      <w:bookmarkStart w:id="59" w:name="_Toc271189965"/>
      <w:bookmarkStart w:id="60" w:name="_Toc259716771"/>
      <w:bookmarkStart w:id="61" w:name="_Toc357580170"/>
      <w:bookmarkStart w:id="62" w:name="_Toc486804497"/>
      <w:bookmarkStart w:id="63" w:name="_Toc288825080"/>
      <w:bookmarkStart w:id="64" w:name="_Toc248831113"/>
      <w:bookmarkStart w:id="65" w:name="_Toc248830941"/>
      <w:bookmarkStart w:id="66" w:name="_Toc256352736"/>
      <w:r>
        <w:rPr>
          <w:rFonts w:hint="eastAsia"/>
        </w:rPr>
        <w:t>（二）一般农地区</w:t>
      </w:r>
      <w:bookmarkEnd w:id="58"/>
      <w:bookmarkEnd w:id="59"/>
      <w:bookmarkEnd w:id="60"/>
      <w:bookmarkEnd w:id="61"/>
      <w:bookmarkEnd w:id="62"/>
      <w:bookmarkEnd w:id="63"/>
      <w:bookmarkEnd w:id="64"/>
      <w:bookmarkEnd w:id="65"/>
      <w:bookmarkEnd w:id="66"/>
    </w:p>
    <w:p>
      <w:pPr>
        <w:ind w:firstLine="560" w:firstLineChars="200"/>
        <w:rPr>
          <w:rFonts w:ascii="仿宋_GB2312" w:hAnsi="宋体" w:eastAsia="仿宋_GB2312"/>
          <w:sz w:val="28"/>
          <w:szCs w:val="28"/>
        </w:rPr>
      </w:pPr>
      <w:r>
        <w:rPr>
          <w:rFonts w:hint="eastAsia" w:ascii="仿宋_GB2312" w:hAnsi="宋体"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w:t>
      </w:r>
      <w:r>
        <w:rPr>
          <w:rFonts w:ascii="仿宋_GB2312" w:hAnsi="宋体" w:eastAsia="仿宋_GB2312"/>
          <w:sz w:val="28"/>
          <w:szCs w:val="28"/>
        </w:rPr>
        <w:t>244.66</w:t>
      </w:r>
      <w:r>
        <w:rPr>
          <w:rFonts w:hint="eastAsia" w:ascii="仿宋_GB2312" w:hAnsi="宋体" w:eastAsia="仿宋_GB2312"/>
          <w:sz w:val="28"/>
          <w:szCs w:val="28"/>
        </w:rPr>
        <w:t>公顷，占全镇土地总面积的</w:t>
      </w:r>
      <w:r>
        <w:rPr>
          <w:rFonts w:ascii="仿宋_GB2312" w:hAnsi="宋体" w:eastAsia="仿宋_GB2312"/>
          <w:sz w:val="28"/>
          <w:szCs w:val="28"/>
        </w:rPr>
        <w:t>14.56%</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（3）不得闲置、破坏、污染和荒芜区内土地。</w:t>
      </w:r>
    </w:p>
    <w:p>
      <w:pPr>
        <w:pStyle w:val="3"/>
      </w:pPr>
      <w:bookmarkStart w:id="67" w:name="_Toc302919479"/>
      <w:bookmarkStart w:id="68" w:name="_Toc302922705"/>
      <w:bookmarkStart w:id="69" w:name="_Toc357580171"/>
      <w:bookmarkStart w:id="70" w:name="_Toc486804498"/>
      <w:r>
        <w:rPr>
          <w:rFonts w:hint="eastAsia"/>
        </w:rPr>
        <w:t>（三）城镇建设用地区</w:t>
      </w:r>
      <w:bookmarkEnd w:id="67"/>
      <w:bookmarkEnd w:id="68"/>
      <w:bookmarkEnd w:id="69"/>
      <w:bookmarkEnd w:id="70"/>
    </w:p>
    <w:p>
      <w:pPr>
        <w:ind w:firstLine="560" w:firstLineChars="200"/>
        <w:rPr>
          <w:rFonts w:ascii="仿宋_GB2312" w:hAnsi="宋体" w:eastAsia="仿宋_GB2312"/>
          <w:sz w:val="28"/>
          <w:szCs w:val="28"/>
        </w:rPr>
      </w:pPr>
      <w:r>
        <w:rPr>
          <w:rFonts w:hint="eastAsia" w:ascii="仿宋_GB2312" w:hAnsi="宋体"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w:t>
      </w:r>
      <w:r>
        <w:rPr>
          <w:rFonts w:ascii="仿宋_GB2312" w:hAnsi="宋体" w:eastAsia="仿宋_GB2312"/>
          <w:sz w:val="28"/>
          <w:szCs w:val="28"/>
        </w:rPr>
        <w:t>876.44</w:t>
      </w:r>
      <w:r>
        <w:rPr>
          <w:rFonts w:hint="eastAsia" w:ascii="仿宋_GB2312" w:hAnsi="宋体" w:eastAsia="仿宋_GB2312"/>
          <w:sz w:val="28"/>
          <w:szCs w:val="28"/>
        </w:rPr>
        <w:t>公顷，占全镇土地总面积的</w:t>
      </w:r>
      <w:r>
        <w:rPr>
          <w:rFonts w:ascii="仿宋_GB2312" w:hAnsi="宋体" w:eastAsia="仿宋_GB2312"/>
          <w:sz w:val="28"/>
          <w:szCs w:val="28"/>
        </w:rPr>
        <w:t>52.17%</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（1）区内土地主要用于城镇建设，须符合经批准的城镇建设规划；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71" w:name="_Toc248830943"/>
      <w:bookmarkStart w:id="72" w:name="_Toc248831115"/>
      <w:bookmarkStart w:id="73" w:name="_Toc256352738"/>
      <w:bookmarkStart w:id="74" w:name="_Toc259716773"/>
      <w:bookmarkStart w:id="75" w:name="_Toc271189966"/>
      <w:bookmarkStart w:id="76" w:name="_Toc272826214"/>
      <w:bookmarkStart w:id="77" w:name="_Toc288825081"/>
      <w:bookmarkStart w:id="78" w:name="_Toc357580172"/>
      <w:bookmarkStart w:id="79" w:name="_Toc486804499"/>
      <w:r>
        <w:rPr>
          <w:rFonts w:hint="eastAsia"/>
        </w:rPr>
        <w:t>（四）村镇建设用地区</w:t>
      </w:r>
      <w:bookmarkEnd w:id="71"/>
      <w:bookmarkEnd w:id="72"/>
      <w:bookmarkEnd w:id="73"/>
      <w:bookmarkEnd w:id="74"/>
      <w:bookmarkEnd w:id="75"/>
      <w:bookmarkEnd w:id="76"/>
      <w:bookmarkEnd w:id="77"/>
      <w:bookmarkEnd w:id="78"/>
      <w:bookmarkEnd w:id="79"/>
    </w:p>
    <w:p>
      <w:pPr>
        <w:ind w:firstLine="560" w:firstLineChars="200"/>
        <w:rPr>
          <w:rFonts w:ascii="仿宋_GB2312" w:hAnsi="宋体" w:eastAsia="仿宋_GB2312"/>
          <w:sz w:val="28"/>
          <w:szCs w:val="28"/>
        </w:rPr>
      </w:pPr>
      <w:r>
        <w:rPr>
          <w:rFonts w:hint="eastAsia" w:ascii="仿宋_GB2312" w:hAnsi="宋体"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w:t>
      </w:r>
      <w:r>
        <w:rPr>
          <w:rFonts w:ascii="仿宋_GB2312" w:hAnsi="宋体" w:eastAsia="仿宋_GB2312"/>
          <w:sz w:val="28"/>
          <w:szCs w:val="28"/>
        </w:rPr>
        <w:t>34.08</w:t>
      </w:r>
      <w:r>
        <w:rPr>
          <w:rFonts w:hint="eastAsia" w:ascii="仿宋_GB2312" w:hAnsi="宋体" w:eastAsia="仿宋_GB2312"/>
          <w:sz w:val="28"/>
          <w:szCs w:val="28"/>
        </w:rPr>
        <w:t>公顷，占全镇土地总面积的</w:t>
      </w:r>
      <w:r>
        <w:rPr>
          <w:rFonts w:ascii="仿宋_GB2312" w:hAnsi="宋体" w:eastAsia="仿宋_GB2312"/>
          <w:sz w:val="28"/>
          <w:szCs w:val="28"/>
        </w:rPr>
        <w:t>2.03%</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（1）区内土地主要用于城镇、农村居民点建设，须符合经批准的城镇、村庄建设规划；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80" w:name="_Toc248830944"/>
      <w:bookmarkStart w:id="81" w:name="_Toc248831116"/>
      <w:bookmarkStart w:id="82" w:name="_Toc256352739"/>
      <w:bookmarkStart w:id="83" w:name="_Toc259716774"/>
      <w:bookmarkStart w:id="84" w:name="_Toc271189967"/>
      <w:bookmarkStart w:id="85" w:name="_Toc272872578"/>
      <w:bookmarkStart w:id="86" w:name="_Toc287626070"/>
      <w:bookmarkStart w:id="87" w:name="_Toc288825082"/>
      <w:bookmarkStart w:id="88" w:name="_Toc357580173"/>
      <w:bookmarkStart w:id="89" w:name="_Toc486804500"/>
      <w:r>
        <w:rPr>
          <w:rFonts w:hint="eastAsia"/>
        </w:rPr>
        <w:t>（五）独立工矿用地区</w:t>
      </w:r>
      <w:bookmarkEnd w:id="80"/>
      <w:bookmarkEnd w:id="81"/>
      <w:bookmarkEnd w:id="82"/>
      <w:bookmarkEnd w:id="83"/>
      <w:bookmarkEnd w:id="84"/>
      <w:bookmarkEnd w:id="85"/>
      <w:bookmarkEnd w:id="86"/>
      <w:bookmarkEnd w:id="87"/>
      <w:bookmarkEnd w:id="88"/>
      <w:bookmarkEnd w:id="89"/>
    </w:p>
    <w:p>
      <w:pPr>
        <w:ind w:firstLine="560" w:firstLineChars="200"/>
        <w:rPr>
          <w:rFonts w:ascii="仿宋_GB2312" w:hAnsi="宋体" w:eastAsia="仿宋_GB2312"/>
          <w:sz w:val="28"/>
          <w:szCs w:val="28"/>
        </w:rPr>
      </w:pPr>
      <w:r>
        <w:rPr>
          <w:rFonts w:hint="eastAsia" w:ascii="仿宋_GB2312" w:hAnsi="宋体"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w:t>
      </w:r>
      <w:r>
        <w:rPr>
          <w:rFonts w:ascii="仿宋_GB2312" w:hAnsi="宋体" w:eastAsia="仿宋_GB2312"/>
          <w:sz w:val="28"/>
          <w:szCs w:val="28"/>
        </w:rPr>
        <w:t>15.42</w:t>
      </w:r>
      <w:r>
        <w:rPr>
          <w:rFonts w:hint="eastAsia" w:ascii="仿宋_GB2312" w:hAnsi="宋体" w:eastAsia="仿宋_GB2312"/>
          <w:sz w:val="28"/>
          <w:szCs w:val="28"/>
        </w:rPr>
        <w:t>公顷，占全镇土地总面积的</w:t>
      </w:r>
      <w:r>
        <w:rPr>
          <w:rFonts w:ascii="仿宋_GB2312" w:hAnsi="宋体" w:eastAsia="仿宋_GB2312"/>
          <w:sz w:val="28"/>
          <w:szCs w:val="28"/>
        </w:rPr>
        <w:t>0.92%</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本区的土地用途管制规则为：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（1）区内土地主要用于采矿业以及不宜在居民点内配置的工业用地；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（2）区内土地使用应符合经批准的工矿建设规划；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（3）区内因生产建设挖损、塌陷、压占的土地应及时复垦；</w:t>
      </w:r>
    </w:p>
    <w:p>
      <w:pPr>
        <w:ind w:firstLine="560" w:firstLineChars="200"/>
        <w:rPr>
          <w:rFonts w:ascii="仿宋_GB2312" w:hAnsi="宋体" w:eastAsia="仿宋_GB2312"/>
          <w:sz w:val="28"/>
          <w:szCs w:val="28"/>
        </w:rPr>
      </w:pPr>
      <w:r>
        <w:rPr>
          <w:rFonts w:hint="eastAsia" w:ascii="仿宋_GB2312" w:hAnsi="宋体" w:eastAsia="仿宋_GB2312"/>
          <w:sz w:val="28"/>
          <w:szCs w:val="28"/>
        </w:rPr>
        <w:t>（4）区内建设应优先利用现有低效建设用地、闲置地和废弃地；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（5）区内农用地在批准改变用途之前，应当按原用途使用，不得荒芜。</w:t>
      </w:r>
    </w:p>
    <w:p>
      <w:pPr>
        <w:pStyle w:val="3"/>
      </w:pPr>
      <w:bookmarkStart w:id="90" w:name="_Toc357580174"/>
      <w:bookmarkStart w:id="91" w:name="_Toc486804501"/>
      <w:bookmarkStart w:id="92" w:name="_Toc288825083"/>
      <w:r>
        <w:rPr>
          <w:rFonts w:hint="eastAsia"/>
        </w:rPr>
        <w:t>（六）林业用地区</w:t>
      </w:r>
      <w:bookmarkEnd w:id="90"/>
      <w:bookmarkEnd w:id="91"/>
      <w:bookmarkEnd w:id="92"/>
    </w:p>
    <w:p>
      <w:pPr>
        <w:ind w:firstLine="560" w:firstLineChars="200"/>
        <w:rPr>
          <w:rFonts w:ascii="仿宋_GB2312" w:hAnsi="宋体" w:eastAsia="仿宋_GB2312"/>
          <w:sz w:val="28"/>
          <w:szCs w:val="28"/>
        </w:rPr>
      </w:pPr>
      <w:r>
        <w:rPr>
          <w:rFonts w:hint="eastAsia" w:ascii="仿宋_GB2312" w:hAnsi="宋体"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w:t>
      </w:r>
      <w:r>
        <w:rPr>
          <w:rFonts w:ascii="仿宋_GB2312" w:hAnsi="宋体" w:eastAsia="仿宋_GB2312"/>
          <w:sz w:val="28"/>
          <w:szCs w:val="28"/>
        </w:rPr>
        <w:t>22.75</w:t>
      </w:r>
      <w:r>
        <w:rPr>
          <w:rFonts w:hint="eastAsia" w:ascii="仿宋_GB2312" w:hAnsi="宋体" w:eastAsia="仿宋_GB2312"/>
          <w:sz w:val="28"/>
          <w:szCs w:val="28"/>
        </w:rPr>
        <w:t>公顷，占全镇土地总面积的</w:t>
      </w:r>
      <w:r>
        <w:rPr>
          <w:rFonts w:ascii="仿宋_GB2312" w:hAnsi="宋体" w:eastAsia="仿宋_GB2312"/>
          <w:sz w:val="28"/>
          <w:szCs w:val="28"/>
        </w:rPr>
        <w:t>1.35%</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（1）区内土地主要用于林业生产</w:t>
      </w:r>
      <w:bookmarkStart w:id="138" w:name="_GoBack"/>
      <w:bookmarkEnd w:id="138"/>
      <w:r>
        <w:rPr>
          <w:rFonts w:hint="eastAsia" w:ascii="仿宋_GB2312" w:hAnsi="宋体" w:eastAsia="仿宋_GB2312"/>
          <w:sz w:val="28"/>
          <w:szCs w:val="28"/>
        </w:rPr>
        <w:t>以及直接为林业生产和生态建设服务的营林设施；</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（3）区内零星耕地因生态建设和环境保护需要可转为林地；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（4）不得占用区内土地进行毁林开垦、采石、挖沙、取土等活动。</w:t>
      </w:r>
    </w:p>
    <w:p>
      <w:pPr>
        <w:pStyle w:val="3"/>
      </w:pPr>
      <w:bookmarkStart w:id="93" w:name="_Toc313979681"/>
      <w:bookmarkStart w:id="94" w:name="_Toc313979935"/>
      <w:bookmarkStart w:id="95" w:name="_Toc357580175"/>
      <w:bookmarkStart w:id="96" w:name="_Toc486804502"/>
      <w:r>
        <w:rPr>
          <w:rFonts w:hint="eastAsia"/>
        </w:rPr>
        <w:t>（七）其他用地区</w:t>
      </w:r>
      <w:bookmarkEnd w:id="93"/>
      <w:bookmarkEnd w:id="94"/>
      <w:bookmarkEnd w:id="95"/>
      <w:bookmarkEnd w:id="96"/>
    </w:p>
    <w:p>
      <w:pPr>
        <w:ind w:firstLine="560" w:firstLineChars="200"/>
        <w:rPr>
          <w:rFonts w:ascii="仿宋_GB2312" w:hAnsi="宋体" w:eastAsia="仿宋_GB2312"/>
          <w:sz w:val="28"/>
          <w:szCs w:val="28"/>
        </w:rPr>
      </w:pPr>
      <w:r>
        <w:rPr>
          <w:rFonts w:hint="eastAsia" w:ascii="仿宋_GB2312" w:hAnsi="宋体" w:eastAsia="仿宋_GB2312"/>
          <w:sz w:val="28"/>
          <w:szCs w:val="28"/>
        </w:rPr>
        <w:t>主要包括以上各区外的土地，重点是全镇居民点以外的铁路、公路、管道运输用地，水利设施中的沟渠和水工建筑物用地，以及全镇的未利用地等。该区面积</w:t>
      </w:r>
      <w:r>
        <w:rPr>
          <w:rFonts w:ascii="仿宋_GB2312" w:hAnsi="宋体" w:eastAsia="仿宋_GB2312"/>
          <w:sz w:val="28"/>
          <w:szCs w:val="28"/>
        </w:rPr>
        <w:t>486.45</w:t>
      </w:r>
      <w:r>
        <w:rPr>
          <w:rFonts w:hint="eastAsia" w:ascii="仿宋_GB2312" w:hAnsi="宋体" w:eastAsia="仿宋_GB2312"/>
          <w:sz w:val="28"/>
          <w:szCs w:val="28"/>
        </w:rPr>
        <w:t>公顷，占全镇土地总面积的</w:t>
      </w:r>
      <w:r>
        <w:rPr>
          <w:rFonts w:ascii="仿宋_GB2312" w:hAnsi="宋体" w:eastAsia="仿宋_GB2312"/>
          <w:sz w:val="28"/>
          <w:szCs w:val="28"/>
        </w:rPr>
        <w:t>28.96%</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（1）区内土地使用应符合经批准的相关规划；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（3）区内农用地在批准改变用途前，应当按原用途使用，不得荒芜。</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97" w:name="_Toc486804503"/>
      <w:r>
        <w:rPr>
          <w:rFonts w:hint="eastAsia"/>
        </w:rPr>
        <w:t>七、生态保护用地规划</w:t>
      </w:r>
      <w:bookmarkEnd w:id="97"/>
    </w:p>
    <w:p>
      <w:pPr>
        <w:pStyle w:val="3"/>
      </w:pPr>
      <w:bookmarkStart w:id="98" w:name="_Toc357580162"/>
      <w:bookmarkStart w:id="99" w:name="_Toc486804504"/>
      <w:bookmarkStart w:id="100" w:name="_Toc248830955"/>
      <w:bookmarkStart w:id="101" w:name="_Toc248831127"/>
      <w:bookmarkStart w:id="102" w:name="_Toc256352753"/>
      <w:bookmarkStart w:id="103" w:name="_Toc259716798"/>
      <w:bookmarkStart w:id="104" w:name="_Toc271189983"/>
      <w:bookmarkStart w:id="105" w:name="_Toc272826242"/>
      <w:bookmarkStart w:id="106" w:name="_Toc288825072"/>
      <w:r>
        <w:rPr>
          <w:rFonts w:hint="eastAsia"/>
        </w:rPr>
        <w:t>（一）构建良好的农业生态环境基础</w:t>
      </w:r>
      <w:bookmarkEnd w:id="98"/>
      <w:bookmarkEnd w:id="99"/>
    </w:p>
    <w:bookmarkEnd w:id="100"/>
    <w:bookmarkEnd w:id="101"/>
    <w:bookmarkEnd w:id="102"/>
    <w:bookmarkEnd w:id="103"/>
    <w:bookmarkEnd w:id="104"/>
    <w:bookmarkEnd w:id="105"/>
    <w:bookmarkEnd w:id="106"/>
    <w:p>
      <w:pPr>
        <w:pStyle w:val="4"/>
        <w:ind w:firstLine="562"/>
      </w:pPr>
      <w:bookmarkStart w:id="107" w:name="_Toc248830956"/>
      <w:bookmarkStart w:id="108" w:name="_Toc248831128"/>
      <w:bookmarkStart w:id="109" w:name="_Toc256352754"/>
      <w:bookmarkStart w:id="110" w:name="_Toc259716802"/>
      <w:bookmarkStart w:id="111" w:name="_Toc271189984"/>
      <w:bookmarkStart w:id="112" w:name="_Toc272826246"/>
      <w:bookmarkStart w:id="113" w:name="_Toc288825073"/>
      <w:r>
        <w:rPr>
          <w:rFonts w:hint="eastAsia"/>
        </w:rPr>
        <w:t>1．构建生态良好的土地利用格局</w:t>
      </w:r>
    </w:p>
    <w:p>
      <w:pPr>
        <w:ind w:firstLine="560" w:firstLineChars="200"/>
        <w:rPr>
          <w:rFonts w:ascii="仿宋_GB2312" w:hAnsi="宋体" w:eastAsia="仿宋_GB2312"/>
          <w:sz w:val="28"/>
          <w:szCs w:val="28"/>
        </w:rPr>
      </w:pPr>
      <w:r>
        <w:rPr>
          <w:rFonts w:hint="eastAsia" w:ascii="仿宋_GB2312" w:hAnsi="宋体"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07"/>
    <w:bookmarkEnd w:id="108"/>
    <w:bookmarkEnd w:id="109"/>
    <w:bookmarkEnd w:id="110"/>
    <w:bookmarkEnd w:id="111"/>
    <w:bookmarkEnd w:id="112"/>
    <w:bookmarkEnd w:id="113"/>
    <w:p>
      <w:pPr>
        <w:pStyle w:val="4"/>
        <w:ind w:firstLine="562"/>
      </w:pPr>
      <w:r>
        <w:rPr>
          <w:rFonts w:hint="eastAsia"/>
        </w:rPr>
        <w:t>2．生态建设和环境保护用地安排</w:t>
      </w:r>
    </w:p>
    <w:p>
      <w:pPr>
        <w:ind w:firstLine="560" w:firstLineChars="200"/>
        <w:rPr>
          <w:rFonts w:ascii="仿宋_GB2312" w:hAnsi="宋体" w:eastAsia="仿宋_GB2312"/>
          <w:sz w:val="28"/>
          <w:szCs w:val="28"/>
        </w:rPr>
      </w:pPr>
      <w:r>
        <w:rPr>
          <w:rFonts w:hint="eastAsia" w:ascii="仿宋_GB2312" w:hAnsi="宋体" w:eastAsia="仿宋_GB2312"/>
          <w:sz w:val="28"/>
          <w:szCs w:val="28"/>
        </w:rPr>
        <w:t>加强土地生态环境建设，补偿开发建设对生态环境产生的不利影响，逐步改善和提高全镇生态环境质量。</w:t>
      </w:r>
    </w:p>
    <w:p>
      <w:pPr>
        <w:ind w:firstLine="562" w:firstLineChars="200"/>
        <w:rPr>
          <w:rFonts w:ascii="仿宋_GB2312" w:hAnsi="宋体" w:eastAsia="仿宋_GB2312"/>
          <w:b/>
          <w:sz w:val="28"/>
          <w:szCs w:val="28"/>
        </w:rPr>
      </w:pPr>
      <w:bookmarkStart w:id="114" w:name="_Toc272826247"/>
      <w:r>
        <w:rPr>
          <w:rFonts w:hint="eastAsia" w:ascii="仿宋_GB2312" w:hAnsi="宋体" w:eastAsia="仿宋_GB2312"/>
          <w:b/>
          <w:sz w:val="28"/>
          <w:szCs w:val="28"/>
        </w:rPr>
        <w:t>（1）加强基础性生态用地保护</w:t>
      </w:r>
      <w:bookmarkEnd w:id="114"/>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仿宋_GB2312" w:hAnsi="宋体" w:eastAsia="仿宋_GB2312"/>
          <w:b/>
          <w:sz w:val="28"/>
          <w:szCs w:val="28"/>
        </w:rPr>
      </w:pPr>
      <w:bookmarkStart w:id="115" w:name="_Toc272826249"/>
      <w:r>
        <w:rPr>
          <w:rFonts w:hint="eastAsia" w:ascii="仿宋_GB2312" w:hAnsi="宋体" w:eastAsia="仿宋_GB2312"/>
          <w:b/>
          <w:sz w:val="28"/>
          <w:szCs w:val="28"/>
        </w:rPr>
        <w:t>（2）因地制宜改善土地生态环境</w:t>
      </w:r>
      <w:bookmarkEnd w:id="115"/>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pPr>
      <w:bookmarkStart w:id="116" w:name="_Toc357580163"/>
      <w:bookmarkStart w:id="117" w:name="_Toc486804505"/>
      <w:r>
        <w:rPr>
          <w:rFonts w:hint="eastAsia"/>
        </w:rPr>
        <w:t>（二）加强城镇生态环境建设</w:t>
      </w:r>
      <w:bookmarkEnd w:id="116"/>
      <w:bookmarkEnd w:id="117"/>
    </w:p>
    <w:p>
      <w:pPr>
        <w:ind w:firstLine="560" w:firstLineChars="200"/>
        <w:rPr>
          <w:rFonts w:ascii="仿宋_GB2312" w:hAnsi="宋体" w:eastAsia="仿宋_GB2312"/>
          <w:sz w:val="28"/>
          <w:szCs w:val="28"/>
        </w:rPr>
      </w:pPr>
      <w:r>
        <w:rPr>
          <w:rFonts w:hint="eastAsia" w:ascii="仿宋_GB2312" w:hAnsi="宋体"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pPr>
      <w:bookmarkStart w:id="118" w:name="_Toc357580164"/>
      <w:bookmarkStart w:id="119" w:name="_Toc486804506"/>
      <w:r>
        <w:rPr>
          <w:rFonts w:hint="eastAsia"/>
        </w:rPr>
        <w:t>（三）加强农村地区生态环境建设</w:t>
      </w:r>
      <w:bookmarkEnd w:id="118"/>
      <w:bookmarkEnd w:id="119"/>
    </w:p>
    <w:p>
      <w:pPr>
        <w:ind w:firstLine="560" w:firstLineChars="200"/>
        <w:rPr>
          <w:rFonts w:ascii="仿宋_GB2312" w:hAnsi="宋体" w:eastAsia="仿宋_GB2312"/>
          <w:sz w:val="28"/>
          <w:szCs w:val="28"/>
        </w:rPr>
      </w:pPr>
      <w:r>
        <w:rPr>
          <w:rFonts w:hint="eastAsia" w:ascii="仿宋_GB2312" w:hAnsi="宋体" w:eastAsia="仿宋_GB2312"/>
          <w:sz w:val="28"/>
          <w:szCs w:val="28"/>
        </w:rPr>
        <w:t>充分结合新农村建设工程，加强村容村貌整治，加强农村地区生态环境建设。</w:t>
      </w:r>
    </w:p>
    <w:p>
      <w:pPr>
        <w:pStyle w:val="4"/>
        <w:ind w:firstLine="562"/>
      </w:pPr>
      <w:r>
        <w:rPr>
          <w:rFonts w:hint="eastAsia"/>
        </w:rPr>
        <w:t>1．大力发展循环经济</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pPr>
      <w:r>
        <w:rPr>
          <w:rFonts w:hint="eastAsia"/>
        </w:rPr>
        <w:t>2．加强林业生态体系建设</w:t>
      </w:r>
    </w:p>
    <w:p>
      <w:pPr>
        <w:ind w:firstLine="560" w:firstLineChars="200"/>
        <w:rPr>
          <w:rFonts w:ascii="仿宋_GB2312" w:hAnsi="宋体" w:eastAsia="仿宋_GB2312"/>
          <w:sz w:val="28"/>
          <w:szCs w:val="28"/>
        </w:rPr>
      </w:pPr>
      <w:r>
        <w:rPr>
          <w:rFonts w:hint="eastAsia" w:ascii="仿宋_GB2312" w:hAnsi="宋体"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pPr>
      <w:r>
        <w:rPr>
          <w:rFonts w:hint="eastAsia"/>
        </w:rPr>
        <w:t>3．加强村容村貌整治</w:t>
      </w:r>
    </w:p>
    <w:p>
      <w:pPr>
        <w:ind w:firstLine="560" w:firstLineChars="200"/>
        <w:rPr>
          <w:rFonts w:ascii="仿宋_GB2312" w:hAnsi="宋体" w:eastAsia="仿宋_GB2312"/>
          <w:sz w:val="28"/>
          <w:szCs w:val="28"/>
        </w:rPr>
      </w:pPr>
      <w:r>
        <w:rPr>
          <w:rFonts w:hint="eastAsia" w:ascii="仿宋_GB2312" w:hAnsi="宋体"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20" w:name="_Toc407294589"/>
      <w:bookmarkStart w:id="121" w:name="_Toc486804507"/>
      <w:bookmarkStart w:id="122" w:name="_Toc485386651"/>
      <w:bookmarkStart w:id="123" w:name="_Toc475303983"/>
      <w:r>
        <w:rPr>
          <w:rFonts w:hint="eastAsia" w:ascii="仿宋_GB2312" w:hAnsi="宋体"/>
          <w:bCs w:val="0"/>
          <w:color w:val="000000"/>
          <w:sz w:val="28"/>
          <w:szCs w:val="28"/>
        </w:rPr>
        <w:t>附表一  竹根镇土地利用主要调控指标表</w:t>
      </w:r>
      <w:bookmarkEnd w:id="120"/>
      <w:bookmarkEnd w:id="121"/>
      <w:bookmarkEnd w:id="122"/>
      <w:bookmarkEnd w:id="123"/>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9498" w:type="dxa"/>
        <w:jc w:val="center"/>
        <w:tblLayout w:type="autofit"/>
        <w:tblCellMar>
          <w:top w:w="15" w:type="dxa"/>
          <w:left w:w="108" w:type="dxa"/>
          <w:bottom w:w="15" w:type="dxa"/>
          <w:right w:w="108" w:type="dxa"/>
        </w:tblCellMar>
      </w:tblPr>
      <w:tblGrid>
        <w:gridCol w:w="3006"/>
        <w:gridCol w:w="1672"/>
        <w:gridCol w:w="1701"/>
        <w:gridCol w:w="1843"/>
        <w:gridCol w:w="1276"/>
      </w:tblGrid>
      <w:tr>
        <w:tblPrEx>
          <w:tblCellMar>
            <w:top w:w="15" w:type="dxa"/>
            <w:left w:w="108" w:type="dxa"/>
            <w:bottom w:w="15" w:type="dxa"/>
            <w:right w:w="108" w:type="dxa"/>
          </w:tblCellMar>
        </w:tblPrEx>
        <w:trPr>
          <w:trHeight w:val="300" w:hRule="atLeast"/>
          <w:jc w:val="center"/>
        </w:trPr>
        <w:tc>
          <w:tcPr>
            <w:tcW w:w="3006" w:type="dxa"/>
            <w:tcBorders>
              <w:top w:val="single" w:color="auto" w:sz="4" w:space="0"/>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指标</w:t>
            </w:r>
          </w:p>
        </w:tc>
        <w:tc>
          <w:tcPr>
            <w:tcW w:w="1672" w:type="dxa"/>
            <w:tcBorders>
              <w:top w:val="single" w:color="auto" w:sz="4" w:space="0"/>
              <w:left w:val="nil"/>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规划基期年</w:t>
            </w:r>
          </w:p>
        </w:tc>
        <w:tc>
          <w:tcPr>
            <w:tcW w:w="1701" w:type="dxa"/>
            <w:tcBorders>
              <w:top w:val="single" w:color="auto" w:sz="4" w:space="0"/>
              <w:left w:val="nil"/>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原规划目标</w:t>
            </w:r>
          </w:p>
        </w:tc>
        <w:tc>
          <w:tcPr>
            <w:tcW w:w="1843" w:type="dxa"/>
            <w:tcBorders>
              <w:top w:val="single" w:color="auto" w:sz="4" w:space="0"/>
              <w:left w:val="nil"/>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调整后目标年</w:t>
            </w:r>
          </w:p>
        </w:tc>
        <w:tc>
          <w:tcPr>
            <w:tcW w:w="1276" w:type="dxa"/>
            <w:tcBorders>
              <w:top w:val="single" w:color="auto" w:sz="4" w:space="0"/>
              <w:left w:val="nil"/>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指标属性</w:t>
            </w:r>
          </w:p>
        </w:tc>
      </w:tr>
      <w:tr>
        <w:tblPrEx>
          <w:tblCellMar>
            <w:top w:w="15" w:type="dxa"/>
            <w:left w:w="108" w:type="dxa"/>
            <w:bottom w:w="15" w:type="dxa"/>
            <w:right w:w="108" w:type="dxa"/>
          </w:tblCellMar>
        </w:tblPrEx>
        <w:trPr>
          <w:trHeight w:val="300" w:hRule="atLeast"/>
          <w:jc w:val="center"/>
        </w:trPr>
        <w:tc>
          <w:tcPr>
            <w:tcW w:w="9498" w:type="dxa"/>
            <w:gridSpan w:val="5"/>
            <w:tcBorders>
              <w:top w:val="single" w:color="auto" w:sz="4" w:space="0"/>
              <w:left w:val="single" w:color="auto" w:sz="4" w:space="0"/>
              <w:bottom w:val="single" w:color="auto" w:sz="4" w:space="0"/>
              <w:right w:val="nil"/>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总量指标（单位为公顷）</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耕地保有量</w:t>
            </w:r>
          </w:p>
        </w:tc>
        <w:tc>
          <w:tcPr>
            <w:tcW w:w="1672"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235.62</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213.2</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基本农田保护面积</w:t>
            </w:r>
          </w:p>
        </w:tc>
        <w:tc>
          <w:tcPr>
            <w:tcW w:w="1672"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园地面积</w:t>
            </w:r>
          </w:p>
        </w:tc>
        <w:tc>
          <w:tcPr>
            <w:tcW w:w="1672"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15.01</w:t>
            </w:r>
          </w:p>
        </w:tc>
        <w:tc>
          <w:tcPr>
            <w:tcW w:w="1701"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14.58</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林地面积</w:t>
            </w:r>
          </w:p>
        </w:tc>
        <w:tc>
          <w:tcPr>
            <w:tcW w:w="1672"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28.15</w:t>
            </w:r>
          </w:p>
        </w:tc>
        <w:tc>
          <w:tcPr>
            <w:tcW w:w="1701"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22.15</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建设用地总规模</w:t>
            </w:r>
          </w:p>
        </w:tc>
        <w:tc>
          <w:tcPr>
            <w:tcW w:w="1672"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916.97</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1069.87</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946.52</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城乡建设用地规模</w:t>
            </w:r>
          </w:p>
        </w:tc>
        <w:tc>
          <w:tcPr>
            <w:tcW w:w="1672"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899.45</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1064.16</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924.62</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城镇工矿用地规模</w:t>
            </w:r>
          </w:p>
        </w:tc>
        <w:tc>
          <w:tcPr>
            <w:tcW w:w="1672"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865.86</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1047.58</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891.03</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CellMar>
            <w:top w:w="15" w:type="dxa"/>
            <w:left w:w="108" w:type="dxa"/>
            <w:bottom w:w="15" w:type="dxa"/>
            <w:right w:w="108" w:type="dxa"/>
          </w:tblCellMar>
        </w:tblPrEx>
        <w:trPr>
          <w:trHeight w:val="300" w:hRule="atLeast"/>
          <w:jc w:val="center"/>
        </w:trPr>
        <w:tc>
          <w:tcPr>
            <w:tcW w:w="9498" w:type="dxa"/>
            <w:gridSpan w:val="5"/>
            <w:tcBorders>
              <w:top w:val="single" w:color="auto" w:sz="4" w:space="0"/>
              <w:left w:val="single" w:color="auto" w:sz="4" w:space="0"/>
              <w:bottom w:val="single" w:color="auto" w:sz="4" w:space="0"/>
              <w:right w:val="nil"/>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增量指标（单位为公顷）</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新增建设用地规模</w:t>
            </w:r>
          </w:p>
        </w:tc>
        <w:tc>
          <w:tcPr>
            <w:tcW w:w="1672"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252.51</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29.55</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新增建设占用农用地规模</w:t>
            </w:r>
          </w:p>
        </w:tc>
        <w:tc>
          <w:tcPr>
            <w:tcW w:w="1672"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229.64</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29.55</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预期性</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新增建设占用耕地规模</w:t>
            </w:r>
          </w:p>
        </w:tc>
        <w:tc>
          <w:tcPr>
            <w:tcW w:w="1672"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106.91</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22.42</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土地整治补充耕地义务量</w:t>
            </w:r>
          </w:p>
        </w:tc>
        <w:tc>
          <w:tcPr>
            <w:tcW w:w="1672"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r>
        <w:tblPrEx>
          <w:tblCellMar>
            <w:top w:w="15" w:type="dxa"/>
            <w:left w:w="108" w:type="dxa"/>
            <w:bottom w:w="15" w:type="dxa"/>
            <w:right w:w="108" w:type="dxa"/>
          </w:tblCellMar>
        </w:tblPrEx>
        <w:trPr>
          <w:trHeight w:val="300" w:hRule="atLeast"/>
          <w:jc w:val="center"/>
        </w:trPr>
        <w:tc>
          <w:tcPr>
            <w:tcW w:w="9498" w:type="dxa"/>
            <w:gridSpan w:val="5"/>
            <w:tcBorders>
              <w:top w:val="single" w:color="auto" w:sz="4" w:space="0"/>
              <w:left w:val="single" w:color="auto" w:sz="4" w:space="0"/>
              <w:bottom w:val="single" w:color="auto" w:sz="4" w:space="0"/>
              <w:right w:val="nil"/>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效率指标（单位为平方米）</w:t>
            </w:r>
          </w:p>
        </w:tc>
      </w:tr>
      <w:tr>
        <w:tblPrEx>
          <w:tblCellMar>
            <w:top w:w="15" w:type="dxa"/>
            <w:left w:w="108" w:type="dxa"/>
            <w:bottom w:w="15" w:type="dxa"/>
            <w:right w:w="108" w:type="dxa"/>
          </w:tblCellMar>
        </w:tblPrEx>
        <w:trPr>
          <w:trHeight w:val="300" w:hRule="atLeast"/>
          <w:jc w:val="center"/>
        </w:trPr>
        <w:tc>
          <w:tcPr>
            <w:tcW w:w="3006" w:type="dxa"/>
            <w:tcBorders>
              <w:top w:val="nil"/>
              <w:left w:val="single" w:color="auto" w:sz="4" w:space="0"/>
              <w:bottom w:val="single" w:color="auto" w:sz="4" w:space="0"/>
              <w:right w:val="single" w:color="auto" w:sz="4" w:space="0"/>
            </w:tcBorders>
            <w:vAlign w:val="bottom"/>
          </w:tcPr>
          <w:p>
            <w:pPr>
              <w:widowControl/>
              <w:jc w:val="left"/>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人均城镇工矿用地</w:t>
            </w:r>
          </w:p>
        </w:tc>
        <w:tc>
          <w:tcPr>
            <w:tcW w:w="1672"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w:t>
            </w:r>
          </w:p>
        </w:tc>
        <w:tc>
          <w:tcPr>
            <w:tcW w:w="1701"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120</w:t>
            </w:r>
          </w:p>
        </w:tc>
        <w:tc>
          <w:tcPr>
            <w:tcW w:w="1843" w:type="dxa"/>
            <w:tcBorders>
              <w:top w:val="nil"/>
              <w:left w:val="nil"/>
              <w:bottom w:val="single" w:color="auto" w:sz="4" w:space="0"/>
              <w:right w:val="single" w:color="auto" w:sz="4" w:space="0"/>
            </w:tcBorders>
            <w:vAlign w:val="bottom"/>
          </w:tcPr>
          <w:p>
            <w:pPr>
              <w:widowControl/>
              <w:jc w:val="righ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120</w:t>
            </w:r>
          </w:p>
        </w:tc>
        <w:tc>
          <w:tcPr>
            <w:tcW w:w="1276" w:type="dxa"/>
            <w:tcBorders>
              <w:top w:val="nil"/>
              <w:left w:val="nil"/>
              <w:bottom w:val="single" w:color="auto" w:sz="4" w:space="0"/>
              <w:right w:val="single" w:color="auto" w:sz="4" w:space="0"/>
            </w:tcBorders>
            <w:vAlign w:val="bottom"/>
          </w:tcPr>
          <w:p>
            <w:pPr>
              <w:widowControl/>
              <w:jc w:val="left"/>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约束性</w:t>
            </w:r>
          </w:p>
        </w:tc>
      </w:tr>
    </w:tbl>
    <w:p>
      <w:pPr>
        <w:spacing w:line="240" w:lineRule="exact"/>
        <w:ind w:firstLine="425"/>
        <w:jc w:val="right"/>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24" w:name="_Toc485386652"/>
      <w:bookmarkStart w:id="125" w:name="_Toc475303984"/>
      <w:bookmarkStart w:id="126" w:name="_Toc407294590"/>
      <w:bookmarkStart w:id="127" w:name="_Toc486804508"/>
      <w:r>
        <w:rPr>
          <w:rFonts w:hint="eastAsia" w:ascii="仿宋_GB2312" w:hAnsi="宋体"/>
          <w:bCs w:val="0"/>
          <w:color w:val="000000"/>
          <w:sz w:val="28"/>
          <w:szCs w:val="28"/>
        </w:rPr>
        <w:t>附表二  竹根镇土地利用结构调整表</w:t>
      </w:r>
      <w:bookmarkEnd w:id="124"/>
      <w:bookmarkEnd w:id="125"/>
      <w:bookmarkEnd w:id="126"/>
      <w:bookmarkEnd w:id="127"/>
    </w:p>
    <w:p>
      <w:pPr>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9627" w:type="dxa"/>
        <w:jc w:val="center"/>
        <w:tblLayout w:type="autofit"/>
        <w:tblCellMar>
          <w:top w:w="15" w:type="dxa"/>
          <w:left w:w="108" w:type="dxa"/>
          <w:bottom w:w="15" w:type="dxa"/>
          <w:right w:w="108" w:type="dxa"/>
        </w:tblCellMar>
      </w:tblPr>
      <w:tblGrid>
        <w:gridCol w:w="518"/>
        <w:gridCol w:w="709"/>
        <w:gridCol w:w="2269"/>
        <w:gridCol w:w="1258"/>
        <w:gridCol w:w="1276"/>
        <w:gridCol w:w="1559"/>
        <w:gridCol w:w="1102"/>
        <w:gridCol w:w="936"/>
      </w:tblGrid>
      <w:tr>
        <w:tblPrEx>
          <w:tblCellMar>
            <w:top w:w="15" w:type="dxa"/>
            <w:left w:w="108" w:type="dxa"/>
            <w:bottom w:w="15" w:type="dxa"/>
            <w:right w:w="108" w:type="dxa"/>
          </w:tblCellMar>
        </w:tblPrEx>
        <w:trPr>
          <w:trHeight w:val="285" w:hRule="atLeast"/>
          <w:jc w:val="center"/>
        </w:trPr>
        <w:tc>
          <w:tcPr>
            <w:tcW w:w="3496" w:type="dxa"/>
            <w:gridSpan w:val="3"/>
            <w:tcBorders>
              <w:top w:val="single" w:color="auto" w:sz="4" w:space="0"/>
              <w:left w:val="single" w:color="auto" w:sz="4" w:space="0"/>
              <w:bottom w:val="single" w:color="auto" w:sz="4" w:space="0"/>
              <w:right w:val="single" w:color="auto" w:sz="4" w:space="0"/>
            </w:tcBorders>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规划地类</w:t>
            </w:r>
          </w:p>
        </w:tc>
        <w:tc>
          <w:tcPr>
            <w:tcW w:w="125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基期地类</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比重</w:t>
            </w:r>
          </w:p>
        </w:tc>
        <w:tc>
          <w:tcPr>
            <w:tcW w:w="15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规划期末地类</w:t>
            </w:r>
          </w:p>
        </w:tc>
        <w:tc>
          <w:tcPr>
            <w:tcW w:w="110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比重</w:t>
            </w:r>
          </w:p>
        </w:tc>
        <w:tc>
          <w:tcPr>
            <w:tcW w:w="93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增减量</w:t>
            </w:r>
          </w:p>
        </w:tc>
      </w:tr>
      <w:tr>
        <w:tblPrEx>
          <w:tblCellMar>
            <w:top w:w="15" w:type="dxa"/>
            <w:left w:w="108" w:type="dxa"/>
            <w:bottom w:w="15" w:type="dxa"/>
            <w:right w:w="108" w:type="dxa"/>
          </w:tblCellMar>
        </w:tblPrEx>
        <w:trPr>
          <w:trHeight w:val="285" w:hRule="atLeast"/>
          <w:jc w:val="center"/>
        </w:trPr>
        <w:tc>
          <w:tcPr>
            <w:tcW w:w="3496" w:type="dxa"/>
            <w:gridSpan w:val="3"/>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土地总面积</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1679.8</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100%</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1679.8</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100%</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1227" w:type="dxa"/>
            <w:gridSpan w:val="2"/>
            <w:vMerge w:val="restart"/>
            <w:tcBorders>
              <w:top w:val="single" w:color="auto" w:sz="4" w:space="0"/>
              <w:left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农用地</w:t>
            </w: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耕地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235.62</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80.31%</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213.2</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80.81%</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-22.42</w:t>
            </w:r>
          </w:p>
        </w:tc>
      </w:tr>
      <w:tr>
        <w:tblPrEx>
          <w:tblCellMar>
            <w:top w:w="15" w:type="dxa"/>
            <w:left w:w="108" w:type="dxa"/>
            <w:bottom w:w="15" w:type="dxa"/>
            <w:right w:w="108" w:type="dxa"/>
          </w:tblCellMar>
        </w:tblPrEx>
        <w:trPr>
          <w:trHeight w:val="285" w:hRule="atLeast"/>
          <w:jc w:val="center"/>
        </w:trPr>
        <w:tc>
          <w:tcPr>
            <w:tcW w:w="122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园地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15.01</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5.12%</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14.58</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5.53%</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-0.43</w:t>
            </w:r>
          </w:p>
        </w:tc>
      </w:tr>
      <w:tr>
        <w:tblPrEx>
          <w:tblCellMar>
            <w:top w:w="15" w:type="dxa"/>
            <w:left w:w="108" w:type="dxa"/>
            <w:bottom w:w="15" w:type="dxa"/>
            <w:right w:w="108" w:type="dxa"/>
          </w:tblCellMar>
        </w:tblPrEx>
        <w:trPr>
          <w:trHeight w:val="285" w:hRule="atLeast"/>
          <w:jc w:val="center"/>
        </w:trPr>
        <w:tc>
          <w:tcPr>
            <w:tcW w:w="122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林地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28.15</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9.6%</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22.15</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8.4%</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-6.00</w:t>
            </w:r>
          </w:p>
        </w:tc>
      </w:tr>
      <w:tr>
        <w:tblPrEx>
          <w:tblCellMar>
            <w:top w:w="15" w:type="dxa"/>
            <w:left w:w="108" w:type="dxa"/>
            <w:bottom w:w="15" w:type="dxa"/>
            <w:right w:w="108" w:type="dxa"/>
          </w:tblCellMar>
        </w:tblPrEx>
        <w:trPr>
          <w:trHeight w:val="285" w:hRule="atLeast"/>
          <w:jc w:val="center"/>
        </w:trPr>
        <w:tc>
          <w:tcPr>
            <w:tcW w:w="122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牧草地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122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其他农用地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14.59</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4.97%</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13.89</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5.26%</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-0.70</w:t>
            </w:r>
          </w:p>
        </w:tc>
      </w:tr>
      <w:tr>
        <w:tblPrEx>
          <w:tblCellMar>
            <w:top w:w="15" w:type="dxa"/>
            <w:left w:w="108" w:type="dxa"/>
            <w:bottom w:w="15" w:type="dxa"/>
            <w:right w:w="108" w:type="dxa"/>
          </w:tblCellMar>
        </w:tblPrEx>
        <w:trPr>
          <w:trHeight w:val="285" w:hRule="atLeast"/>
          <w:jc w:val="center"/>
        </w:trPr>
        <w:tc>
          <w:tcPr>
            <w:tcW w:w="1227" w:type="dxa"/>
            <w:gridSpan w:val="2"/>
            <w:vMerge w:val="continue"/>
            <w:tcBorders>
              <w:left w:val="single" w:color="auto" w:sz="4" w:space="0"/>
              <w:bottom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农用地合计</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293.37</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17.46%</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263.82</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15.71%</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-29.55</w:t>
            </w:r>
          </w:p>
        </w:tc>
      </w:tr>
      <w:tr>
        <w:tblPrEx>
          <w:tblCellMar>
            <w:top w:w="15" w:type="dxa"/>
            <w:left w:w="108" w:type="dxa"/>
            <w:bottom w:w="15" w:type="dxa"/>
            <w:right w:w="108" w:type="dxa"/>
          </w:tblCellMar>
        </w:tblPrEx>
        <w:trPr>
          <w:trHeight w:val="285" w:hRule="atLeast"/>
          <w:jc w:val="center"/>
        </w:trPr>
        <w:tc>
          <w:tcPr>
            <w:tcW w:w="518"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建设用地</w:t>
            </w:r>
          </w:p>
        </w:tc>
        <w:tc>
          <w:tcPr>
            <w:tcW w:w="709" w:type="dxa"/>
            <w:vMerge w:val="restart"/>
            <w:tcBorders>
              <w:top w:val="single" w:color="auto" w:sz="4" w:space="0"/>
              <w:left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城乡建设用地</w:t>
            </w: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城镇建设用地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850.5</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92.75%</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875.67</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92.51%</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25.17</w:t>
            </w:r>
          </w:p>
        </w:tc>
      </w:tr>
      <w:tr>
        <w:tblPrEx>
          <w:tblCellMar>
            <w:top w:w="15" w:type="dxa"/>
            <w:left w:w="108" w:type="dxa"/>
            <w:bottom w:w="15" w:type="dxa"/>
            <w:right w:w="108" w:type="dxa"/>
          </w:tblCellMar>
        </w:tblPrEx>
        <w:trPr>
          <w:trHeight w:val="285" w:hRule="atLeast"/>
          <w:jc w:val="center"/>
        </w:trPr>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09"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农村居民点用地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33.59</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3.66%</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33.59</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3.55%</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09"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采矿用地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15.36</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1.68%</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15.36</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1.62%</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09"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其他独立建设用地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09" w:type="dxa"/>
            <w:vMerge w:val="continue"/>
            <w:tcBorders>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小计</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899.45</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98.10%</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924.62</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97.69%</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25.17</w:t>
            </w:r>
          </w:p>
        </w:tc>
      </w:tr>
      <w:tr>
        <w:tblPrEx>
          <w:tblCellMar>
            <w:top w:w="15" w:type="dxa"/>
            <w:left w:w="108" w:type="dxa"/>
            <w:bottom w:w="15" w:type="dxa"/>
            <w:right w:w="108" w:type="dxa"/>
          </w:tblCellMar>
        </w:tblPrEx>
        <w:trPr>
          <w:trHeight w:val="285" w:hRule="atLeast"/>
          <w:jc w:val="center"/>
        </w:trPr>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2978" w:type="dxa"/>
            <w:gridSpan w:val="2"/>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交通水利用地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17.21</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1.88%</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21.59</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2.28%</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4.38</w:t>
            </w:r>
          </w:p>
        </w:tc>
      </w:tr>
      <w:tr>
        <w:tblPrEx>
          <w:tblCellMar>
            <w:top w:w="15" w:type="dxa"/>
            <w:left w:w="108" w:type="dxa"/>
            <w:bottom w:w="15" w:type="dxa"/>
            <w:right w:w="108" w:type="dxa"/>
          </w:tblCellMar>
        </w:tblPrEx>
        <w:trPr>
          <w:trHeight w:val="285" w:hRule="atLeast"/>
          <w:jc w:val="center"/>
        </w:trPr>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09" w:type="dxa"/>
            <w:vMerge w:val="restart"/>
            <w:tcBorders>
              <w:top w:val="single" w:color="auto" w:sz="4" w:space="0"/>
              <w:left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其他建设用地</w:t>
            </w: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风景名胜设施用地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09"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特殊用地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0.31</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0.03%</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0.31</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0.03%</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09" w:type="dxa"/>
            <w:vMerge w:val="continue"/>
            <w:tcBorders>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小计</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0.31</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0.03%</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0.31</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0.03%</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2978" w:type="dxa"/>
            <w:gridSpan w:val="2"/>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建设用地合计</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916.97</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54.59%</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946.52</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56.35%</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29.55</w:t>
            </w:r>
          </w:p>
        </w:tc>
      </w:tr>
      <w:tr>
        <w:tblPrEx>
          <w:tblCellMar>
            <w:top w:w="15" w:type="dxa"/>
            <w:left w:w="108" w:type="dxa"/>
            <w:bottom w:w="15" w:type="dxa"/>
            <w:right w:w="108" w:type="dxa"/>
          </w:tblCellMar>
        </w:tblPrEx>
        <w:trPr>
          <w:trHeight w:val="285" w:hRule="atLeast"/>
          <w:jc w:val="center"/>
        </w:trPr>
        <w:tc>
          <w:tcPr>
            <w:tcW w:w="1227" w:type="dxa"/>
            <w:gridSpan w:val="2"/>
            <w:vMerge w:val="restart"/>
            <w:tcBorders>
              <w:top w:val="single" w:color="auto" w:sz="4" w:space="0"/>
              <w:left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其他土地</w:t>
            </w: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河流水面</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446.44</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95.1%</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446.44</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95.1%</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122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滩涂</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22.4</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4.77%</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22.4</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4.77%</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1227"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自然保留地</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0.62</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0.13%</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0.62</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0.13%</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r>
        <w:tblPrEx>
          <w:tblCellMar>
            <w:top w:w="15" w:type="dxa"/>
            <w:left w:w="108" w:type="dxa"/>
            <w:bottom w:w="15" w:type="dxa"/>
            <w:right w:w="108" w:type="dxa"/>
          </w:tblCellMar>
        </w:tblPrEx>
        <w:trPr>
          <w:trHeight w:val="285" w:hRule="atLeast"/>
          <w:jc w:val="center"/>
        </w:trPr>
        <w:tc>
          <w:tcPr>
            <w:tcW w:w="1227" w:type="dxa"/>
            <w:gridSpan w:val="2"/>
            <w:vMerge w:val="continue"/>
            <w:tcBorders>
              <w:left w:val="single" w:color="auto" w:sz="4" w:space="0"/>
              <w:bottom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26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其他土地合计</w:t>
            </w:r>
          </w:p>
        </w:tc>
        <w:tc>
          <w:tcPr>
            <w:tcW w:w="125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469.46</w:t>
            </w:r>
          </w:p>
        </w:tc>
        <w:tc>
          <w:tcPr>
            <w:tcW w:w="127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27.95%</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469.46</w:t>
            </w:r>
          </w:p>
        </w:tc>
        <w:tc>
          <w:tcPr>
            <w:tcW w:w="11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27.95%</w:t>
            </w:r>
          </w:p>
        </w:tc>
        <w:tc>
          <w:tcPr>
            <w:tcW w:w="9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sz w:val="24"/>
                <w:szCs w:val="24"/>
              </w:rPr>
            </w:pPr>
            <w:r>
              <w:rPr>
                <w:rFonts w:hint="eastAsia" w:ascii="仿宋_GB2312" w:eastAsia="仿宋_GB2312"/>
                <w:sz w:val="24"/>
                <w:szCs w:val="24"/>
              </w:rPr>
              <w:t>0.00</w:t>
            </w:r>
          </w:p>
        </w:tc>
      </w:tr>
    </w:tbl>
    <w:p>
      <w:pPr>
        <w:rPr>
          <w:rFonts w:ascii="仿宋_GB2312" w:hAnsi="宋体" w:eastAsia="仿宋_GB2312"/>
          <w:sz w:val="28"/>
          <w:szCs w:val="28"/>
        </w:rPr>
      </w:pPr>
    </w:p>
    <w:p>
      <w:pPr>
        <w:rPr>
          <w:rFonts w:ascii="仿宋_GB2312" w:hAnsi="宋体" w:eastAsia="仿宋_GB2312"/>
          <w:sz w:val="28"/>
          <w:szCs w:val="28"/>
        </w:rPr>
      </w:pPr>
    </w:p>
    <w:p>
      <w:pPr>
        <w:widowControl/>
        <w:jc w:val="left"/>
        <w:rPr>
          <w:rFonts w:ascii="仿宋_GB2312" w:hAnsi="宋体" w:eastAsia="仿宋_GB2312"/>
          <w:sz w:val="28"/>
          <w:szCs w:val="28"/>
        </w:rPr>
        <w:sectPr>
          <w:pgSz w:w="11906" w:h="16838"/>
          <w:pgMar w:top="1440" w:right="1800" w:bottom="1440" w:left="1800" w:header="851" w:footer="992" w:gutter="0"/>
          <w:cols w:space="425" w:num="1"/>
          <w:docGrid w:type="lines" w:linePitch="312" w:charSpace="0"/>
        </w:sectPr>
      </w:pPr>
      <w:r>
        <w:rPr>
          <w:rFonts w:ascii="仿宋_GB2312" w:hAnsi="宋体" w:eastAsia="仿宋_GB2312"/>
          <w:sz w:val="28"/>
          <w:szCs w:val="28"/>
        </w:rPr>
        <w:br w:type="page"/>
      </w:r>
    </w:p>
    <w:p>
      <w:pPr>
        <w:pStyle w:val="3"/>
        <w:spacing w:line="240" w:lineRule="auto"/>
        <w:jc w:val="left"/>
        <w:rPr>
          <w:rFonts w:ascii="仿宋_GB2312" w:hAnsi="宋体"/>
          <w:bCs w:val="0"/>
          <w:color w:val="000000"/>
          <w:sz w:val="28"/>
          <w:szCs w:val="28"/>
        </w:rPr>
      </w:pPr>
      <w:bookmarkStart w:id="128" w:name="_Toc407294591"/>
      <w:bookmarkStart w:id="129" w:name="_Toc475303985"/>
      <w:bookmarkStart w:id="130" w:name="_Toc485386653"/>
      <w:bookmarkStart w:id="131" w:name="_Toc486804509"/>
      <w:r>
        <w:rPr>
          <w:rFonts w:hint="eastAsia" w:ascii="仿宋_GB2312" w:hAnsi="宋体"/>
          <w:bCs w:val="0"/>
          <w:color w:val="000000"/>
          <w:sz w:val="28"/>
          <w:szCs w:val="28"/>
        </w:rPr>
        <w:t>附表三  竹根镇各乡村土地用途分区面积表</w:t>
      </w:r>
      <w:bookmarkEnd w:id="128"/>
      <w:bookmarkEnd w:id="129"/>
      <w:bookmarkEnd w:id="130"/>
      <w:bookmarkEnd w:id="131"/>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tblInd w:w="0" w:type="dxa"/>
        <w:tblLayout w:type="autofit"/>
        <w:tblCellMar>
          <w:top w:w="15" w:type="dxa"/>
          <w:left w:w="108" w:type="dxa"/>
          <w:bottom w:w="15" w:type="dxa"/>
          <w:right w:w="108" w:type="dxa"/>
        </w:tblCellMar>
      </w:tblPr>
      <w:tblGrid>
        <w:gridCol w:w="1281"/>
        <w:gridCol w:w="1074"/>
        <w:gridCol w:w="1004"/>
        <w:gridCol w:w="692"/>
        <w:gridCol w:w="867"/>
        <w:gridCol w:w="867"/>
        <w:gridCol w:w="867"/>
        <w:gridCol w:w="867"/>
        <w:gridCol w:w="848"/>
        <w:gridCol w:w="848"/>
        <w:gridCol w:w="848"/>
        <w:gridCol w:w="848"/>
        <w:gridCol w:w="765"/>
        <w:gridCol w:w="765"/>
        <w:gridCol w:w="867"/>
        <w:gridCol w:w="866"/>
      </w:tblGrid>
      <w:tr>
        <w:tblPrEx>
          <w:tblCellMar>
            <w:top w:w="15" w:type="dxa"/>
            <w:left w:w="108" w:type="dxa"/>
            <w:bottom w:w="15" w:type="dxa"/>
            <w:right w:w="108" w:type="dxa"/>
          </w:tblCellMar>
        </w:tblPrEx>
        <w:trPr>
          <w:trHeight w:val="285" w:hRule="atLeast"/>
        </w:trPr>
        <w:tc>
          <w:tcPr>
            <w:tcW w:w="45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单位</w:t>
            </w:r>
          </w:p>
        </w:tc>
        <w:tc>
          <w:tcPr>
            <w:tcW w:w="379"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辖区面积</w:t>
            </w:r>
          </w:p>
        </w:tc>
        <w:tc>
          <w:tcPr>
            <w:tcW w:w="4169" w:type="pct"/>
            <w:gridSpan w:val="1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土地用途区</w:t>
            </w:r>
          </w:p>
        </w:tc>
      </w:tr>
      <w:tr>
        <w:tblPrEx>
          <w:tblCellMar>
            <w:top w:w="15" w:type="dxa"/>
            <w:left w:w="108" w:type="dxa"/>
            <w:bottom w:w="15" w:type="dxa"/>
            <w:right w:w="108" w:type="dxa"/>
          </w:tblCellMar>
        </w:tblPrEx>
        <w:trPr>
          <w:trHeight w:val="312" w:hRule="atLeast"/>
        </w:trPr>
        <w:tc>
          <w:tcPr>
            <w:tcW w:w="45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37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基本农田保护区</w:t>
            </w:r>
          </w:p>
        </w:tc>
        <w:tc>
          <w:tcPr>
            <w:tcW w:w="612"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一般农地区</w:t>
            </w:r>
          </w:p>
        </w:tc>
        <w:tc>
          <w:tcPr>
            <w:tcW w:w="612"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城镇建设用地区</w:t>
            </w:r>
          </w:p>
        </w:tc>
        <w:tc>
          <w:tcPr>
            <w:tcW w:w="59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村镇建设用地区</w:t>
            </w:r>
          </w:p>
        </w:tc>
        <w:tc>
          <w:tcPr>
            <w:tcW w:w="598"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独立工矿用地区</w:t>
            </w:r>
          </w:p>
        </w:tc>
        <w:tc>
          <w:tcPr>
            <w:tcW w:w="540"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林业用地区</w:t>
            </w:r>
          </w:p>
        </w:tc>
        <w:tc>
          <w:tcPr>
            <w:tcW w:w="611"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其他用地</w:t>
            </w:r>
          </w:p>
        </w:tc>
      </w:tr>
      <w:tr>
        <w:tblPrEx>
          <w:tblCellMar>
            <w:top w:w="15" w:type="dxa"/>
            <w:left w:w="108" w:type="dxa"/>
            <w:bottom w:w="15" w:type="dxa"/>
            <w:right w:w="108" w:type="dxa"/>
          </w:tblCellMar>
        </w:tblPrEx>
        <w:trPr>
          <w:trHeight w:val="312" w:hRule="atLeast"/>
        </w:trPr>
        <w:tc>
          <w:tcPr>
            <w:tcW w:w="45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37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61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61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4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61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trPr>
        <w:tc>
          <w:tcPr>
            <w:tcW w:w="45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37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61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612"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4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61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285" w:hRule="atLeast"/>
        </w:trPr>
        <w:tc>
          <w:tcPr>
            <w:tcW w:w="45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37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3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5"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r>
      <w:tr>
        <w:tblPrEx>
          <w:tblCellMar>
            <w:top w:w="15" w:type="dxa"/>
            <w:left w:w="108" w:type="dxa"/>
            <w:bottom w:w="15" w:type="dxa"/>
            <w:right w:w="108" w:type="dxa"/>
          </w:tblCellMar>
        </w:tblPrEx>
        <w:trPr>
          <w:trHeight w:val="285" w:hRule="atLeast"/>
        </w:trPr>
        <w:tc>
          <w:tcPr>
            <w:tcW w:w="45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竹根镇城区</w:t>
            </w:r>
          </w:p>
        </w:tc>
        <w:tc>
          <w:tcPr>
            <w:tcW w:w="3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1024.69</w:t>
            </w:r>
          </w:p>
        </w:tc>
        <w:tc>
          <w:tcPr>
            <w:tcW w:w="3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2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23.33</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2.28%</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779.33</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76.06%</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1.82</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0.18%</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0%</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6.26</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0.61%</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213.95</w:t>
            </w:r>
          </w:p>
        </w:tc>
        <w:tc>
          <w:tcPr>
            <w:tcW w:w="305"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20.88%</w:t>
            </w:r>
          </w:p>
        </w:tc>
      </w:tr>
      <w:tr>
        <w:tblPrEx>
          <w:tblCellMar>
            <w:top w:w="15" w:type="dxa"/>
            <w:left w:w="108" w:type="dxa"/>
            <w:bottom w:w="15" w:type="dxa"/>
            <w:right w:w="108" w:type="dxa"/>
          </w:tblCellMar>
        </w:tblPrEx>
        <w:trPr>
          <w:trHeight w:val="285" w:hRule="atLeast"/>
        </w:trPr>
        <w:tc>
          <w:tcPr>
            <w:tcW w:w="45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新华村</w:t>
            </w:r>
          </w:p>
        </w:tc>
        <w:tc>
          <w:tcPr>
            <w:tcW w:w="3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116.88</w:t>
            </w:r>
          </w:p>
        </w:tc>
        <w:tc>
          <w:tcPr>
            <w:tcW w:w="3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2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0.15</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0.13%</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42.77</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36.59%</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0.46</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0.39%</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1.25</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1.07%</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0.45</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0.39%</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71.8</w:t>
            </w:r>
          </w:p>
        </w:tc>
        <w:tc>
          <w:tcPr>
            <w:tcW w:w="305"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61.43%</w:t>
            </w:r>
          </w:p>
        </w:tc>
      </w:tr>
      <w:tr>
        <w:tblPrEx>
          <w:tblCellMar>
            <w:top w:w="15" w:type="dxa"/>
            <w:left w:w="108" w:type="dxa"/>
            <w:bottom w:w="15" w:type="dxa"/>
            <w:right w:w="108" w:type="dxa"/>
          </w:tblCellMar>
        </w:tblPrEx>
        <w:trPr>
          <w:trHeight w:val="285" w:hRule="atLeast"/>
        </w:trPr>
        <w:tc>
          <w:tcPr>
            <w:tcW w:w="45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幸福村</w:t>
            </w:r>
          </w:p>
        </w:tc>
        <w:tc>
          <w:tcPr>
            <w:tcW w:w="3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40.94</w:t>
            </w:r>
          </w:p>
        </w:tc>
        <w:tc>
          <w:tcPr>
            <w:tcW w:w="3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2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10.55</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25.77%</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17.92</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43.77%</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0.47</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1.15%</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0.61</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1.49%</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3.75</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9.16%</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7.64</w:t>
            </w:r>
          </w:p>
        </w:tc>
        <w:tc>
          <w:tcPr>
            <w:tcW w:w="305"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18.66%</w:t>
            </w:r>
          </w:p>
        </w:tc>
      </w:tr>
      <w:tr>
        <w:tblPrEx>
          <w:tblCellMar>
            <w:top w:w="15" w:type="dxa"/>
            <w:left w:w="108" w:type="dxa"/>
            <w:bottom w:w="15" w:type="dxa"/>
            <w:right w:w="108" w:type="dxa"/>
          </w:tblCellMar>
        </w:tblPrEx>
        <w:trPr>
          <w:trHeight w:val="285" w:hRule="atLeast"/>
        </w:trPr>
        <w:tc>
          <w:tcPr>
            <w:tcW w:w="45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易坝村</w:t>
            </w:r>
          </w:p>
        </w:tc>
        <w:tc>
          <w:tcPr>
            <w:tcW w:w="3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497.29</w:t>
            </w:r>
          </w:p>
        </w:tc>
        <w:tc>
          <w:tcPr>
            <w:tcW w:w="3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2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210.63</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42.36%</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36.42</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7.32%</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31.33</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6.3%</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13.56</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2.73%</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12.29</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2.47%</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193.06</w:t>
            </w:r>
          </w:p>
        </w:tc>
        <w:tc>
          <w:tcPr>
            <w:tcW w:w="305"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38.82%</w:t>
            </w:r>
          </w:p>
        </w:tc>
      </w:tr>
      <w:tr>
        <w:tblPrEx>
          <w:tblCellMar>
            <w:top w:w="15" w:type="dxa"/>
            <w:left w:w="108" w:type="dxa"/>
            <w:bottom w:w="15" w:type="dxa"/>
            <w:right w:w="108" w:type="dxa"/>
          </w:tblCellMar>
        </w:tblPrEx>
        <w:trPr>
          <w:trHeight w:val="285" w:hRule="atLeast"/>
        </w:trPr>
        <w:tc>
          <w:tcPr>
            <w:tcW w:w="452"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等线" w:hAnsi="等线" w:eastAsia="等线" w:cs="宋体"/>
                <w:color w:val="000000"/>
                <w:kern w:val="0"/>
                <w:sz w:val="22"/>
              </w:rPr>
            </w:pPr>
            <w:r>
              <w:rPr>
                <w:rFonts w:hint="eastAsia" w:ascii="仿宋_GB2312" w:hAnsi="等线" w:eastAsia="仿宋_GB2312" w:cs="宋体"/>
                <w:color w:val="000000"/>
                <w:kern w:val="0"/>
                <w:sz w:val="18"/>
                <w:szCs w:val="18"/>
              </w:rPr>
              <w:t>合计</w:t>
            </w:r>
          </w:p>
        </w:tc>
        <w:tc>
          <w:tcPr>
            <w:tcW w:w="3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1679.8</w:t>
            </w:r>
          </w:p>
        </w:tc>
        <w:tc>
          <w:tcPr>
            <w:tcW w:w="35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2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0%</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244.66</w:t>
            </w:r>
          </w:p>
        </w:tc>
        <w:tc>
          <w:tcPr>
            <w:tcW w:w="3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14.56%</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876.44</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52.18%</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34.08</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2.03%</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15.42</w:t>
            </w:r>
          </w:p>
        </w:tc>
        <w:tc>
          <w:tcPr>
            <w:tcW w:w="299"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0.92%</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22.75</w:t>
            </w:r>
          </w:p>
        </w:tc>
        <w:tc>
          <w:tcPr>
            <w:tcW w:w="27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1.35%</w:t>
            </w:r>
          </w:p>
        </w:tc>
        <w:tc>
          <w:tcPr>
            <w:tcW w:w="306"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486.45</w:t>
            </w:r>
          </w:p>
        </w:tc>
        <w:tc>
          <w:tcPr>
            <w:tcW w:w="305"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ascii="仿宋_GB2312" w:hAnsi="等线" w:eastAsia="仿宋_GB2312" w:cs="宋体"/>
                <w:color w:val="000000"/>
                <w:kern w:val="0"/>
                <w:sz w:val="18"/>
                <w:szCs w:val="18"/>
              </w:rPr>
              <w:t>28.96%</w:t>
            </w:r>
          </w:p>
        </w:tc>
      </w:tr>
    </w:tbl>
    <w:p>
      <w:pPr>
        <w:spacing w:line="240" w:lineRule="exact"/>
        <w:ind w:firstLine="425"/>
        <w:jc w:val="right"/>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32" w:name="_Toc486804510"/>
      <w:r>
        <w:rPr>
          <w:rFonts w:hint="eastAsia" w:ascii="仿宋_GB2312" w:hAnsi="宋体"/>
          <w:bCs w:val="0"/>
          <w:color w:val="000000"/>
          <w:sz w:val="28"/>
          <w:szCs w:val="28"/>
        </w:rPr>
        <w:t>附表四   竹根镇耕地保有量、基本农田情况表</w:t>
      </w:r>
      <w:bookmarkEnd w:id="132"/>
    </w:p>
    <w:p>
      <w:pPr>
        <w:jc w:val="right"/>
        <w:rPr>
          <w:rFonts w:ascii="仿宋_GB2312" w:eastAsia="仿宋_GB2312"/>
        </w:rPr>
      </w:pPr>
      <w:r>
        <w:rPr>
          <w:rFonts w:hint="eastAsia" w:ascii="仿宋_GB2312" w:eastAsia="仿宋_GB2312"/>
        </w:rPr>
        <w:t>单位：公顷</w:t>
      </w:r>
    </w:p>
    <w:tbl>
      <w:tblPr>
        <w:tblStyle w:val="13"/>
        <w:tblW w:w="15120" w:type="dxa"/>
        <w:jc w:val="center"/>
        <w:tblLayout w:type="autofit"/>
        <w:tblCellMar>
          <w:top w:w="15" w:type="dxa"/>
          <w:left w:w="108" w:type="dxa"/>
          <w:bottom w:w="15" w:type="dxa"/>
          <w:right w:w="108" w:type="dxa"/>
        </w:tblCellMar>
      </w:tblPr>
      <w:tblGrid>
        <w:gridCol w:w="1080"/>
        <w:gridCol w:w="1080"/>
        <w:gridCol w:w="1080"/>
        <w:gridCol w:w="1080"/>
        <w:gridCol w:w="1080"/>
        <w:gridCol w:w="1080"/>
        <w:gridCol w:w="1080"/>
        <w:gridCol w:w="1080"/>
        <w:gridCol w:w="1080"/>
        <w:gridCol w:w="1080"/>
        <w:gridCol w:w="1080"/>
        <w:gridCol w:w="1080"/>
        <w:gridCol w:w="1080"/>
        <w:gridCol w:w="1080"/>
      </w:tblGrid>
      <w:tr>
        <w:tblPrEx>
          <w:tblCellMar>
            <w:top w:w="15" w:type="dxa"/>
            <w:left w:w="108" w:type="dxa"/>
            <w:bottom w:w="15" w:type="dxa"/>
            <w:right w:w="108" w:type="dxa"/>
          </w:tblCellMar>
        </w:tblPrEx>
        <w:trPr>
          <w:trHeight w:val="450"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基期耕地面积</w:t>
            </w:r>
          </w:p>
        </w:tc>
        <w:tc>
          <w:tcPr>
            <w:tcW w:w="5400"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规划期间补充耕地面积</w:t>
            </w:r>
          </w:p>
        </w:tc>
        <w:tc>
          <w:tcPr>
            <w:tcW w:w="4320"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规划期间减少耕地面积</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规划期间净增（+）减（-）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期末耕地保有量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基本农田保护面积</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40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43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增加合计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土地整理</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土地复垦</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土地开发</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减少合计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建设占用</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灾毁</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43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235.62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22.42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22.42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-22.42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213.2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r>
      <w:tr>
        <w:tblPrEx>
          <w:tblCellMar>
            <w:top w:w="15" w:type="dxa"/>
            <w:left w:w="108" w:type="dxa"/>
            <w:bottom w:w="15" w:type="dxa"/>
            <w:right w:w="108" w:type="dxa"/>
          </w:tblCellMar>
        </w:tblPrEx>
        <w:trPr>
          <w:trHeight w:val="312"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年均增减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4.484</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4.484</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33" w:name="_Toc407294593"/>
      <w:bookmarkStart w:id="134" w:name="_Toc475303987"/>
      <w:bookmarkStart w:id="135" w:name="_Toc485386655"/>
      <w:bookmarkStart w:id="136" w:name="_Toc486804511"/>
      <w:r>
        <w:rPr>
          <w:rFonts w:hint="eastAsia" w:ascii="仿宋_GB2312" w:hAnsi="宋体"/>
          <w:bCs w:val="0"/>
          <w:color w:val="000000"/>
          <w:sz w:val="28"/>
          <w:szCs w:val="28"/>
        </w:rPr>
        <w:t>附表五  竹根镇省、市、县重点建设项目规划表</w:t>
      </w:r>
      <w:bookmarkEnd w:id="133"/>
      <w:bookmarkEnd w:id="134"/>
      <w:bookmarkEnd w:id="135"/>
      <w:bookmarkEnd w:id="136"/>
    </w:p>
    <w:tbl>
      <w:tblPr>
        <w:tblStyle w:val="13"/>
        <w:tblW w:w="0" w:type="auto"/>
        <w:tblInd w:w="0" w:type="dxa"/>
        <w:tblLayout w:type="autofit"/>
        <w:tblCellMar>
          <w:top w:w="15" w:type="dxa"/>
          <w:left w:w="108" w:type="dxa"/>
          <w:bottom w:w="15" w:type="dxa"/>
          <w:right w:w="108" w:type="dxa"/>
        </w:tblCellMar>
      </w:tblPr>
      <w:tblGrid>
        <w:gridCol w:w="1060"/>
        <w:gridCol w:w="3816"/>
        <w:gridCol w:w="1060"/>
        <w:gridCol w:w="1060"/>
        <w:gridCol w:w="1192"/>
        <w:gridCol w:w="851"/>
        <w:gridCol w:w="3687"/>
        <w:gridCol w:w="936"/>
      </w:tblGrid>
      <w:tr>
        <w:tblPrEx>
          <w:tblCellMar>
            <w:top w:w="15" w:type="dxa"/>
            <w:left w:w="108" w:type="dxa"/>
            <w:bottom w:w="15" w:type="dxa"/>
            <w:right w:w="108"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项目类型</w:t>
            </w:r>
          </w:p>
        </w:tc>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项目名称</w:t>
            </w:r>
          </w:p>
        </w:tc>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建设性质</w:t>
            </w:r>
          </w:p>
        </w:tc>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建设年限</w:t>
            </w:r>
          </w:p>
        </w:tc>
        <w:tc>
          <w:tcPr>
            <w:tcW w:w="204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项目用地规模</w:t>
            </w:r>
          </w:p>
        </w:tc>
        <w:tc>
          <w:tcPr>
            <w:tcW w:w="368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涉及乡（镇）</w:t>
            </w: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r>
      <w:tr>
        <w:tblPrEx>
          <w:tblCellMar>
            <w:top w:w="15" w:type="dxa"/>
            <w:left w:w="108" w:type="dxa"/>
            <w:bottom w:w="15" w:type="dxa"/>
            <w:right w:w="108" w:type="dxa"/>
          </w:tblCellMar>
        </w:tblPrEx>
        <w:trPr>
          <w:trHeight w:val="312"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19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其中新增建设用地</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其中占耕地</w:t>
            </w:r>
          </w:p>
        </w:tc>
        <w:tc>
          <w:tcPr>
            <w:tcW w:w="36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15" w:type="dxa"/>
            <w:left w:w="108" w:type="dxa"/>
            <w:bottom w:w="15" w:type="dxa"/>
            <w:right w:w="108" w:type="dxa"/>
          </w:tblCellMar>
        </w:tblPrEx>
        <w:trPr>
          <w:trHeight w:val="312"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6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15" w:type="dxa"/>
            <w:left w:w="108" w:type="dxa"/>
            <w:bottom w:w="15" w:type="dxa"/>
            <w:right w:w="108" w:type="dxa"/>
          </w:tblCellMar>
        </w:tblPrEx>
        <w:trPr>
          <w:trHeight w:val="675" w:hRule="atLeast"/>
        </w:trPr>
        <w:tc>
          <w:tcPr>
            <w:tcW w:w="0" w:type="auto"/>
            <w:vMerge w:val="restart"/>
            <w:tcBorders>
              <w:top w:val="single" w:color="auto" w:sz="4" w:space="0"/>
              <w:left w:val="single" w:color="auto" w:sz="4" w:space="0"/>
              <w:bottom w:val="nil"/>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1、能源</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老木孔枢纽（岷江航电综合开发）</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restart"/>
            <w:tcBorders>
              <w:top w:val="single" w:color="auto" w:sz="4" w:space="0"/>
              <w:left w:val="single" w:color="auto" w:sz="4" w:space="0"/>
              <w:bottom w:val="nil"/>
              <w:right w:val="single" w:color="auto" w:sz="4" w:space="0"/>
            </w:tcBorders>
            <w:vAlign w:val="center"/>
          </w:tcPr>
          <w:p>
            <w:pPr>
              <w:widowControl/>
              <w:jc w:val="center"/>
              <w:rPr>
                <w:rFonts w:ascii="Times New Roman" w:hAnsi="Times New Roman" w:eastAsia="等线"/>
                <w:color w:val="000000"/>
                <w:kern w:val="0"/>
                <w:sz w:val="18"/>
                <w:szCs w:val="18"/>
              </w:rPr>
            </w:pPr>
          </w:p>
        </w:tc>
        <w:tc>
          <w:tcPr>
            <w:tcW w:w="851" w:type="dxa"/>
            <w:vMerge w:val="restart"/>
            <w:tcBorders>
              <w:top w:val="single" w:color="auto" w:sz="4" w:space="0"/>
              <w:left w:val="single" w:color="auto" w:sz="4" w:space="0"/>
              <w:bottom w:val="nil"/>
              <w:right w:val="single" w:color="auto" w:sz="4" w:space="0"/>
            </w:tcBorders>
            <w:noWrap/>
            <w:vAlign w:val="center"/>
          </w:tcPr>
          <w:p>
            <w:pPr>
              <w:widowControl/>
              <w:jc w:val="center"/>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竹根镇城区、易坝村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岷江航电东风岩枢纽</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竹根镇城区、新华村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省级重点</w:t>
            </w:r>
          </w:p>
        </w:tc>
      </w:tr>
      <w:tr>
        <w:tblPrEx>
          <w:tblCellMar>
            <w:top w:w="15" w:type="dxa"/>
            <w:left w:w="108" w:type="dxa"/>
            <w:bottom w:w="15" w:type="dxa"/>
            <w:right w:w="108" w:type="dxa"/>
          </w:tblCellMar>
        </w:tblPrEx>
        <w:trPr>
          <w:trHeight w:val="450" w:hRule="atLeast"/>
        </w:trPr>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2、交通</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G213线改建工程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改建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竹根镇城区、新华村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67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成贵铁路（乐山至贵阳段）</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竹根镇城区、幸福村、易坝村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灾后重建</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五通岷江大桥</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竹根西坝渡改桥</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675" w:hRule="atLeast"/>
        </w:trPr>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3、水利</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河堤工程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竹根镇城区、易坝村、新华村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90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泊滩堰罐区河湖水系连通工程（三江临港段）</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67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岷江干流乐山段防洪工程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竹根镇城区、易坝村、新华村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中小河流治理工程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小型水库工程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90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中小型已成灌区续建配套与节水改造工程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病险水库除险加固工程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农村饮水安全工程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65" w:hRule="atLeast"/>
        </w:trPr>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4、电力</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220kv</w:t>
            </w:r>
            <w:r>
              <w:rPr>
                <w:rFonts w:ascii="宋体" w:hAnsi="宋体"/>
                <w:color w:val="000000"/>
                <w:kern w:val="0"/>
                <w:sz w:val="18"/>
                <w:szCs w:val="18"/>
              </w:rPr>
              <w:t>输变电工程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6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110kv</w:t>
            </w:r>
            <w:r>
              <w:rPr>
                <w:rFonts w:ascii="宋体" w:hAnsi="宋体"/>
                <w:color w:val="000000"/>
                <w:kern w:val="0"/>
                <w:sz w:val="18"/>
                <w:szCs w:val="18"/>
              </w:rPr>
              <w:t>输变电工程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675" w:hRule="atLeast"/>
        </w:trPr>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5、旅游</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菩提山、木鱼山基础设施改造工程</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沫溪河生态观光度假区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幸福村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根石家文化博览园</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675" w:hRule="atLeast"/>
        </w:trPr>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6、其他</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加气站及输气管道</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竹根镇城区、易坝村、新华村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67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加油站及输油管道</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竹根镇城区、易坝村、新华村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67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自来水厂及供水管网工程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67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污水处理厂（站）及管网设施</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垃圾处理厂（站）</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通讯电缆工程</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殡葬项目</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宗教用地</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2017-2020</w:t>
            </w:r>
          </w:p>
        </w:tc>
        <w:tc>
          <w:tcPr>
            <w:tcW w:w="1192"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851" w:type="dxa"/>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3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区级重点　</w:t>
            </w:r>
          </w:p>
        </w:tc>
      </w:tr>
      <w:tr>
        <w:tblPrEx>
          <w:tblCellMar>
            <w:top w:w="15" w:type="dxa"/>
            <w:left w:w="108" w:type="dxa"/>
            <w:bottom w:w="15" w:type="dxa"/>
            <w:right w:w="108" w:type="dxa"/>
          </w:tblCellMar>
        </w:tblPrEx>
        <w:trPr>
          <w:trHeight w:val="315" w:hRule="atLeast"/>
        </w:trPr>
        <w:tc>
          <w:tcPr>
            <w:tcW w:w="0" w:type="auto"/>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 w:val="24"/>
                <w:szCs w:val="24"/>
              </w:rPr>
            </w:pPr>
            <w:r>
              <w:rPr>
                <w:rFonts w:hint="eastAsia" w:ascii="宋体" w:hAnsi="宋体" w:cs="宋体"/>
                <w:b/>
                <w:bCs/>
                <w:color w:val="000000"/>
                <w:kern w:val="0"/>
                <w:sz w:val="24"/>
                <w:szCs w:val="24"/>
              </w:rPr>
              <w:t>合计</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szCs w:val="24"/>
              </w:rPr>
            </w:pPr>
          </w:p>
        </w:tc>
        <w:tc>
          <w:tcPr>
            <w:tcW w:w="1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b/>
                <w:bCs/>
                <w:color w:val="000000"/>
                <w:kern w:val="0"/>
                <w:sz w:val="24"/>
                <w:szCs w:val="24"/>
              </w:rPr>
            </w:pPr>
            <w:r>
              <w:rPr>
                <w:rFonts w:ascii="Times New Roman" w:hAnsi="Times New Roman" w:eastAsia="等线"/>
                <w:b/>
                <w:bCs/>
                <w:color w:val="000000"/>
                <w:kern w:val="0"/>
                <w:sz w:val="24"/>
                <w:szCs w:val="24"/>
              </w:rPr>
              <w:t>4.38</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b/>
                <w:bCs/>
                <w:color w:val="000000"/>
                <w:kern w:val="0"/>
                <w:sz w:val="24"/>
                <w:szCs w:val="24"/>
              </w:rPr>
            </w:pPr>
            <w:r>
              <w:rPr>
                <w:rFonts w:ascii="Times New Roman" w:hAnsi="Times New Roman" w:eastAsia="等线"/>
                <w:b/>
                <w:bCs/>
                <w:color w:val="000000"/>
                <w:kern w:val="0"/>
                <w:sz w:val="24"/>
                <w:szCs w:val="24"/>
              </w:rPr>
              <w:t>3.2</w:t>
            </w:r>
          </w:p>
        </w:tc>
        <w:tc>
          <w:tcPr>
            <w:tcW w:w="368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等线"/>
                <w:b/>
                <w:bCs/>
                <w:color w:val="000000"/>
                <w:kern w:val="0"/>
                <w:sz w:val="24"/>
                <w:szCs w:val="24"/>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Times New Roman"/>
                <w:kern w:val="0"/>
                <w:sz w:val="20"/>
                <w:szCs w:val="20"/>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37" w:name="_Toc486804512"/>
      <w:r>
        <w:rPr>
          <w:rFonts w:hint="eastAsia" w:ascii="仿宋_GB2312" w:hAnsi="宋体"/>
          <w:bCs w:val="0"/>
          <w:color w:val="000000"/>
          <w:sz w:val="28"/>
          <w:szCs w:val="28"/>
        </w:rPr>
        <w:t>附表六  竹根镇各乡村规划控制指标表</w:t>
      </w:r>
      <w:bookmarkEnd w:id="137"/>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131" w:type="pct"/>
        <w:jc w:val="center"/>
        <w:tblLayout w:type="autofit"/>
        <w:tblCellMar>
          <w:top w:w="15" w:type="dxa"/>
          <w:left w:w="108" w:type="dxa"/>
          <w:bottom w:w="15" w:type="dxa"/>
          <w:right w:w="108" w:type="dxa"/>
        </w:tblCellMar>
      </w:tblPr>
      <w:tblGrid>
        <w:gridCol w:w="1632"/>
        <w:gridCol w:w="1117"/>
        <w:gridCol w:w="972"/>
        <w:gridCol w:w="767"/>
        <w:gridCol w:w="832"/>
        <w:gridCol w:w="426"/>
        <w:gridCol w:w="953"/>
        <w:gridCol w:w="889"/>
        <w:gridCol w:w="889"/>
        <w:gridCol w:w="767"/>
        <w:gridCol w:w="1120"/>
        <w:gridCol w:w="1118"/>
        <w:gridCol w:w="1121"/>
        <w:gridCol w:w="1121"/>
        <w:gridCol w:w="821"/>
      </w:tblGrid>
      <w:tr>
        <w:tblPrEx>
          <w:tblCellMar>
            <w:top w:w="15" w:type="dxa"/>
            <w:left w:w="108" w:type="dxa"/>
            <w:bottom w:w="15" w:type="dxa"/>
            <w:right w:w="108" w:type="dxa"/>
          </w:tblCellMar>
        </w:tblPrEx>
        <w:trPr>
          <w:trHeight w:val="285" w:hRule="atLeast"/>
          <w:jc w:val="center"/>
        </w:trPr>
        <w:tc>
          <w:tcPr>
            <w:tcW w:w="56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乡(镇)名称</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耕地保有量</w:t>
            </w:r>
          </w:p>
        </w:tc>
        <w:tc>
          <w:tcPr>
            <w:tcW w:w="33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基本农田保护面积</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园地</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林地</w:t>
            </w:r>
          </w:p>
        </w:tc>
        <w:tc>
          <w:tcPr>
            <w:tcW w:w="1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牧草地</w:t>
            </w:r>
          </w:p>
        </w:tc>
        <w:tc>
          <w:tcPr>
            <w:tcW w:w="33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建设用地总规模</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城乡建设用地规模</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城镇工矿规模</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新增建设用地</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新增建设占用农用地规模</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新增建设占用耕地规模</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土地整治补充耕地规模</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人均城镇工矿用地（m2/人）</w:t>
            </w:r>
          </w:p>
        </w:tc>
        <w:tc>
          <w:tcPr>
            <w:tcW w:w="2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建设用地净增量</w:t>
            </w:r>
          </w:p>
        </w:tc>
      </w:tr>
      <w:tr>
        <w:tblPrEx>
          <w:tblCellMar>
            <w:top w:w="15" w:type="dxa"/>
            <w:left w:w="108" w:type="dxa"/>
            <w:bottom w:w="15" w:type="dxa"/>
            <w:right w:w="108" w:type="dxa"/>
          </w:tblCellMar>
        </w:tblPrEx>
        <w:trPr>
          <w:trHeight w:val="285" w:hRule="atLeast"/>
          <w:jc w:val="center"/>
        </w:trPr>
        <w:tc>
          <w:tcPr>
            <w:tcW w:w="56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竹根镇城区</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21.21</w:t>
            </w:r>
          </w:p>
        </w:tc>
        <w:tc>
          <w:tcPr>
            <w:tcW w:w="33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0</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0.61</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6.2</w:t>
            </w:r>
          </w:p>
        </w:tc>
        <w:tc>
          <w:tcPr>
            <w:tcW w:w="1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3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783.43</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780.55</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778.77</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7.28</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7.28</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5.56</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120</w:t>
            </w:r>
          </w:p>
        </w:tc>
        <w:tc>
          <w:tcPr>
            <w:tcW w:w="2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7.28</w:t>
            </w:r>
          </w:p>
        </w:tc>
      </w:tr>
      <w:tr>
        <w:tblPrEx>
          <w:tblCellMar>
            <w:top w:w="15" w:type="dxa"/>
            <w:left w:w="108" w:type="dxa"/>
            <w:bottom w:w="15" w:type="dxa"/>
            <w:right w:w="108" w:type="dxa"/>
          </w:tblCellMar>
        </w:tblPrEx>
        <w:trPr>
          <w:trHeight w:val="285" w:hRule="atLeast"/>
          <w:jc w:val="center"/>
        </w:trPr>
        <w:tc>
          <w:tcPr>
            <w:tcW w:w="56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新华村</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0.15</w:t>
            </w:r>
          </w:p>
        </w:tc>
        <w:tc>
          <w:tcPr>
            <w:tcW w:w="33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0</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0.45</w:t>
            </w:r>
          </w:p>
        </w:tc>
        <w:tc>
          <w:tcPr>
            <w:tcW w:w="1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3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48.19</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44.4</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43.94</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120</w:t>
            </w:r>
          </w:p>
        </w:tc>
        <w:tc>
          <w:tcPr>
            <w:tcW w:w="2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r>
      <w:tr>
        <w:tblPrEx>
          <w:tblCellMar>
            <w:top w:w="15" w:type="dxa"/>
            <w:left w:w="108" w:type="dxa"/>
            <w:bottom w:w="15" w:type="dxa"/>
            <w:right w:w="108" w:type="dxa"/>
          </w:tblCellMar>
        </w:tblPrEx>
        <w:trPr>
          <w:trHeight w:val="285" w:hRule="atLeast"/>
          <w:jc w:val="center"/>
        </w:trPr>
        <w:tc>
          <w:tcPr>
            <w:tcW w:w="56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幸福村</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8.23</w:t>
            </w:r>
          </w:p>
        </w:tc>
        <w:tc>
          <w:tcPr>
            <w:tcW w:w="33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0</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0.61</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3.71</w:t>
            </w:r>
          </w:p>
        </w:tc>
        <w:tc>
          <w:tcPr>
            <w:tcW w:w="1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3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22.7</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18.96</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18.51</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2.9</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2.9</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2.02</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120</w:t>
            </w:r>
          </w:p>
        </w:tc>
        <w:tc>
          <w:tcPr>
            <w:tcW w:w="2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2.9</w:t>
            </w:r>
          </w:p>
        </w:tc>
      </w:tr>
      <w:tr>
        <w:tblPrEx>
          <w:tblCellMar>
            <w:top w:w="15" w:type="dxa"/>
            <w:left w:w="108" w:type="dxa"/>
            <w:bottom w:w="15" w:type="dxa"/>
            <w:right w:w="108" w:type="dxa"/>
          </w:tblCellMar>
        </w:tblPrEx>
        <w:trPr>
          <w:trHeight w:val="285" w:hRule="atLeast"/>
          <w:jc w:val="center"/>
        </w:trPr>
        <w:tc>
          <w:tcPr>
            <w:tcW w:w="56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易坝村</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183.61</w:t>
            </w:r>
          </w:p>
        </w:tc>
        <w:tc>
          <w:tcPr>
            <w:tcW w:w="33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0</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13.36</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11.79</w:t>
            </w:r>
          </w:p>
        </w:tc>
        <w:tc>
          <w:tcPr>
            <w:tcW w:w="1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3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92.2</w:t>
            </w:r>
          </w:p>
        </w:tc>
        <w:tc>
          <w:tcPr>
            <w:tcW w:w="29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80.71</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49.81</w:t>
            </w:r>
          </w:p>
        </w:tc>
        <w:tc>
          <w:tcPr>
            <w:tcW w:w="2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19.37</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19.37</w:t>
            </w:r>
          </w:p>
        </w:tc>
        <w:tc>
          <w:tcPr>
            <w:tcW w:w="3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14.84</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120</w:t>
            </w:r>
          </w:p>
        </w:tc>
        <w:tc>
          <w:tcPr>
            <w:tcW w:w="28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19.37</w:t>
            </w:r>
          </w:p>
        </w:tc>
      </w:tr>
      <w:tr>
        <w:tblPrEx>
          <w:tblCellMar>
            <w:top w:w="15" w:type="dxa"/>
            <w:left w:w="108" w:type="dxa"/>
            <w:bottom w:w="15" w:type="dxa"/>
            <w:right w:w="108" w:type="dxa"/>
          </w:tblCellMar>
        </w:tblPrEx>
        <w:trPr>
          <w:trHeight w:val="285" w:hRule="atLeast"/>
          <w:jc w:val="center"/>
        </w:trPr>
        <w:tc>
          <w:tcPr>
            <w:tcW w:w="56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合计</w:t>
            </w:r>
          </w:p>
        </w:tc>
        <w:tc>
          <w:tcPr>
            <w:tcW w:w="38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213.2</w:t>
            </w:r>
          </w:p>
        </w:tc>
        <w:tc>
          <w:tcPr>
            <w:tcW w:w="33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25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14.58</w:t>
            </w:r>
          </w:p>
        </w:tc>
        <w:tc>
          <w:tcPr>
            <w:tcW w:w="29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22.15</w:t>
            </w:r>
          </w:p>
        </w:tc>
        <w:tc>
          <w:tcPr>
            <w:tcW w:w="14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3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946.52</w:t>
            </w:r>
          </w:p>
        </w:tc>
        <w:tc>
          <w:tcPr>
            <w:tcW w:w="29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924.62</w:t>
            </w:r>
          </w:p>
        </w:tc>
        <w:tc>
          <w:tcPr>
            <w:tcW w:w="29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891.03</w:t>
            </w:r>
          </w:p>
        </w:tc>
        <w:tc>
          <w:tcPr>
            <w:tcW w:w="25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29.55</w:t>
            </w:r>
          </w:p>
        </w:tc>
        <w:tc>
          <w:tcPr>
            <w:tcW w:w="39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29.55</w:t>
            </w:r>
          </w:p>
        </w:tc>
        <w:tc>
          <w:tcPr>
            <w:tcW w:w="38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22.42</w:t>
            </w:r>
          </w:p>
        </w:tc>
        <w:tc>
          <w:tcPr>
            <w:tcW w:w="39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39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ascii="等线" w:hAnsi="等线" w:eastAsia="等线" w:cs="宋体"/>
                <w:color w:val="000000"/>
                <w:kern w:val="0"/>
                <w:sz w:val="22"/>
              </w:rPr>
              <w:t>-</w:t>
            </w:r>
          </w:p>
        </w:tc>
        <w:tc>
          <w:tcPr>
            <w:tcW w:w="28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29.55</w:t>
            </w:r>
          </w:p>
        </w:tc>
      </w:tr>
    </w:tbl>
    <w:p>
      <w:pPr>
        <w:spacing w:line="240" w:lineRule="exact"/>
        <w:ind w:firstLine="425"/>
        <w:jc w:val="right"/>
        <w:rPr>
          <w:rFonts w:ascii="仿宋_GB2312" w:hAnsi="宋体" w:eastAsia="仿宋_GB2312"/>
          <w:sz w:val="28"/>
          <w:szCs w:val="28"/>
        </w:rPr>
      </w:pPr>
    </w:p>
    <w:sectPr>
      <w:type w:val="oddPage"/>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92931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370515"/>
      <w:docPartObj>
        <w:docPartGallery w:val="AutoText"/>
      </w:docPartObj>
    </w:sdtPr>
    <w:sdtContent>
      <w:p>
        <w:pPr>
          <w:pStyle w:val="9"/>
          <w:jc w:val="center"/>
        </w:pPr>
        <w:r>
          <w:fldChar w:fldCharType="begin"/>
        </w:r>
        <w:r>
          <w:instrText xml:space="preserve">PAGE   \* MERGEFORMAT</w:instrText>
        </w:r>
        <w:r>
          <w:fldChar w:fldCharType="separate"/>
        </w:r>
        <w:r>
          <w:rPr>
            <w:lang w:val="zh-CN"/>
          </w:rPr>
          <w:t>27</w:t>
        </w:r>
        <w: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337AA"/>
    <w:rsid w:val="000464EC"/>
    <w:rsid w:val="000475DF"/>
    <w:rsid w:val="000641AB"/>
    <w:rsid w:val="00066D07"/>
    <w:rsid w:val="00067864"/>
    <w:rsid w:val="00067A95"/>
    <w:rsid w:val="00067B25"/>
    <w:rsid w:val="00071697"/>
    <w:rsid w:val="0008241B"/>
    <w:rsid w:val="000879E7"/>
    <w:rsid w:val="000952B1"/>
    <w:rsid w:val="00095C05"/>
    <w:rsid w:val="00097192"/>
    <w:rsid w:val="000A716C"/>
    <w:rsid w:val="000B0AD7"/>
    <w:rsid w:val="000C0D26"/>
    <w:rsid w:val="000C49BB"/>
    <w:rsid w:val="000C6CA6"/>
    <w:rsid w:val="000E0FC4"/>
    <w:rsid w:val="000F6449"/>
    <w:rsid w:val="000F7D2E"/>
    <w:rsid w:val="00100AB8"/>
    <w:rsid w:val="00103CB9"/>
    <w:rsid w:val="0010400B"/>
    <w:rsid w:val="00106FB6"/>
    <w:rsid w:val="00112B25"/>
    <w:rsid w:val="00120121"/>
    <w:rsid w:val="00125B02"/>
    <w:rsid w:val="001262F0"/>
    <w:rsid w:val="00130A63"/>
    <w:rsid w:val="0015775B"/>
    <w:rsid w:val="00160807"/>
    <w:rsid w:val="00164A25"/>
    <w:rsid w:val="001713FE"/>
    <w:rsid w:val="00193405"/>
    <w:rsid w:val="00194568"/>
    <w:rsid w:val="001963DA"/>
    <w:rsid w:val="001967E8"/>
    <w:rsid w:val="001976C4"/>
    <w:rsid w:val="001B3C8A"/>
    <w:rsid w:val="001B4200"/>
    <w:rsid w:val="001C30C9"/>
    <w:rsid w:val="001C438F"/>
    <w:rsid w:val="001D173B"/>
    <w:rsid w:val="001D488B"/>
    <w:rsid w:val="001E5A89"/>
    <w:rsid w:val="001F334C"/>
    <w:rsid w:val="001F33CF"/>
    <w:rsid w:val="002032AD"/>
    <w:rsid w:val="00204784"/>
    <w:rsid w:val="00211CBF"/>
    <w:rsid w:val="002133D2"/>
    <w:rsid w:val="0022524D"/>
    <w:rsid w:val="00231E2F"/>
    <w:rsid w:val="00236C45"/>
    <w:rsid w:val="00236FC5"/>
    <w:rsid w:val="00245001"/>
    <w:rsid w:val="0025730D"/>
    <w:rsid w:val="002574F9"/>
    <w:rsid w:val="00260E09"/>
    <w:rsid w:val="002770BE"/>
    <w:rsid w:val="00283D62"/>
    <w:rsid w:val="002847F9"/>
    <w:rsid w:val="00284997"/>
    <w:rsid w:val="00284DCD"/>
    <w:rsid w:val="00285CDD"/>
    <w:rsid w:val="0028652F"/>
    <w:rsid w:val="002918EE"/>
    <w:rsid w:val="00293E13"/>
    <w:rsid w:val="00296A8C"/>
    <w:rsid w:val="002A0528"/>
    <w:rsid w:val="002A729E"/>
    <w:rsid w:val="002B0048"/>
    <w:rsid w:val="002B0E4D"/>
    <w:rsid w:val="002B338B"/>
    <w:rsid w:val="002C17F4"/>
    <w:rsid w:val="002C44B3"/>
    <w:rsid w:val="002D05A2"/>
    <w:rsid w:val="002D6998"/>
    <w:rsid w:val="002E3734"/>
    <w:rsid w:val="002E59CD"/>
    <w:rsid w:val="002E5E96"/>
    <w:rsid w:val="002F0AB6"/>
    <w:rsid w:val="00307149"/>
    <w:rsid w:val="00315A99"/>
    <w:rsid w:val="0033183F"/>
    <w:rsid w:val="0034660F"/>
    <w:rsid w:val="00354588"/>
    <w:rsid w:val="0035471D"/>
    <w:rsid w:val="0036199B"/>
    <w:rsid w:val="00367843"/>
    <w:rsid w:val="00375402"/>
    <w:rsid w:val="00381B74"/>
    <w:rsid w:val="003936DC"/>
    <w:rsid w:val="00393F42"/>
    <w:rsid w:val="00395917"/>
    <w:rsid w:val="003B419F"/>
    <w:rsid w:val="003B451F"/>
    <w:rsid w:val="003B59A0"/>
    <w:rsid w:val="003B6EEF"/>
    <w:rsid w:val="003B711D"/>
    <w:rsid w:val="003C2833"/>
    <w:rsid w:val="003C68F7"/>
    <w:rsid w:val="003D628F"/>
    <w:rsid w:val="003E1F2A"/>
    <w:rsid w:val="00410519"/>
    <w:rsid w:val="004201E0"/>
    <w:rsid w:val="004269DD"/>
    <w:rsid w:val="00430503"/>
    <w:rsid w:val="004311E0"/>
    <w:rsid w:val="0043284E"/>
    <w:rsid w:val="00441F47"/>
    <w:rsid w:val="00463BA5"/>
    <w:rsid w:val="00472031"/>
    <w:rsid w:val="00473C3E"/>
    <w:rsid w:val="00486207"/>
    <w:rsid w:val="0049274B"/>
    <w:rsid w:val="004A1386"/>
    <w:rsid w:val="004A1E62"/>
    <w:rsid w:val="004A1EE3"/>
    <w:rsid w:val="004C0E01"/>
    <w:rsid w:val="004C46CE"/>
    <w:rsid w:val="004D030B"/>
    <w:rsid w:val="004E0EB4"/>
    <w:rsid w:val="00512CB8"/>
    <w:rsid w:val="005131F0"/>
    <w:rsid w:val="00525562"/>
    <w:rsid w:val="0052623F"/>
    <w:rsid w:val="00534106"/>
    <w:rsid w:val="0053603D"/>
    <w:rsid w:val="00546A65"/>
    <w:rsid w:val="00566A9F"/>
    <w:rsid w:val="00573E7D"/>
    <w:rsid w:val="0058060C"/>
    <w:rsid w:val="00590AFB"/>
    <w:rsid w:val="00591076"/>
    <w:rsid w:val="005977CB"/>
    <w:rsid w:val="005A5127"/>
    <w:rsid w:val="005A7809"/>
    <w:rsid w:val="005B00CF"/>
    <w:rsid w:val="005B5824"/>
    <w:rsid w:val="005C689E"/>
    <w:rsid w:val="005D6F27"/>
    <w:rsid w:val="005E5D02"/>
    <w:rsid w:val="005E7DF3"/>
    <w:rsid w:val="005E7FA4"/>
    <w:rsid w:val="005F0949"/>
    <w:rsid w:val="005F24A5"/>
    <w:rsid w:val="005F33A6"/>
    <w:rsid w:val="005F6211"/>
    <w:rsid w:val="00605035"/>
    <w:rsid w:val="00605D44"/>
    <w:rsid w:val="00610DCE"/>
    <w:rsid w:val="00613BE2"/>
    <w:rsid w:val="00614610"/>
    <w:rsid w:val="006173B3"/>
    <w:rsid w:val="006217FF"/>
    <w:rsid w:val="00624058"/>
    <w:rsid w:val="006358A6"/>
    <w:rsid w:val="006702D2"/>
    <w:rsid w:val="00675A84"/>
    <w:rsid w:val="00675DDB"/>
    <w:rsid w:val="006817B5"/>
    <w:rsid w:val="00682E80"/>
    <w:rsid w:val="0068529A"/>
    <w:rsid w:val="006B21A2"/>
    <w:rsid w:val="006C1DFB"/>
    <w:rsid w:val="006C369C"/>
    <w:rsid w:val="006C44B8"/>
    <w:rsid w:val="006D6530"/>
    <w:rsid w:val="006E103D"/>
    <w:rsid w:val="006E4DDE"/>
    <w:rsid w:val="006F5E8A"/>
    <w:rsid w:val="006F67BE"/>
    <w:rsid w:val="006F74B5"/>
    <w:rsid w:val="007044B3"/>
    <w:rsid w:val="0070567C"/>
    <w:rsid w:val="00717214"/>
    <w:rsid w:val="007334C3"/>
    <w:rsid w:val="00734D5F"/>
    <w:rsid w:val="00737BC0"/>
    <w:rsid w:val="0074007E"/>
    <w:rsid w:val="0074155D"/>
    <w:rsid w:val="00743988"/>
    <w:rsid w:val="007448D1"/>
    <w:rsid w:val="00745D41"/>
    <w:rsid w:val="007505BD"/>
    <w:rsid w:val="00757A35"/>
    <w:rsid w:val="00763F09"/>
    <w:rsid w:val="0076750F"/>
    <w:rsid w:val="007677CA"/>
    <w:rsid w:val="007757AF"/>
    <w:rsid w:val="00780010"/>
    <w:rsid w:val="00792556"/>
    <w:rsid w:val="00793262"/>
    <w:rsid w:val="007951D8"/>
    <w:rsid w:val="007A2212"/>
    <w:rsid w:val="007A50F0"/>
    <w:rsid w:val="007A6725"/>
    <w:rsid w:val="007B5CF9"/>
    <w:rsid w:val="007C08D0"/>
    <w:rsid w:val="007C24D2"/>
    <w:rsid w:val="007C6254"/>
    <w:rsid w:val="007D2807"/>
    <w:rsid w:val="007D2894"/>
    <w:rsid w:val="007D36C0"/>
    <w:rsid w:val="007D57A6"/>
    <w:rsid w:val="007E2CB6"/>
    <w:rsid w:val="007F542E"/>
    <w:rsid w:val="007F72D9"/>
    <w:rsid w:val="00800533"/>
    <w:rsid w:val="008031F5"/>
    <w:rsid w:val="0080619F"/>
    <w:rsid w:val="00813463"/>
    <w:rsid w:val="00814F5C"/>
    <w:rsid w:val="008170DA"/>
    <w:rsid w:val="008316C1"/>
    <w:rsid w:val="00833865"/>
    <w:rsid w:val="0087196F"/>
    <w:rsid w:val="00880BBA"/>
    <w:rsid w:val="0088650B"/>
    <w:rsid w:val="008A3239"/>
    <w:rsid w:val="008A504D"/>
    <w:rsid w:val="008B7E7B"/>
    <w:rsid w:val="008D6046"/>
    <w:rsid w:val="008F348D"/>
    <w:rsid w:val="008F4638"/>
    <w:rsid w:val="008F4D33"/>
    <w:rsid w:val="008F68D7"/>
    <w:rsid w:val="009012F5"/>
    <w:rsid w:val="009029D8"/>
    <w:rsid w:val="0090374B"/>
    <w:rsid w:val="009175DA"/>
    <w:rsid w:val="00917842"/>
    <w:rsid w:val="009560FB"/>
    <w:rsid w:val="00972723"/>
    <w:rsid w:val="00973488"/>
    <w:rsid w:val="00974C7B"/>
    <w:rsid w:val="00974E2B"/>
    <w:rsid w:val="009754F9"/>
    <w:rsid w:val="00981187"/>
    <w:rsid w:val="009811C4"/>
    <w:rsid w:val="0098500A"/>
    <w:rsid w:val="009871E6"/>
    <w:rsid w:val="00987CF5"/>
    <w:rsid w:val="00991402"/>
    <w:rsid w:val="00993299"/>
    <w:rsid w:val="009A7F8C"/>
    <w:rsid w:val="009B54AA"/>
    <w:rsid w:val="009B7849"/>
    <w:rsid w:val="009C0B96"/>
    <w:rsid w:val="009C2BFC"/>
    <w:rsid w:val="009C77E8"/>
    <w:rsid w:val="009D4619"/>
    <w:rsid w:val="009D7221"/>
    <w:rsid w:val="009E19DB"/>
    <w:rsid w:val="009E49D3"/>
    <w:rsid w:val="00A01039"/>
    <w:rsid w:val="00A03BC5"/>
    <w:rsid w:val="00A04B1B"/>
    <w:rsid w:val="00A054CC"/>
    <w:rsid w:val="00A06352"/>
    <w:rsid w:val="00A118AA"/>
    <w:rsid w:val="00A118B3"/>
    <w:rsid w:val="00A34C4A"/>
    <w:rsid w:val="00A41C59"/>
    <w:rsid w:val="00A534A1"/>
    <w:rsid w:val="00A56493"/>
    <w:rsid w:val="00A602E1"/>
    <w:rsid w:val="00A71245"/>
    <w:rsid w:val="00A871EB"/>
    <w:rsid w:val="00A9093C"/>
    <w:rsid w:val="00A961FE"/>
    <w:rsid w:val="00AA1EE1"/>
    <w:rsid w:val="00AA4C61"/>
    <w:rsid w:val="00AB01F4"/>
    <w:rsid w:val="00AB49D6"/>
    <w:rsid w:val="00AD2570"/>
    <w:rsid w:val="00AD317F"/>
    <w:rsid w:val="00B0280D"/>
    <w:rsid w:val="00B030F1"/>
    <w:rsid w:val="00B035DF"/>
    <w:rsid w:val="00B10842"/>
    <w:rsid w:val="00B142C2"/>
    <w:rsid w:val="00B15868"/>
    <w:rsid w:val="00B31571"/>
    <w:rsid w:val="00B344BC"/>
    <w:rsid w:val="00B37139"/>
    <w:rsid w:val="00B372DC"/>
    <w:rsid w:val="00B4223C"/>
    <w:rsid w:val="00B4479B"/>
    <w:rsid w:val="00B570BB"/>
    <w:rsid w:val="00B5718A"/>
    <w:rsid w:val="00B57B21"/>
    <w:rsid w:val="00B63C70"/>
    <w:rsid w:val="00B65473"/>
    <w:rsid w:val="00B7003D"/>
    <w:rsid w:val="00B70060"/>
    <w:rsid w:val="00B74A5B"/>
    <w:rsid w:val="00B76E43"/>
    <w:rsid w:val="00B772E5"/>
    <w:rsid w:val="00B864DC"/>
    <w:rsid w:val="00B913A0"/>
    <w:rsid w:val="00B955D3"/>
    <w:rsid w:val="00B96224"/>
    <w:rsid w:val="00BA5DA9"/>
    <w:rsid w:val="00BC0612"/>
    <w:rsid w:val="00BE33CC"/>
    <w:rsid w:val="00BF134F"/>
    <w:rsid w:val="00C02B18"/>
    <w:rsid w:val="00C1579E"/>
    <w:rsid w:val="00C1723E"/>
    <w:rsid w:val="00C37982"/>
    <w:rsid w:val="00C41B7B"/>
    <w:rsid w:val="00C44431"/>
    <w:rsid w:val="00C526A0"/>
    <w:rsid w:val="00C63477"/>
    <w:rsid w:val="00C73B0F"/>
    <w:rsid w:val="00C90856"/>
    <w:rsid w:val="00C939DC"/>
    <w:rsid w:val="00CA09E1"/>
    <w:rsid w:val="00CA5480"/>
    <w:rsid w:val="00CB0AB3"/>
    <w:rsid w:val="00CB3A15"/>
    <w:rsid w:val="00CC5E10"/>
    <w:rsid w:val="00CC7742"/>
    <w:rsid w:val="00CD2421"/>
    <w:rsid w:val="00CF2602"/>
    <w:rsid w:val="00CF517C"/>
    <w:rsid w:val="00D0128F"/>
    <w:rsid w:val="00D1476B"/>
    <w:rsid w:val="00D34E54"/>
    <w:rsid w:val="00D43B52"/>
    <w:rsid w:val="00D4424A"/>
    <w:rsid w:val="00D46144"/>
    <w:rsid w:val="00D46D5F"/>
    <w:rsid w:val="00D512BE"/>
    <w:rsid w:val="00D6066B"/>
    <w:rsid w:val="00D6066D"/>
    <w:rsid w:val="00D646AE"/>
    <w:rsid w:val="00D75D37"/>
    <w:rsid w:val="00D76F41"/>
    <w:rsid w:val="00D83BB4"/>
    <w:rsid w:val="00D841AC"/>
    <w:rsid w:val="00D8584F"/>
    <w:rsid w:val="00D86D98"/>
    <w:rsid w:val="00DA21AE"/>
    <w:rsid w:val="00DA287B"/>
    <w:rsid w:val="00DB5CD3"/>
    <w:rsid w:val="00DC0917"/>
    <w:rsid w:val="00DC5534"/>
    <w:rsid w:val="00DC5C10"/>
    <w:rsid w:val="00DC61B0"/>
    <w:rsid w:val="00DC644C"/>
    <w:rsid w:val="00DD26CF"/>
    <w:rsid w:val="00DD64A9"/>
    <w:rsid w:val="00DE4BD1"/>
    <w:rsid w:val="00DF3311"/>
    <w:rsid w:val="00DF6099"/>
    <w:rsid w:val="00E0608D"/>
    <w:rsid w:val="00E16DD5"/>
    <w:rsid w:val="00E314CE"/>
    <w:rsid w:val="00E32FB2"/>
    <w:rsid w:val="00E50BB3"/>
    <w:rsid w:val="00E51995"/>
    <w:rsid w:val="00E61464"/>
    <w:rsid w:val="00E65951"/>
    <w:rsid w:val="00E67299"/>
    <w:rsid w:val="00E75BD8"/>
    <w:rsid w:val="00E75FDF"/>
    <w:rsid w:val="00E7636C"/>
    <w:rsid w:val="00E77E7E"/>
    <w:rsid w:val="00E846D3"/>
    <w:rsid w:val="00E85B98"/>
    <w:rsid w:val="00E911BE"/>
    <w:rsid w:val="00EA21B8"/>
    <w:rsid w:val="00EA26C9"/>
    <w:rsid w:val="00EA5D56"/>
    <w:rsid w:val="00EB7AC2"/>
    <w:rsid w:val="00ED535D"/>
    <w:rsid w:val="00ED69EA"/>
    <w:rsid w:val="00EE497D"/>
    <w:rsid w:val="00EF2B86"/>
    <w:rsid w:val="00F05868"/>
    <w:rsid w:val="00F1376D"/>
    <w:rsid w:val="00F22945"/>
    <w:rsid w:val="00F5053E"/>
    <w:rsid w:val="00F51553"/>
    <w:rsid w:val="00F54AE9"/>
    <w:rsid w:val="00F55C5F"/>
    <w:rsid w:val="00F56C90"/>
    <w:rsid w:val="00F749AB"/>
    <w:rsid w:val="00F81E66"/>
    <w:rsid w:val="00F971AA"/>
    <w:rsid w:val="00FA2E23"/>
    <w:rsid w:val="00FB2B25"/>
    <w:rsid w:val="00FB4B60"/>
    <w:rsid w:val="00FB5D26"/>
    <w:rsid w:val="00FC5897"/>
    <w:rsid w:val="79F544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Normal Indent"/>
    <w:basedOn w:val="1"/>
    <w:uiPriority w:val="0"/>
    <w:pPr>
      <w:ind w:firstLine="420"/>
    </w:pPr>
    <w:rPr>
      <w:rFonts w:ascii="Times New Roman" w:hAnsi="Times New Roman"/>
      <w:szCs w:val="20"/>
    </w:rPr>
  </w:style>
  <w:style w:type="paragraph" w:styleId="6">
    <w:name w:val="Document Map"/>
    <w:basedOn w:val="1"/>
    <w:link w:val="22"/>
    <w:semiHidden/>
    <w:unhideWhenUsed/>
    <w:uiPriority w:val="99"/>
    <w:rPr>
      <w:rFonts w:ascii="宋体"/>
      <w:sz w:val="18"/>
      <w:szCs w:val="18"/>
    </w:rPr>
  </w:style>
  <w:style w:type="paragraph" w:styleId="7">
    <w:name w:val="Date"/>
    <w:basedOn w:val="1"/>
    <w:next w:val="1"/>
    <w:link w:val="28"/>
    <w:semiHidden/>
    <w:unhideWhenUsed/>
    <w:uiPriority w:val="99"/>
    <w:pPr>
      <w:ind w:left="100" w:leftChars="2500"/>
    </w:pPr>
  </w:style>
  <w:style w:type="paragraph" w:styleId="8">
    <w:name w:val="Balloon Text"/>
    <w:basedOn w:val="1"/>
    <w:link w:val="27"/>
    <w:semiHidden/>
    <w:unhideWhenUsed/>
    <w:uiPriority w:val="99"/>
    <w:rPr>
      <w:sz w:val="18"/>
      <w:szCs w:val="18"/>
    </w:rPr>
  </w:style>
  <w:style w:type="paragraph" w:styleId="9">
    <w:name w:val="footer"/>
    <w:basedOn w:val="1"/>
    <w:link w:val="1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uiPriority w:val="39"/>
    <w:pPr>
      <w:tabs>
        <w:tab w:val="right" w:leader="dot" w:pos="8296"/>
      </w:tabs>
      <w:jc w:val="center"/>
    </w:pPr>
    <w:rPr>
      <w:rFonts w:ascii="宋体" w:hAnsi="宋体"/>
      <w:b/>
      <w:sz w:val="44"/>
      <w:szCs w:val="44"/>
    </w:rPr>
  </w:style>
  <w:style w:type="paragraph" w:styleId="12">
    <w:name w:val="toc 2"/>
    <w:basedOn w:val="1"/>
    <w:next w:val="1"/>
    <w:unhideWhenUsed/>
    <w:uiPriority w:val="39"/>
    <w:pPr>
      <w:ind w:left="420" w:leftChars="200"/>
    </w:p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uiPriority w:val="99"/>
    <w:rPr>
      <w:color w:val="0563C1" w:themeColor="hyperlink"/>
      <w:u w:val="single"/>
    </w:rPr>
  </w:style>
  <w:style w:type="character" w:customStyle="1" w:styleId="17">
    <w:name w:val="页眉 字符"/>
    <w:basedOn w:val="15"/>
    <w:link w:val="10"/>
    <w:uiPriority w:val="99"/>
    <w:rPr>
      <w:sz w:val="18"/>
      <w:szCs w:val="18"/>
    </w:rPr>
  </w:style>
  <w:style w:type="character" w:customStyle="1" w:styleId="18">
    <w:name w:val="页脚 字符"/>
    <w:basedOn w:val="15"/>
    <w:link w:val="9"/>
    <w:uiPriority w:val="99"/>
    <w:rPr>
      <w:sz w:val="18"/>
      <w:szCs w:val="18"/>
    </w:rPr>
  </w:style>
  <w:style w:type="character" w:customStyle="1" w:styleId="19">
    <w:name w:val="标题 1 字符"/>
    <w:basedOn w:val="15"/>
    <w:link w:val="2"/>
    <w:uiPriority w:val="9"/>
    <w:rPr>
      <w:rFonts w:ascii="Calibri" w:hAnsi="Calibri" w:eastAsia="仿宋_GB2312" w:cs="Times New Roman"/>
      <w:b/>
      <w:bCs/>
      <w:kern w:val="44"/>
      <w:sz w:val="32"/>
      <w:szCs w:val="44"/>
    </w:rPr>
  </w:style>
  <w:style w:type="character" w:customStyle="1" w:styleId="20">
    <w:name w:val="标题 2 字符"/>
    <w:basedOn w:val="15"/>
    <w:link w:val="3"/>
    <w:uiPriority w:val="9"/>
    <w:rPr>
      <w:rFonts w:eastAsia="仿宋_GB2312" w:asciiTheme="majorHAnsi" w:hAnsiTheme="majorHAnsi" w:cstheme="majorBidi"/>
      <w:b/>
      <w:bCs/>
      <w:sz w:val="30"/>
      <w:szCs w:val="32"/>
    </w:rPr>
  </w:style>
  <w:style w:type="paragraph" w:customStyle="1" w:styleId="21">
    <w:name w:val="Char Char Char"/>
    <w:basedOn w:val="1"/>
    <w:uiPriority w:val="0"/>
    <w:rPr>
      <w:rFonts w:ascii="Times New Roman" w:hAnsi="Times New Roman"/>
      <w:szCs w:val="24"/>
    </w:rPr>
  </w:style>
  <w:style w:type="character" w:customStyle="1" w:styleId="22">
    <w:name w:val="文档结构图 字符"/>
    <w:basedOn w:val="15"/>
    <w:link w:val="6"/>
    <w:semiHidden/>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uiPriority w:val="0"/>
    <w:rPr>
      <w:rFonts w:ascii="Times New Roman" w:hAnsi="Times New Roman"/>
      <w:szCs w:val="24"/>
    </w:rPr>
  </w:style>
  <w:style w:type="paragraph" w:customStyle="1" w:styleId="26">
    <w:name w:val="Char Char Char2"/>
    <w:basedOn w:val="1"/>
    <w:uiPriority w:val="0"/>
    <w:rPr>
      <w:rFonts w:ascii="Times New Roman" w:hAnsi="Times New Roman"/>
      <w:szCs w:val="24"/>
    </w:rPr>
  </w:style>
  <w:style w:type="character" w:customStyle="1" w:styleId="27">
    <w:name w:val="批注框文本 字符"/>
    <w:basedOn w:val="15"/>
    <w:link w:val="8"/>
    <w:semiHidden/>
    <w:uiPriority w:val="99"/>
    <w:rPr>
      <w:rFonts w:ascii="Calibri" w:hAnsi="Calibri" w:eastAsia="宋体" w:cs="Times New Roman"/>
      <w:sz w:val="18"/>
      <w:szCs w:val="18"/>
    </w:rPr>
  </w:style>
  <w:style w:type="character" w:customStyle="1" w:styleId="28">
    <w:name w:val="日期 字符"/>
    <w:basedOn w:val="15"/>
    <w:link w:val="7"/>
    <w:semiHidden/>
    <w:uiPriority w:val="99"/>
    <w:rPr>
      <w:rFonts w:ascii="Calibri" w:hAnsi="Calibri" w:eastAsia="宋体" w:cs="Times New Roman"/>
    </w:rPr>
  </w:style>
  <w:style w:type="character" w:customStyle="1" w:styleId="29">
    <w:name w:val="标题 3 字符"/>
    <w:basedOn w:val="15"/>
    <w:link w:val="4"/>
    <w:uiPriority w:val="9"/>
    <w:rPr>
      <w:rFonts w:ascii="Calibri" w:hAnsi="Calibri" w:eastAsia="仿宋_GB2312" w:cs="Times New Roman"/>
      <w:b/>
      <w:bCs/>
      <w:sz w:val="28"/>
      <w:szCs w:val="32"/>
    </w:rPr>
  </w:style>
  <w:style w:type="character" w:customStyle="1" w:styleId="30">
    <w:name w:val="font171"/>
    <w:basedOn w:val="15"/>
    <w:uiPriority w:val="0"/>
    <w:rPr>
      <w:rFonts w:hint="eastAsia" w:ascii="宋体" w:hAnsi="宋体" w:eastAsia="宋体"/>
      <w:color w:val="000000"/>
      <w:sz w:val="18"/>
      <w:szCs w:val="18"/>
      <w:u w:val="none"/>
    </w:rPr>
  </w:style>
  <w:style w:type="character" w:customStyle="1" w:styleId="31">
    <w:name w:val="font161"/>
    <w:basedOn w:val="15"/>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BD1E4-8FAF-4644-857A-93A23C3297A2}">
  <ds:schemaRefs/>
</ds:datastoreItem>
</file>

<file path=docProps/app.xml><?xml version="1.0" encoding="utf-8"?>
<Properties xmlns="http://schemas.openxmlformats.org/officeDocument/2006/extended-properties" xmlns:vt="http://schemas.openxmlformats.org/officeDocument/2006/docPropsVTypes">
  <Template>Normal</Template>
  <Pages>42</Pages>
  <Words>2870</Words>
  <Characters>16362</Characters>
  <Lines>136</Lines>
  <Paragraphs>38</Paragraphs>
  <TotalTime>2884</TotalTime>
  <ScaleCrop>false</ScaleCrop>
  <LinksUpToDate>false</LinksUpToDate>
  <CharactersWithSpaces>19194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2017-04-17T11:30:00Z</dcterms:created>
  <dc:creator>HP</dc:creator>
  <cp:lastModifiedBy>张学琴</cp:lastModifiedBy>
  <dcterms:modified xsi:type="dcterms:W3CDTF">2025-01-23T08:57:57Z</dcterms:modified>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F0D356BA117A49AEBB24037EAA28D907_12</vt:lpwstr>
  </property>
</Properties>
</file>