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Default Extension="png" ContentType="image/png"/>
  <Default Extension="jpeg" ContentType="image/jpeg"/>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docProps/custom.xml" ContentType="application/vnd.openxmlformats-officedocument.custom-properties+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spacing w:line="208" w:lineRule="auto" w:before="10"/>
        <w:ind w:left="1159" w:right="1316" w:firstLine="0"/>
        <w:jc w:val="center"/>
        <w:rPr>
          <w:rFonts w:ascii="方正小标宋简体" w:eastAsia="方正小标宋简体" w:hint="eastAsia"/>
          <w:b/>
          <w:sz w:val="44"/>
        </w:rPr>
      </w:pPr>
      <w:r>
        <w:rPr>
          <w:rFonts w:ascii="方正小标宋简体" w:eastAsia="方正小标宋简体" w:hint="eastAsia"/>
          <w:b/>
          <w:w w:val="95"/>
          <w:sz w:val="44"/>
        </w:rPr>
        <w:t>乐山市五通桥区国民经济和社会发展第十三个五年规划纲要</w:t>
      </w:r>
    </w:p>
    <w:p>
      <w:pPr>
        <w:pStyle w:val="BodyText"/>
        <w:spacing w:before="98"/>
        <w:ind w:left="1159" w:right="1316"/>
        <w:jc w:val="center"/>
      </w:pPr>
      <w:r>
        <w:rPr/>
        <w:t>（2016—2020 年）</w:t>
      </w:r>
    </w:p>
    <w:p>
      <w:pPr>
        <w:pStyle w:val="BodyText"/>
        <w:tabs>
          <w:tab w:pos="639" w:val="left" w:leader="none"/>
        </w:tabs>
        <w:spacing w:before="180"/>
        <w:ind w:left="0" w:right="158"/>
        <w:jc w:val="center"/>
      </w:pPr>
      <w:r>
        <w:rPr/>
        <w:t>序</w:t>
        <w:tab/>
        <w:t>言</w:t>
      </w:r>
    </w:p>
    <w:p>
      <w:pPr>
        <w:pStyle w:val="BodyText"/>
        <w:spacing w:line="343" w:lineRule="auto" w:before="180"/>
        <w:ind w:right="265" w:firstLine="639"/>
        <w:jc w:val="both"/>
      </w:pPr>
      <w:r>
        <w:rPr>
          <w:spacing w:val="-11"/>
        </w:rPr>
        <w:t>“十三五”时期，是全面建成小康社会的决胜期，是全面深</w:t>
      </w:r>
      <w:r>
        <w:rPr>
          <w:spacing w:val="-12"/>
        </w:rPr>
        <w:t>化改革的攻坚期，是全面推进依法治区的关键期，也是五通桥区</w:t>
      </w:r>
      <w:r>
        <w:rPr>
          <w:spacing w:val="-2"/>
        </w:rPr>
        <w:t>转变经济发展方式、推进产业结构转型升级的关键五年。</w:t>
      </w:r>
    </w:p>
    <w:p>
      <w:pPr>
        <w:pStyle w:val="BodyText"/>
        <w:spacing w:line="343" w:lineRule="auto" w:before="43"/>
        <w:ind w:right="139" w:firstLine="639"/>
      </w:pPr>
      <w:r>
        <w:rPr/>
        <w:t>《规划纲要》根据国家的方针政策，省、市的发展要求和区委、区政府的发展战略，立足实际，在经济发展新常态形势下， 明确未来五年五通桥区的发展定位、发展目标、战略重点以及重大举措，是全区人民的共同愿景，是政府履行职责的重要依据， 是引导市场主体自主决策的重要参考。</w:t>
      </w:r>
    </w:p>
    <w:p>
      <w:pPr>
        <w:pStyle w:val="BodyText"/>
        <w:spacing w:before="6"/>
        <w:ind w:left="0"/>
        <w:rPr>
          <w:sz w:val="38"/>
        </w:rPr>
      </w:pPr>
    </w:p>
    <w:p>
      <w:pPr>
        <w:pStyle w:val="Heading1"/>
        <w:tabs>
          <w:tab w:pos="1755" w:val="left" w:leader="none"/>
        </w:tabs>
      </w:pPr>
      <w:r>
        <w:rPr/>
        <w:t>第一篇</w:t>
        <w:tab/>
      </w:r>
      <w:r>
        <w:rPr>
          <w:spacing w:val="-1"/>
        </w:rPr>
        <w:t>发展基础篇</w:t>
      </w:r>
    </w:p>
    <w:p>
      <w:pPr>
        <w:pStyle w:val="BodyText"/>
        <w:spacing w:before="10"/>
        <w:ind w:left="0"/>
        <w:rPr>
          <w:rFonts w:ascii="黑体"/>
        </w:rPr>
      </w:pPr>
    </w:p>
    <w:p>
      <w:pPr>
        <w:pStyle w:val="Heading2"/>
        <w:ind w:left="1159" w:right="1316"/>
      </w:pPr>
      <w:r>
        <w:rPr/>
        <w:t>第一章 “十二五”发展的主要成就</w:t>
      </w:r>
    </w:p>
    <w:p>
      <w:pPr>
        <w:pStyle w:val="BodyText"/>
        <w:spacing w:line="343" w:lineRule="auto" w:before="175"/>
        <w:ind w:right="105" w:firstLine="639"/>
        <w:jc w:val="both"/>
      </w:pPr>
      <w:r>
        <w:rPr>
          <w:spacing w:val="-11"/>
        </w:rPr>
        <w:t>“十二五”时期，是极不平凡的五年，是进入二十一世纪以</w:t>
      </w:r>
      <w:r>
        <w:rPr>
          <w:spacing w:val="-13"/>
        </w:rPr>
        <w:t>来，五通桥区经济转型成效初显、城乡面貌变化较大的时期，同</w:t>
      </w:r>
      <w:r>
        <w:rPr>
          <w:spacing w:val="-17"/>
        </w:rPr>
        <w:t>时也是发展改革期盼最切、社会稳定任务最重、矛盾风险挑战最</w:t>
      </w:r>
      <w:r>
        <w:rPr>
          <w:spacing w:val="-15"/>
        </w:rPr>
        <w:t>多的时期。区委、区政府带领全区人民，紧紧围绕“十二五”规划目标任务，深入实施“工业强区、港城一体”发展战略，成功</w:t>
      </w:r>
      <w:r>
        <w:rPr>
          <w:spacing w:val="-18"/>
        </w:rPr>
        <w:t>应对国内外各种不利因素的冲击，主动适应经济发展新常态，以</w:t>
      </w:r>
      <w:r>
        <w:rPr>
          <w:spacing w:val="-20"/>
        </w:rPr>
        <w:t>结构调整为着力点，以深化改革为突破点，以改善民生为落脚点，</w:t>
      </w:r>
    </w:p>
    <w:p>
      <w:pPr>
        <w:spacing w:after="0" w:line="343" w:lineRule="auto"/>
        <w:jc w:val="both"/>
        <w:sectPr>
          <w:footerReference w:type="default" r:id="rId5"/>
          <w:footerReference w:type="even" r:id="rId6"/>
          <w:type w:val="continuous"/>
          <w:pgSz w:w="11910" w:h="16840"/>
          <w:pgMar w:footer="998" w:top="1440" w:bottom="1180" w:left="1420" w:right="1260"/>
          <w:pgNumType w:start="1"/>
        </w:sectPr>
      </w:pPr>
    </w:p>
    <w:p>
      <w:pPr>
        <w:pStyle w:val="BodyText"/>
        <w:spacing w:line="20" w:lineRule="exact"/>
        <w:ind w:left="173"/>
        <w:rPr>
          <w:sz w:val="2"/>
        </w:rPr>
      </w:pPr>
      <w:r>
        <w:rPr>
          <w:sz w:val="2"/>
        </w:rPr>
        <w:pict>
          <v:group style="width:445.95pt;height:.75pt;mso-position-horizontal-relative:char;mso-position-vertical-relative:line" coordorigin="0,0" coordsize="8919,15">
            <v:line style="position:absolute" from="8,8" to="8912,8" stroked="true" strokeweight=".71997pt" strokecolor="#000000">
              <v:stroke dashstyle="solid"/>
            </v:line>
          </v:group>
        </w:pict>
      </w:r>
      <w:r>
        <w:rPr>
          <w:sz w:val="2"/>
        </w:rPr>
      </w:r>
    </w:p>
    <w:p>
      <w:pPr>
        <w:pStyle w:val="BodyText"/>
        <w:ind w:left="0"/>
        <w:rPr>
          <w:sz w:val="20"/>
        </w:rPr>
      </w:pPr>
    </w:p>
    <w:p>
      <w:pPr>
        <w:pStyle w:val="BodyText"/>
        <w:spacing w:before="12"/>
        <w:ind w:left="0"/>
        <w:rPr>
          <w:sz w:val="13"/>
        </w:rPr>
      </w:pPr>
    </w:p>
    <w:p>
      <w:pPr>
        <w:pStyle w:val="BodyText"/>
        <w:spacing w:line="343" w:lineRule="auto" w:before="2"/>
        <w:ind w:left="211" w:right="266"/>
        <w:jc w:val="both"/>
      </w:pPr>
      <w:r>
        <w:rPr>
          <w:spacing w:val="-12"/>
        </w:rPr>
        <w:t>开拓奋进，励精图治，经济社会步入全面、协调、可持续发展的快车道。</w:t>
      </w:r>
    </w:p>
    <w:p>
      <w:pPr>
        <w:pStyle w:val="BodyText"/>
        <w:spacing w:line="343" w:lineRule="auto" w:before="43"/>
        <w:ind w:left="211" w:right="20" w:firstLine="630"/>
      </w:pPr>
      <w:r>
        <w:rPr>
          <w:b/>
        </w:rPr>
        <w:t>一、经济发展迈上新台阶。</w:t>
      </w:r>
      <w:r>
        <w:rPr/>
        <w:t>2015</w:t>
      </w:r>
      <w:r>
        <w:rPr>
          <w:spacing w:val="-40"/>
        </w:rPr>
        <w:t> 年 </w:t>
      </w:r>
      <w:r>
        <w:rPr/>
        <w:t>GDP</w:t>
      </w:r>
      <w:r>
        <w:rPr>
          <w:spacing w:val="-21"/>
        </w:rPr>
        <w:t> 总量达到 </w:t>
      </w:r>
      <w:r>
        <w:rPr/>
        <w:t>136.6</w:t>
      </w:r>
      <w:r>
        <w:rPr>
          <w:spacing w:val="-31"/>
        </w:rPr>
        <w:t> 亿</w:t>
      </w:r>
      <w:r>
        <w:rPr>
          <w:spacing w:val="-19"/>
        </w:rPr>
        <w:t>元，居全市第 </w:t>
      </w:r>
      <w:r>
        <w:rPr/>
        <w:t>4</w:t>
      </w:r>
      <w:r>
        <w:rPr>
          <w:spacing w:val="-18"/>
        </w:rPr>
        <w:t> 位，是“十一五”末的 </w:t>
      </w:r>
      <w:r>
        <w:rPr/>
        <w:t>1.6</w:t>
      </w:r>
      <w:r>
        <w:rPr>
          <w:spacing w:val="-24"/>
        </w:rPr>
        <w:t> 倍，年均增长 </w:t>
      </w:r>
      <w:r>
        <w:rPr/>
        <w:t>9.9%；</w:t>
      </w:r>
    </w:p>
    <w:p>
      <w:pPr>
        <w:pStyle w:val="BodyText"/>
        <w:spacing w:line="343" w:lineRule="auto" w:before="43"/>
        <w:ind w:left="211" w:right="265"/>
        <w:jc w:val="both"/>
      </w:pPr>
      <w:r>
        <w:rPr>
          <w:spacing w:val="-10"/>
        </w:rPr>
        <w:t>人均地区生产总值 </w:t>
      </w:r>
      <w:r>
        <w:rPr/>
        <w:t>42702</w:t>
      </w:r>
      <w:r>
        <w:rPr>
          <w:spacing w:val="-39"/>
        </w:rPr>
        <w:t> 元，比“十一五”净增 </w:t>
      </w:r>
      <w:r>
        <w:rPr/>
        <w:t>14970</w:t>
      </w:r>
      <w:r>
        <w:rPr>
          <w:spacing w:val="-45"/>
        </w:rPr>
        <w:t> 元，是“十一五”末的 </w:t>
      </w:r>
      <w:r>
        <w:rPr/>
        <w:t>1.6</w:t>
      </w:r>
      <w:r>
        <w:rPr>
          <w:spacing w:val="-13"/>
        </w:rPr>
        <w:t> 倍，年均增长 </w:t>
      </w:r>
      <w:r>
        <w:rPr/>
        <w:t>9.9%；地方一般公共预算收入完</w:t>
      </w:r>
      <w:r>
        <w:rPr>
          <w:spacing w:val="-41"/>
        </w:rPr>
        <w:t>成 </w:t>
      </w:r>
      <w:r>
        <w:rPr/>
        <w:t>3.67</w:t>
      </w:r>
      <w:r>
        <w:rPr>
          <w:spacing w:val="-17"/>
        </w:rPr>
        <w:t> 亿元，是“十一五”末的 </w:t>
      </w:r>
      <w:r>
        <w:rPr/>
        <w:t>1.4</w:t>
      </w:r>
      <w:r>
        <w:rPr>
          <w:spacing w:val="-23"/>
        </w:rPr>
        <w:t> 倍，年均增长 </w:t>
      </w:r>
      <w:r>
        <w:rPr>
          <w:spacing w:val="-3"/>
        </w:rPr>
        <w:t>7.2%</w:t>
      </w:r>
      <w:r>
        <w:rPr>
          <w:spacing w:val="-2"/>
        </w:rPr>
        <w:t>；固定</w:t>
      </w:r>
    </w:p>
    <w:p>
      <w:pPr>
        <w:pStyle w:val="BodyText"/>
        <w:spacing w:line="343" w:lineRule="auto" w:before="43"/>
        <w:ind w:left="211" w:right="266"/>
        <w:jc w:val="both"/>
      </w:pPr>
      <w:r>
        <w:rPr>
          <w:spacing w:val="-8"/>
        </w:rPr>
        <w:t>资产投资五年累计完成 </w:t>
      </w:r>
      <w:r>
        <w:rPr/>
        <w:t>500</w:t>
      </w:r>
      <w:r>
        <w:rPr>
          <w:spacing w:val="-17"/>
        </w:rPr>
        <w:t> 亿元，是“十一五”累计投资的 </w:t>
      </w:r>
      <w:r>
        <w:rPr/>
        <w:t>2.6 </w:t>
      </w:r>
      <w:r>
        <w:rPr>
          <w:spacing w:val="-11"/>
        </w:rPr>
        <w:t>倍，年均增长 </w:t>
      </w:r>
      <w:r>
        <w:rPr/>
        <w:t>7.6%</w:t>
      </w:r>
      <w:r>
        <w:rPr>
          <w:spacing w:val="-9"/>
        </w:rPr>
        <w:t>。三次产业结构由 </w:t>
      </w:r>
      <w:r>
        <w:rPr/>
        <w:t>2010</w:t>
      </w:r>
      <w:r>
        <w:rPr>
          <w:spacing w:val="-38"/>
        </w:rPr>
        <w:t> 年的 </w:t>
      </w:r>
      <w:r>
        <w:rPr/>
        <w:t>9.8∶73∶17.2 </w:t>
      </w:r>
      <w:r>
        <w:rPr>
          <w:spacing w:val="-22"/>
        </w:rPr>
        <w:t>调整到 </w:t>
      </w:r>
      <w:r>
        <w:rPr/>
        <w:t>2015</w:t>
      </w:r>
      <w:r>
        <w:rPr>
          <w:spacing w:val="-43"/>
        </w:rPr>
        <w:t> 年的 </w:t>
      </w:r>
      <w:r>
        <w:rPr/>
        <w:t>8.6∶71.2∶20.2。</w:t>
      </w:r>
    </w:p>
    <w:p>
      <w:pPr>
        <w:pStyle w:val="BodyText"/>
        <w:ind w:left="0"/>
      </w:pPr>
    </w:p>
    <w:p>
      <w:pPr>
        <w:spacing w:before="271"/>
        <w:ind w:left="1518" w:right="0" w:firstLine="0"/>
        <w:jc w:val="left"/>
        <w:rPr>
          <w:sz w:val="28"/>
        </w:rPr>
      </w:pPr>
      <w:r>
        <w:rPr>
          <w:sz w:val="28"/>
        </w:rPr>
        <w:t>图 1.五通桥区“十二五”期间地区生产总值增长图</w:t>
      </w:r>
    </w:p>
    <w:p>
      <w:pPr>
        <w:pStyle w:val="BodyText"/>
        <w:spacing w:before="5"/>
        <w:ind w:left="0"/>
        <w:rPr>
          <w:sz w:val="29"/>
        </w:rPr>
      </w:pPr>
      <w:r>
        <w:rPr/>
        <w:pict>
          <v:group style="position:absolute;margin-left:71.050003pt;margin-top:21.189281pt;width:451.2pt;height:264.95pt;mso-position-horizontal-relative:page;mso-position-vertical-relative:paragraph;z-index:1720;mso-wrap-distance-left:0;mso-wrap-distance-right:0" coordorigin="1421,424" coordsize="9024,5299">
            <v:rect style="position:absolute;left:1423;top:425;width:9022;height:5297" filled="true" fillcolor="#92d050" stroked="false">
              <v:fill type="solid"/>
            </v:rect>
            <v:rect style="position:absolute;left:1422;top:424;width:9022;height:5297" filled="false" stroked="true" strokeweight=".06pt" strokecolor="#65659a">
              <v:stroke dashstyle="solid"/>
            </v:rect>
            <v:rect style="position:absolute;left:2162;top:843;width:6106;height:4332" filled="true" fillcolor="#fac090" stroked="false">
              <v:fill type="solid"/>
            </v:rect>
            <v:line style="position:absolute" from="7955,4627" to="8267,4627" stroked="true" strokeweight=".06pt" strokecolor="#7f7f7f">
              <v:stroke dashstyle="solid"/>
            </v:line>
            <v:line style="position:absolute" from="6944,4627" to="7556,4627" stroked="true" strokeweight=".06pt" strokecolor="#7f7f7f">
              <v:stroke dashstyle="solid"/>
            </v:line>
            <v:line style="position:absolute" from="5920,4627" to="6532,4627" stroked="true" strokeweight=".06pt" strokecolor="#7f7f7f">
              <v:stroke dashstyle="solid"/>
            </v:line>
            <v:line style="position:absolute" from="4909,4627" to="5521,4627" stroked="true" strokeweight=".06pt" strokecolor="#7f7f7f">
              <v:stroke dashstyle="solid"/>
            </v:line>
            <v:line style="position:absolute" from="3884,4627" to="4496,4627" stroked="true" strokeweight=".06pt" strokecolor="#7f7f7f">
              <v:stroke dashstyle="solid"/>
            </v:line>
            <v:line style="position:absolute" from="2874,4627" to="3486,4627" stroked="true" strokeweight=".06pt" strokecolor="#7f7f7f">
              <v:stroke dashstyle="solid"/>
            </v:line>
            <v:line style="position:absolute" from="2161,4627" to="2461,4627" stroked="true" strokeweight=".06pt" strokecolor="#7f7f7f">
              <v:stroke dashstyle="solid"/>
            </v:line>
            <v:line style="position:absolute" from="7955,4096" to="8267,4096" stroked="true" strokeweight=".06pt" strokecolor="#7f7f7f">
              <v:stroke dashstyle="solid"/>
            </v:line>
            <v:line style="position:absolute" from="6944,4096" to="7556,4096" stroked="true" strokeweight=".06pt" strokecolor="#7f7f7f">
              <v:stroke dashstyle="solid"/>
            </v:line>
            <v:line style="position:absolute" from="5920,4096" to="6532,4096" stroked="true" strokeweight=".06pt" strokecolor="#7f7f7f">
              <v:stroke dashstyle="solid"/>
            </v:line>
            <v:line style="position:absolute" from="4909,4096" to="5521,4096" stroked="true" strokeweight=".06pt" strokecolor="#7f7f7f">
              <v:stroke dashstyle="solid"/>
            </v:line>
            <v:line style="position:absolute" from="3884,4096" to="4496,4096" stroked="true" strokeweight=".06pt" strokecolor="#7f7f7f">
              <v:stroke dashstyle="solid"/>
            </v:line>
            <v:line style="position:absolute" from="2874,4096" to="3486,4096" stroked="true" strokeweight=".06pt" strokecolor="#7f7f7f">
              <v:stroke dashstyle="solid"/>
            </v:line>
            <v:line style="position:absolute" from="2161,4096" to="2461,4096" stroked="true" strokeweight=".06pt" strokecolor="#7f7f7f">
              <v:stroke dashstyle="solid"/>
            </v:line>
            <v:line style="position:absolute" from="7955,3548" to="8267,3548" stroked="true" strokeweight=".06pt" strokecolor="#7f7f7f">
              <v:stroke dashstyle="solid"/>
            </v:line>
            <v:line style="position:absolute" from="6944,3548" to="7556,3548" stroked="true" strokeweight=".06pt" strokecolor="#7f7f7f">
              <v:stroke dashstyle="solid"/>
            </v:line>
            <v:line style="position:absolute" from="5920,3548" to="6532,3548" stroked="true" strokeweight=".06pt" strokecolor="#7f7f7f">
              <v:stroke dashstyle="solid"/>
            </v:line>
            <v:line style="position:absolute" from="4909,3548" to="5521,3548" stroked="true" strokeweight=".06pt" strokecolor="#7f7f7f">
              <v:stroke dashstyle="solid"/>
            </v:line>
            <v:line style="position:absolute" from="3884,3548" to="4496,3548" stroked="true" strokeweight=".06pt" strokecolor="#7f7f7f">
              <v:stroke dashstyle="solid"/>
            </v:line>
            <v:line style="position:absolute" from="2874,3548" to="3486,3548" stroked="true" strokeweight=".06pt" strokecolor="#7f7f7f">
              <v:stroke dashstyle="solid"/>
            </v:line>
            <v:line style="position:absolute" from="2161,3548" to="2461,3548" stroked="true" strokeweight=".06pt" strokecolor="#7f7f7f">
              <v:stroke dashstyle="solid"/>
            </v:line>
            <v:line style="position:absolute" from="7955,3017" to="8267,3017" stroked="true" strokeweight=".06pt" strokecolor="#7f7f7f">
              <v:stroke dashstyle="solid"/>
            </v:line>
            <v:line style="position:absolute" from="6944,3017" to="7556,3017" stroked="true" strokeweight=".06pt" strokecolor="#7f7f7f">
              <v:stroke dashstyle="solid"/>
            </v:line>
            <v:line style="position:absolute" from="5920,3017" to="6532,3017" stroked="true" strokeweight=".06pt" strokecolor="#7f7f7f">
              <v:stroke dashstyle="solid"/>
            </v:line>
            <v:line style="position:absolute" from="4909,3017" to="5521,3017" stroked="true" strokeweight=".06pt" strokecolor="#7f7f7f">
              <v:stroke dashstyle="solid"/>
            </v:line>
            <v:line style="position:absolute" from="3884,3017" to="4496,3017" stroked="true" strokeweight=".06pt" strokecolor="#7f7f7f">
              <v:stroke dashstyle="solid"/>
            </v:line>
            <v:line style="position:absolute" from="2874,3017" to="3486,3017" stroked="true" strokeweight=".06pt" strokecolor="#7f7f7f">
              <v:stroke dashstyle="solid"/>
            </v:line>
            <v:line style="position:absolute" from="2161,3017" to="2461,3017" stroked="true" strokeweight=".06pt" strokecolor="#7f7f7f">
              <v:stroke dashstyle="solid"/>
            </v:line>
            <v:line style="position:absolute" from="7955,2470" to="8267,2470" stroked="true" strokeweight=".06pt" strokecolor="#7f7f7f">
              <v:stroke dashstyle="solid"/>
            </v:line>
            <v:line style="position:absolute" from="6944,2470" to="7556,2470" stroked="true" strokeweight=".06pt" strokecolor="#7f7f7f">
              <v:stroke dashstyle="solid"/>
            </v:line>
            <v:line style="position:absolute" from="5920,2470" to="6532,2470" stroked="true" strokeweight=".06pt" strokecolor="#7f7f7f">
              <v:stroke dashstyle="solid"/>
            </v:line>
            <v:line style="position:absolute" from="4909,2470" to="5521,2470" stroked="true" strokeweight=".06pt" strokecolor="#7f7f7f">
              <v:stroke dashstyle="solid"/>
            </v:line>
            <v:line style="position:absolute" from="3884,2470" to="4496,2470" stroked="true" strokeweight=".06pt" strokecolor="#7f7f7f">
              <v:stroke dashstyle="solid"/>
            </v:line>
            <v:line style="position:absolute" from="2161,2470" to="3486,2470" stroked="true" strokeweight=".06pt" strokecolor="#7f7f7f">
              <v:stroke dashstyle="solid"/>
            </v:line>
            <v:line style="position:absolute" from="7955,1922" to="8267,1922" stroked="true" strokeweight=".06pt" strokecolor="#7f7f7f">
              <v:stroke dashstyle="solid"/>
            </v:line>
            <v:line style="position:absolute" from="6944,1922" to="7556,1922" stroked="true" strokeweight=".06pt" strokecolor="#7f7f7f">
              <v:stroke dashstyle="solid"/>
            </v:line>
            <v:line style="position:absolute" from="5920,1922" to="6532,1922" stroked="true" strokeweight=".06pt" strokecolor="#7f7f7f">
              <v:stroke dashstyle="solid"/>
            </v:line>
            <v:line style="position:absolute" from="4909,1922" to="5521,1922" stroked="true" strokeweight=".06pt" strokecolor="#7f7f7f">
              <v:stroke dashstyle="solid"/>
            </v:line>
            <v:line style="position:absolute" from="2161,1922" to="4496,1922" stroked="true" strokeweight=".06pt" strokecolor="#7f7f7f">
              <v:stroke dashstyle="solid"/>
            </v:line>
            <v:line style="position:absolute" from="3742,1391" to="8267,1391" stroked="true" strokeweight=".06pt" strokecolor="#7f7f7f">
              <v:stroke dashstyle="solid"/>
            </v:line>
            <v:line style="position:absolute" from="2161,1391" to="3613,1391" stroked="true" strokeweight=".06pt" strokecolor="#7f7f7f">
              <v:stroke dashstyle="solid"/>
            </v:line>
            <v:line style="position:absolute" from="2161,844" to="8267,844" stroked="true" strokeweight=".06pt" strokecolor="#7f7f7f">
              <v:stroke dashstyle="solid"/>
            </v:line>
            <v:rect style="position:absolute;left:2461;top:2824;width:413;height:2351" filled="true" fillcolor="#c00000" stroked="false">
              <v:fill type="solid"/>
            </v:rect>
            <v:rect style="position:absolute;left:3486;top:2260;width:399;height:2915" filled="true" fillcolor="#c00000" stroked="false">
              <v:fill type="solid"/>
            </v:rect>
            <v:rect style="position:absolute;left:4496;top:1906;width:413;height:3269" filled="true" fillcolor="#c00000" stroked="false">
              <v:fill type="solid"/>
            </v:rect>
            <v:rect style="position:absolute;left:5521;top:1617;width:399;height:3558" filled="true" fillcolor="#c00000" stroked="false">
              <v:fill type="solid"/>
            </v:rect>
            <v:rect style="position:absolute;left:6531;top:1713;width:413;height:3462" filled="true" fillcolor="#c00000" stroked="false">
              <v:fill type="solid"/>
            </v:rect>
            <v:rect style="position:absolute;left:7556;top:1472;width:399;height:3704" filled="true" fillcolor="#c00000" stroked="false">
              <v:fill type="solid"/>
            </v:rect>
            <v:line style="position:absolute" from="2161,844" to="2161,5174" stroked="true" strokeweight=".06pt" strokecolor="#7f7f7f">
              <v:stroke dashstyle="solid"/>
            </v:line>
            <v:line style="position:absolute" from="2105,5174" to="2161,5174" stroked="true" strokeweight=".06pt" strokecolor="#7f7f7f">
              <v:stroke dashstyle="solid"/>
            </v:line>
            <v:line style="position:absolute" from="2105,4627" to="2161,4627" stroked="true" strokeweight=".06pt" strokecolor="#7f7f7f">
              <v:stroke dashstyle="solid"/>
            </v:line>
            <v:line style="position:absolute" from="2105,4096" to="2161,4096" stroked="true" strokeweight=".06pt" strokecolor="#7f7f7f">
              <v:stroke dashstyle="solid"/>
            </v:line>
            <v:line style="position:absolute" from="2105,3548" to="2161,3548" stroked="true" strokeweight=".06pt" strokecolor="#7f7f7f">
              <v:stroke dashstyle="solid"/>
            </v:line>
            <v:line style="position:absolute" from="2105,3017" to="2161,3017" stroked="true" strokeweight=".06pt" strokecolor="#7f7f7f">
              <v:stroke dashstyle="solid"/>
            </v:line>
            <v:line style="position:absolute" from="2105,2470" to="2161,2470" stroked="true" strokeweight=".06pt" strokecolor="#7f7f7f">
              <v:stroke dashstyle="solid"/>
            </v:line>
            <v:line style="position:absolute" from="2105,1922" to="2161,1922" stroked="true" strokeweight=".06pt" strokecolor="#7f7f7f">
              <v:stroke dashstyle="solid"/>
            </v:line>
            <v:line style="position:absolute" from="2105,1391" to="2161,1391" stroked="true" strokeweight=".06pt" strokecolor="#7f7f7f">
              <v:stroke dashstyle="solid"/>
            </v:line>
            <v:line style="position:absolute" from="2105,844" to="2161,844" stroked="true" strokeweight=".06pt" strokecolor="#7f7f7f">
              <v:stroke dashstyle="solid"/>
            </v:line>
            <v:line style="position:absolute" from="2161,5174" to="8267,5174" stroked="true" strokeweight=".06pt" strokecolor="#7f7f7f">
              <v:stroke dashstyle="solid"/>
            </v:line>
            <v:line style="position:absolute" from="2161,5239" to="2161,5174" stroked="true" strokeweight=".06pt" strokecolor="#7f7f7f">
              <v:stroke dashstyle="solid"/>
            </v:line>
            <v:line style="position:absolute" from="3186,5239" to="3186,5174" stroked="true" strokeweight=".06pt" strokecolor="#7f7f7f">
              <v:stroke dashstyle="solid"/>
            </v:line>
            <v:line style="position:absolute" from="4196,5239" to="4196,5174" stroked="true" strokeweight=".06pt" strokecolor="#7f7f7f">
              <v:stroke dashstyle="solid"/>
            </v:line>
            <v:line style="position:absolute" from="5221,5239" to="5221,5174" stroked="true" strokeweight=".06pt" strokecolor="#7f7f7f">
              <v:stroke dashstyle="solid"/>
            </v:line>
            <v:line style="position:absolute" from="6232,5239" to="6232,5174" stroked="true" strokeweight=".06pt" strokecolor="#7f7f7f">
              <v:stroke dashstyle="solid"/>
            </v:line>
            <v:line style="position:absolute" from="7256,5239" to="7256,5174" stroked="true" strokeweight=".06pt" strokecolor="#7f7f7f">
              <v:stroke dashstyle="solid"/>
            </v:line>
            <v:line style="position:absolute" from="8267,5239" to="8267,5174" stroked="true" strokeweight=".06pt" strokecolor="#7f7f7f">
              <v:stroke dashstyle="solid"/>
            </v:line>
            <v:shape style="position:absolute;left:8266;top:843;width:57;height:4331" coordorigin="8267,844" coordsize="57,4331" path="m8267,844l8267,5174,8323,5174e" filled="false" stroked="true" strokeweight=".06pt" strokecolor="#7f7f7f">
              <v:path arrowok="t"/>
              <v:stroke dashstyle="solid"/>
            </v:shape>
            <v:line style="position:absolute" from="8267,4304" to="8323,4304" stroked="true" strokeweight=".06pt" strokecolor="#7f7f7f">
              <v:stroke dashstyle="solid"/>
            </v:line>
            <v:line style="position:absolute" from="8267,3436" to="8323,3436" stroked="true" strokeweight=".06pt" strokecolor="#7f7f7f">
              <v:stroke dashstyle="solid"/>
            </v:line>
            <v:line style="position:absolute" from="8267,2582" to="8323,2582" stroked="true" strokeweight=".06pt" strokecolor="#7f7f7f">
              <v:stroke dashstyle="solid"/>
            </v:line>
            <v:line style="position:absolute" from="8267,1712" to="8323,1712" stroked="true" strokeweight=".06pt" strokecolor="#7f7f7f">
              <v:stroke dashstyle="solid"/>
            </v:line>
            <v:line style="position:absolute" from="8267,844" to="8323,844" stroked="true" strokeweight=".06pt" strokecolor="#7f7f7f">
              <v:stroke dashstyle="solid"/>
            </v:line>
            <v:shape style="position:absolute;left:2673;top:1310;width:5081;height:3253" coordorigin="2674,1310" coordsize="5081,3253" path="m2674,1310l3684,1358,4709,1697,5719,2469,6744,4562,7754,2711e" filled="false" stroked="true" strokeweight="1.555178pt" strokecolor="#9a3365">
              <v:path arrowok="t"/>
              <v:stroke dashstyle="solid"/>
            </v:shape>
            <v:rect style="position:absolute;left:2602;top:1229;width:129;height:144" filled="true" fillcolor="#000000" stroked="false">
              <v:fill type="solid"/>
            </v:rect>
            <v:rect style="position:absolute;left:2602;top:1229;width:129;height:144" filled="false" stroked="true" strokeweight=".753101pt" strokecolor="#9a3365">
              <v:stroke dashstyle="solid"/>
            </v:rect>
            <v:rect style="position:absolute;left:3613;top:1277;width:129;height:146" filled="true" fillcolor="#000000" stroked="false">
              <v:fill type="solid"/>
            </v:rect>
            <v:rect style="position:absolute;left:3613;top:1277;width:129;height:146" filled="false" stroked="true" strokeweight=".752716pt" strokecolor="#9a3365">
              <v:stroke dashstyle="solid"/>
            </v:rect>
            <v:rect style="position:absolute;left:4637;top:1616;width:129;height:145" filled="true" fillcolor="#000000" stroked="false">
              <v:fill type="solid"/>
            </v:rect>
            <v:rect style="position:absolute;left:4637;top:1616;width:129;height:145" filled="false" stroked="true" strokeweight=".7531pt" strokecolor="#9a3365">
              <v:stroke dashstyle="solid"/>
            </v:rect>
            <v:rect style="position:absolute;left:5648;top:2389;width:129;height:145" filled="true" fillcolor="#000000" stroked="false">
              <v:fill type="solid"/>
            </v:rect>
            <v:rect style="position:absolute;left:5648;top:2389;width:129;height:145" filled="false" stroked="true" strokeweight=".7531pt" strokecolor="#9a3365">
              <v:stroke dashstyle="solid"/>
            </v:rect>
            <v:rect style="position:absolute;left:6673;top:4481;width:129;height:146" filled="true" fillcolor="#000000" stroked="false">
              <v:fill type="solid"/>
            </v:rect>
            <v:rect style="position:absolute;left:6673;top:4481;width:129;height:146" filled="false" stroked="true" strokeweight=".752716pt" strokecolor="#9a3365">
              <v:stroke dashstyle="solid"/>
            </v:rect>
            <v:rect style="position:absolute;left:7683;top:2630;width:129;height:146" filled="true" fillcolor="#000000" stroked="false">
              <v:fill type="solid"/>
            </v:rect>
            <v:rect style="position:absolute;left:7683;top:2630;width:129;height:146" filled="false" stroked="true" strokeweight=".752716pt" strokecolor="#9a3365">
              <v:stroke dashstyle="solid"/>
            </v:rect>
            <v:rect style="position:absolute;left:8809;top:2824;width:384;height:113" filled="true" fillcolor="#c00000" stroked="false">
              <v:fill type="solid"/>
            </v:rect>
            <v:line style="position:absolute" from="9049,3258" to="9206,3258" stroked="true" strokeweight="1.609681pt" strokecolor="#9a3365">
              <v:stroke dashstyle="solid"/>
            </v:line>
            <v:line style="position:absolute" from="8808,3258" to="8950,3258" stroked="true" strokeweight="1.609681pt" strokecolor="#9a3365">
              <v:stroke dashstyle="solid"/>
            </v:line>
            <v:line style="position:absolute" from="8999,3194" to="8999,3307" stroked="true" strokeweight="4.979949pt" strokecolor="#000000">
              <v:stroke dashstyle="solid"/>
            </v:line>
            <v:rect style="position:absolute;left:8949;top:3194;width:100;height:113" filled="false" stroked="true" strokeweight=".752647pt" strokecolor="#9a3365">
              <v:stroke dashstyle="solid"/>
            </v:rect>
            <v:rect style="position:absolute;left:1422;top:424;width:9022;height:5297" filled="false" stroked="true" strokeweight=".06pt" strokecolor="#65659a">
              <v:stroke dashstyle="solid"/>
            </v:rect>
            <v:shape style="position:absolute;left:1720;top:746;width:319;height:210" type="#_x0000_t202" filled="false" stroked="false">
              <v:textbox inset="0,0,0,0">
                <w:txbxContent>
                  <w:p>
                    <w:pPr>
                      <w:spacing w:line="209" w:lineRule="exact" w:before="0"/>
                      <w:ind w:left="0" w:right="0" w:firstLine="0"/>
                      <w:jc w:val="left"/>
                      <w:rPr>
                        <w:rFonts w:ascii="宋体"/>
                        <w:sz w:val="21"/>
                      </w:rPr>
                    </w:pPr>
                    <w:r>
                      <w:rPr>
                        <w:rFonts w:ascii="宋体"/>
                        <w:w w:val="90"/>
                        <w:sz w:val="21"/>
                      </w:rPr>
                      <w:t>160</w:t>
                    </w:r>
                  </w:p>
                </w:txbxContent>
              </v:textbox>
              <w10:wrap type="none"/>
            </v:shape>
            <v:shape style="position:absolute;left:8409;top:746;width:220;height:210" type="#_x0000_t202" filled="false" stroked="false">
              <v:textbox inset="0,0,0,0">
                <w:txbxContent>
                  <w:p>
                    <w:pPr>
                      <w:spacing w:line="209" w:lineRule="exact" w:before="0"/>
                      <w:ind w:left="0" w:right="0" w:firstLine="0"/>
                      <w:jc w:val="left"/>
                      <w:rPr>
                        <w:rFonts w:ascii="宋体"/>
                        <w:sz w:val="21"/>
                      </w:rPr>
                    </w:pPr>
                    <w:r>
                      <w:rPr>
                        <w:rFonts w:ascii="宋体"/>
                        <w:w w:val="95"/>
                        <w:sz w:val="21"/>
                      </w:rPr>
                      <w:t>20</w:t>
                    </w:r>
                  </w:p>
                </w:txbxContent>
              </v:textbox>
              <w10:wrap type="none"/>
            </v:shape>
            <v:shape style="position:absolute;left:1720;top:1294;width:319;height:210" type="#_x0000_t202" filled="false" stroked="false">
              <v:textbox inset="0,0,0,0">
                <w:txbxContent>
                  <w:p>
                    <w:pPr>
                      <w:spacing w:line="209" w:lineRule="exact" w:before="0"/>
                      <w:ind w:left="0" w:right="0" w:firstLine="0"/>
                      <w:jc w:val="left"/>
                      <w:rPr>
                        <w:rFonts w:ascii="宋体"/>
                        <w:sz w:val="21"/>
                      </w:rPr>
                    </w:pPr>
                    <w:r>
                      <w:rPr>
                        <w:rFonts w:ascii="宋体"/>
                        <w:w w:val="90"/>
                        <w:sz w:val="21"/>
                      </w:rPr>
                      <w:t>140</w:t>
                    </w:r>
                  </w:p>
                </w:txbxContent>
              </v:textbox>
              <w10:wrap type="none"/>
            </v:shape>
            <v:shape style="position:absolute;left:2817;top:1214;width:419;height:210" type="#_x0000_t202" filled="false" stroked="false">
              <v:textbox inset="0,0,0,0">
                <w:txbxContent>
                  <w:p>
                    <w:pPr>
                      <w:spacing w:line="209" w:lineRule="exact" w:before="0"/>
                      <w:ind w:left="0" w:right="0" w:firstLine="0"/>
                      <w:jc w:val="left"/>
                      <w:rPr>
                        <w:rFonts w:ascii="宋体"/>
                        <w:sz w:val="21"/>
                      </w:rPr>
                    </w:pPr>
                    <w:r>
                      <w:rPr>
                        <w:rFonts w:ascii="宋体"/>
                        <w:w w:val="90"/>
                        <w:sz w:val="21"/>
                      </w:rPr>
                      <w:t>17.3</w:t>
                    </w:r>
                  </w:p>
                </w:txbxContent>
              </v:textbox>
              <w10:wrap type="none"/>
            </v:shape>
            <v:shape style="position:absolute;left:3828;top:1262;width:220;height:210" type="#_x0000_t202" filled="false" stroked="false">
              <v:textbox inset="0,0,0,0">
                <w:txbxContent>
                  <w:p>
                    <w:pPr>
                      <w:spacing w:line="209" w:lineRule="exact" w:before="0"/>
                      <w:ind w:left="0" w:right="0" w:firstLine="0"/>
                      <w:jc w:val="left"/>
                      <w:rPr>
                        <w:rFonts w:ascii="宋体"/>
                        <w:sz w:val="21"/>
                      </w:rPr>
                    </w:pPr>
                    <w:r>
                      <w:rPr>
                        <w:rFonts w:ascii="宋体"/>
                        <w:w w:val="95"/>
                        <w:sz w:val="21"/>
                      </w:rPr>
                      <w:t>17</w:t>
                    </w:r>
                  </w:p>
                </w:txbxContent>
              </v:textbox>
              <w10:wrap type="none"/>
            </v:shape>
            <v:shape style="position:absolute;left:7469;top:1182;width:590;height:210" type="#_x0000_t202" filled="false" stroked="false">
              <v:textbox inset="0,0,0,0">
                <w:txbxContent>
                  <w:p>
                    <w:pPr>
                      <w:spacing w:line="209" w:lineRule="exact" w:before="0"/>
                      <w:ind w:left="0" w:right="0" w:firstLine="0"/>
                      <w:jc w:val="left"/>
                      <w:rPr>
                        <w:rFonts w:ascii="宋体"/>
                        <w:b/>
                        <w:sz w:val="21"/>
                      </w:rPr>
                    </w:pPr>
                    <w:r>
                      <w:rPr>
                        <w:rFonts w:ascii="宋体"/>
                        <w:b/>
                        <w:w w:val="90"/>
                        <w:sz w:val="21"/>
                      </w:rPr>
                      <w:t>136.6</w:t>
                    </w:r>
                    <w:r>
                      <w:rPr>
                        <w:rFonts w:ascii="宋体"/>
                        <w:b/>
                        <w:sz w:val="21"/>
                      </w:rPr>
                      <w:t> </w:t>
                    </w:r>
                  </w:p>
                </w:txbxContent>
              </v:textbox>
              <w10:wrap type="none"/>
            </v:shape>
            <v:shape style="position:absolute;left:4425;top:1358;width:845;height:452" type="#_x0000_t202" filled="false" stroked="false">
              <v:textbox inset="0,0,0,0">
                <w:txbxContent>
                  <w:p>
                    <w:pPr>
                      <w:spacing w:line="193" w:lineRule="exact" w:before="0"/>
                      <w:ind w:left="0" w:right="0" w:firstLine="0"/>
                      <w:jc w:val="left"/>
                      <w:rPr>
                        <w:rFonts w:ascii="宋体"/>
                        <w:b/>
                        <w:sz w:val="21"/>
                      </w:rPr>
                    </w:pPr>
                    <w:r>
                      <w:rPr>
                        <w:rFonts w:ascii="宋体"/>
                        <w:b/>
                        <w:w w:val="90"/>
                        <w:sz w:val="21"/>
                      </w:rPr>
                      <w:t>1</w:t>
                    </w:r>
                    <w:r>
                      <w:rPr>
                        <w:rFonts w:ascii="宋体"/>
                        <w:b/>
                        <w:spacing w:val="-87"/>
                        <w:w w:val="90"/>
                        <w:sz w:val="21"/>
                      </w:rPr>
                      <w:t> </w:t>
                    </w:r>
                    <w:r>
                      <w:rPr>
                        <w:rFonts w:ascii="宋体"/>
                        <w:b/>
                        <w:spacing w:val="15"/>
                        <w:w w:val="90"/>
                        <w:sz w:val="21"/>
                      </w:rPr>
                      <w:t>20.5</w:t>
                    </w:r>
                    <w:r>
                      <w:rPr>
                        <w:rFonts w:ascii="宋体"/>
                        <w:b/>
                        <w:spacing w:val="-85"/>
                        <w:sz w:val="21"/>
                      </w:rPr>
                      <w:t> </w:t>
                    </w:r>
                  </w:p>
                  <w:p>
                    <w:pPr>
                      <w:spacing w:line="259" w:lineRule="exact" w:before="0"/>
                      <w:ind w:left="426" w:right="0" w:firstLine="0"/>
                      <w:jc w:val="left"/>
                      <w:rPr>
                        <w:rFonts w:ascii="宋体"/>
                        <w:sz w:val="21"/>
                      </w:rPr>
                    </w:pPr>
                    <w:r>
                      <w:rPr>
                        <w:rFonts w:ascii="宋体"/>
                        <w:w w:val="90"/>
                        <w:sz w:val="21"/>
                      </w:rPr>
                      <w:t>15.1</w:t>
                    </w:r>
                  </w:p>
                </w:txbxContent>
              </v:textbox>
              <w10:wrap type="none"/>
            </v:shape>
            <v:shape style="position:absolute;left:5436;top:1327;width:589;height:210" type="#_x0000_t202" filled="false" stroked="false">
              <v:textbox inset="0,0,0,0">
                <w:txbxContent>
                  <w:p>
                    <w:pPr>
                      <w:spacing w:line="209" w:lineRule="exact" w:before="0"/>
                      <w:ind w:left="0" w:right="0" w:firstLine="0"/>
                      <w:jc w:val="left"/>
                      <w:rPr>
                        <w:rFonts w:ascii="宋体"/>
                        <w:b/>
                        <w:sz w:val="21"/>
                      </w:rPr>
                    </w:pPr>
                    <w:r>
                      <w:rPr>
                        <w:rFonts w:ascii="宋体"/>
                        <w:b/>
                        <w:w w:val="90"/>
                        <w:sz w:val="21"/>
                      </w:rPr>
                      <w:t>1</w:t>
                    </w:r>
                    <w:r>
                      <w:rPr>
                        <w:rFonts w:ascii="宋体"/>
                        <w:b/>
                        <w:spacing w:val="-87"/>
                        <w:w w:val="90"/>
                        <w:sz w:val="21"/>
                      </w:rPr>
                      <w:t> </w:t>
                    </w:r>
                    <w:r>
                      <w:rPr>
                        <w:rFonts w:ascii="宋体"/>
                        <w:b/>
                        <w:spacing w:val="15"/>
                        <w:w w:val="90"/>
                        <w:sz w:val="21"/>
                      </w:rPr>
                      <w:t>31.2</w:t>
                    </w:r>
                    <w:r>
                      <w:rPr>
                        <w:rFonts w:ascii="宋体"/>
                        <w:b/>
                        <w:spacing w:val="-85"/>
                        <w:sz w:val="21"/>
                      </w:rPr>
                      <w:t> </w:t>
                    </w:r>
                  </w:p>
                </w:txbxContent>
              </v:textbox>
              <w10:wrap type="none"/>
            </v:shape>
            <v:shape style="position:absolute;left:6446;top:1423;width:589;height:210" type="#_x0000_t202" filled="false" stroked="false">
              <v:textbox inset="0,0,0,0">
                <w:txbxContent>
                  <w:p>
                    <w:pPr>
                      <w:spacing w:line="209" w:lineRule="exact" w:before="0"/>
                      <w:ind w:left="0" w:right="0" w:firstLine="0"/>
                      <w:jc w:val="left"/>
                      <w:rPr>
                        <w:rFonts w:ascii="宋体"/>
                        <w:b/>
                        <w:sz w:val="21"/>
                      </w:rPr>
                    </w:pPr>
                    <w:r>
                      <w:rPr>
                        <w:rFonts w:ascii="宋体"/>
                        <w:b/>
                        <w:w w:val="90"/>
                        <w:sz w:val="21"/>
                      </w:rPr>
                      <w:t>1</w:t>
                    </w:r>
                    <w:r>
                      <w:rPr>
                        <w:rFonts w:ascii="宋体"/>
                        <w:b/>
                        <w:spacing w:val="-87"/>
                        <w:w w:val="90"/>
                        <w:sz w:val="21"/>
                      </w:rPr>
                      <w:t> </w:t>
                    </w:r>
                    <w:r>
                      <w:rPr>
                        <w:rFonts w:ascii="宋体"/>
                        <w:b/>
                        <w:spacing w:val="15"/>
                        <w:w w:val="90"/>
                        <w:sz w:val="21"/>
                      </w:rPr>
                      <w:t>27.7</w:t>
                    </w:r>
                    <w:r>
                      <w:rPr>
                        <w:rFonts w:ascii="宋体"/>
                        <w:b/>
                        <w:spacing w:val="-85"/>
                        <w:sz w:val="21"/>
                      </w:rPr>
                      <w:t> </w:t>
                    </w:r>
                  </w:p>
                </w:txbxContent>
              </v:textbox>
              <w10:wrap type="none"/>
            </v:shape>
            <v:shape style="position:absolute;left:8409;top:1616;width:220;height:210" type="#_x0000_t202" filled="false" stroked="false">
              <v:textbox inset="0,0,0,0">
                <w:txbxContent>
                  <w:p>
                    <w:pPr>
                      <w:spacing w:line="209" w:lineRule="exact" w:before="0"/>
                      <w:ind w:left="0" w:right="0" w:firstLine="0"/>
                      <w:jc w:val="left"/>
                      <w:rPr>
                        <w:rFonts w:ascii="宋体"/>
                        <w:sz w:val="21"/>
                      </w:rPr>
                    </w:pPr>
                    <w:r>
                      <w:rPr>
                        <w:rFonts w:ascii="宋体"/>
                        <w:w w:val="95"/>
                        <w:sz w:val="21"/>
                      </w:rPr>
                      <w:t>15</w:t>
                    </w:r>
                  </w:p>
                </w:txbxContent>
              </v:textbox>
              <w10:wrap type="none"/>
            </v:shape>
            <v:shape style="position:absolute;left:1720;top:1826;width:319;height:210" type="#_x0000_t202" filled="false" stroked="false">
              <v:textbox inset="0,0,0,0">
                <w:txbxContent>
                  <w:p>
                    <w:pPr>
                      <w:spacing w:line="209" w:lineRule="exact" w:before="0"/>
                      <w:ind w:left="0" w:right="0" w:firstLine="0"/>
                      <w:jc w:val="left"/>
                      <w:rPr>
                        <w:rFonts w:ascii="宋体"/>
                        <w:sz w:val="21"/>
                      </w:rPr>
                    </w:pPr>
                    <w:r>
                      <w:rPr>
                        <w:rFonts w:ascii="宋体"/>
                        <w:w w:val="90"/>
                        <w:sz w:val="21"/>
                      </w:rPr>
                      <w:t>120</w:t>
                    </w:r>
                  </w:p>
                </w:txbxContent>
              </v:textbox>
              <w10:wrap type="none"/>
            </v:shape>
            <v:shape style="position:absolute;left:3400;top:1970;width:589;height:210" type="#_x0000_t202" filled="false" stroked="false">
              <v:textbox inset="0,0,0,0">
                <w:txbxContent>
                  <w:p>
                    <w:pPr>
                      <w:spacing w:line="209" w:lineRule="exact" w:before="0"/>
                      <w:ind w:left="0" w:right="0" w:firstLine="0"/>
                      <w:jc w:val="left"/>
                      <w:rPr>
                        <w:rFonts w:ascii="宋体"/>
                        <w:b/>
                        <w:sz w:val="21"/>
                      </w:rPr>
                    </w:pPr>
                    <w:r>
                      <w:rPr>
                        <w:rFonts w:ascii="宋体"/>
                        <w:b/>
                        <w:spacing w:val="10"/>
                        <w:w w:val="90"/>
                        <w:sz w:val="21"/>
                      </w:rPr>
                      <w:t>10</w:t>
                    </w:r>
                    <w:r>
                      <w:rPr>
                        <w:rFonts w:ascii="宋体"/>
                        <w:b/>
                        <w:spacing w:val="-86"/>
                        <w:w w:val="90"/>
                        <w:sz w:val="21"/>
                      </w:rPr>
                      <w:t> </w:t>
                    </w:r>
                    <w:r>
                      <w:rPr>
                        <w:rFonts w:ascii="宋体"/>
                        <w:b/>
                        <w:spacing w:val="12"/>
                        <w:w w:val="90"/>
                        <w:sz w:val="21"/>
                      </w:rPr>
                      <w:t>7.8</w:t>
                    </w:r>
                    <w:r>
                      <w:rPr>
                        <w:rFonts w:ascii="宋体"/>
                        <w:b/>
                        <w:spacing w:val="-85"/>
                        <w:sz w:val="21"/>
                      </w:rPr>
                      <w:t> </w:t>
                    </w:r>
                  </w:p>
                </w:txbxContent>
              </v:textbox>
              <w10:wrap type="none"/>
            </v:shape>
            <v:shape style="position:absolute;left:1720;top:2373;width:319;height:210" type="#_x0000_t202" filled="false" stroked="false">
              <v:textbox inset="0,0,0,0">
                <w:txbxContent>
                  <w:p>
                    <w:pPr>
                      <w:spacing w:line="209" w:lineRule="exact" w:before="0"/>
                      <w:ind w:left="0" w:right="0" w:firstLine="0"/>
                      <w:jc w:val="left"/>
                      <w:rPr>
                        <w:rFonts w:ascii="宋体"/>
                        <w:sz w:val="21"/>
                      </w:rPr>
                    </w:pPr>
                    <w:r>
                      <w:rPr>
                        <w:rFonts w:ascii="宋体"/>
                        <w:w w:val="90"/>
                        <w:sz w:val="21"/>
                      </w:rPr>
                      <w:t>100</w:t>
                    </w:r>
                  </w:p>
                </w:txbxContent>
              </v:textbox>
              <w10:wrap type="none"/>
            </v:shape>
            <v:shape style="position:absolute;left:2376;top:2534;width:568;height:210" type="#_x0000_t202" filled="false" stroked="false">
              <v:textbox inset="0,0,0,0">
                <w:txbxContent>
                  <w:p>
                    <w:pPr>
                      <w:spacing w:line="209" w:lineRule="exact" w:before="0"/>
                      <w:ind w:left="0" w:right="0" w:firstLine="0"/>
                      <w:jc w:val="left"/>
                      <w:rPr>
                        <w:rFonts w:ascii="宋体"/>
                        <w:b/>
                        <w:sz w:val="21"/>
                      </w:rPr>
                    </w:pPr>
                    <w:r>
                      <w:rPr>
                        <w:rFonts w:ascii="宋体"/>
                        <w:b/>
                        <w:spacing w:val="15"/>
                        <w:w w:val="90"/>
                        <w:sz w:val="21"/>
                      </w:rPr>
                      <w:t>86.7</w:t>
                    </w:r>
                    <w:r>
                      <w:rPr>
                        <w:rFonts w:ascii="宋体"/>
                        <w:b/>
                        <w:spacing w:val="-87"/>
                        <w:w w:val="90"/>
                        <w:sz w:val="21"/>
                      </w:rPr>
                      <w:t> </w:t>
                    </w:r>
                    <w:r>
                      <w:rPr>
                        <w:rFonts w:ascii="宋体"/>
                        <w:b/>
                        <w:w w:val="90"/>
                        <w:sz w:val="21"/>
                      </w:rPr>
                      <w:t>7</w:t>
                    </w:r>
                  </w:p>
                </w:txbxContent>
              </v:textbox>
              <w10:wrap type="none"/>
            </v:shape>
            <v:shape style="position:absolute;left:5862;top:2373;width:419;height:210" type="#_x0000_t202" filled="false" stroked="false">
              <v:textbox inset="0,0,0,0">
                <w:txbxContent>
                  <w:p>
                    <w:pPr>
                      <w:spacing w:line="209" w:lineRule="exact" w:before="0"/>
                      <w:ind w:left="0" w:right="0" w:firstLine="0"/>
                      <w:jc w:val="left"/>
                      <w:rPr>
                        <w:rFonts w:ascii="宋体"/>
                        <w:sz w:val="21"/>
                      </w:rPr>
                    </w:pPr>
                    <w:r>
                      <w:rPr>
                        <w:rFonts w:ascii="宋体"/>
                        <w:w w:val="90"/>
                        <w:sz w:val="21"/>
                      </w:rPr>
                      <w:t>10.6</w:t>
                    </w:r>
                  </w:p>
                </w:txbxContent>
              </v:textbox>
              <w10:wrap type="none"/>
            </v:shape>
            <v:shape style="position:absolute;left:7897;top:2614;width:319;height:210" type="#_x0000_t202" filled="false" stroked="false">
              <v:textbox inset="0,0,0,0">
                <w:txbxContent>
                  <w:p>
                    <w:pPr>
                      <w:spacing w:line="209" w:lineRule="exact" w:before="0"/>
                      <w:ind w:left="0" w:right="0" w:firstLine="0"/>
                      <w:jc w:val="left"/>
                      <w:rPr>
                        <w:rFonts w:ascii="宋体"/>
                        <w:sz w:val="21"/>
                      </w:rPr>
                    </w:pPr>
                    <w:r>
                      <w:rPr>
                        <w:rFonts w:ascii="宋体"/>
                        <w:w w:val="90"/>
                        <w:sz w:val="21"/>
                      </w:rPr>
                      <w:t>9.2</w:t>
                    </w:r>
                  </w:p>
                </w:txbxContent>
              </v:textbox>
              <w10:wrap type="none"/>
            </v:shape>
            <v:shape style="position:absolute;left:8409;top:2486;width:220;height:210" type="#_x0000_t202" filled="false" stroked="false">
              <v:textbox inset="0,0,0,0">
                <w:txbxContent>
                  <w:p>
                    <w:pPr>
                      <w:spacing w:line="209" w:lineRule="exact" w:before="0"/>
                      <w:ind w:left="0" w:right="0" w:firstLine="0"/>
                      <w:jc w:val="left"/>
                      <w:rPr>
                        <w:rFonts w:ascii="宋体"/>
                        <w:sz w:val="21"/>
                      </w:rPr>
                    </w:pPr>
                    <w:r>
                      <w:rPr>
                        <w:rFonts w:ascii="宋体"/>
                        <w:w w:val="95"/>
                        <w:sz w:val="21"/>
                      </w:rPr>
                      <w:t>10</w:t>
                    </w:r>
                  </w:p>
                </w:txbxContent>
              </v:textbox>
              <w10:wrap type="none"/>
            </v:shape>
            <v:shape style="position:absolute;left:1820;top:2920;width:220;height:210" type="#_x0000_t202" filled="false" stroked="false">
              <v:textbox inset="0,0,0,0">
                <w:txbxContent>
                  <w:p>
                    <w:pPr>
                      <w:spacing w:line="209" w:lineRule="exact" w:before="0"/>
                      <w:ind w:left="0" w:right="0" w:firstLine="0"/>
                      <w:jc w:val="left"/>
                      <w:rPr>
                        <w:rFonts w:ascii="宋体"/>
                        <w:sz w:val="21"/>
                      </w:rPr>
                    </w:pPr>
                    <w:r>
                      <w:rPr>
                        <w:rFonts w:ascii="宋体"/>
                        <w:w w:val="95"/>
                        <w:sz w:val="21"/>
                      </w:rPr>
                      <w:t>80</w:t>
                    </w:r>
                  </w:p>
                </w:txbxContent>
              </v:textbox>
              <w10:wrap type="none"/>
            </v:shape>
            <v:shape style="position:absolute;left:9249;top:2775;width:1058;height:581" type="#_x0000_t202" filled="false" stroked="false">
              <v:textbox inset="0,0,0,0">
                <w:txbxContent>
                  <w:p>
                    <w:pPr>
                      <w:spacing w:line="209" w:lineRule="exact" w:before="0"/>
                      <w:ind w:left="0" w:right="0" w:firstLine="0"/>
                      <w:jc w:val="left"/>
                      <w:rPr>
                        <w:rFonts w:ascii="宋体" w:eastAsia="宋体" w:hint="eastAsia"/>
                        <w:sz w:val="21"/>
                      </w:rPr>
                    </w:pPr>
                    <w:r>
                      <w:rPr>
                        <w:rFonts w:ascii="宋体" w:eastAsia="宋体" w:hint="eastAsia"/>
                        <w:w w:val="85"/>
                        <w:sz w:val="21"/>
                      </w:rPr>
                      <w:t>GDP（亿元）</w:t>
                    </w:r>
                  </w:p>
                  <w:p>
                    <w:pPr>
                      <w:spacing w:before="96"/>
                      <w:ind w:left="0" w:right="0" w:firstLine="0"/>
                      <w:jc w:val="left"/>
                      <w:rPr>
                        <w:rFonts w:ascii="宋体" w:eastAsia="宋体" w:hint="eastAsia"/>
                        <w:sz w:val="21"/>
                      </w:rPr>
                    </w:pPr>
                    <w:r>
                      <w:rPr>
                        <w:rFonts w:ascii="宋体" w:eastAsia="宋体" w:hint="eastAsia"/>
                        <w:w w:val="85"/>
                        <w:sz w:val="21"/>
                      </w:rPr>
                      <w:t>增速（%）</w:t>
                    </w:r>
                  </w:p>
                </w:txbxContent>
              </v:textbox>
              <w10:wrap type="none"/>
            </v:shape>
            <v:shape style="position:absolute;left:1820;top:3452;width:220;height:210" type="#_x0000_t202" filled="false" stroked="false">
              <v:textbox inset="0,0,0,0">
                <w:txbxContent>
                  <w:p>
                    <w:pPr>
                      <w:spacing w:line="209" w:lineRule="exact" w:before="0"/>
                      <w:ind w:left="0" w:right="0" w:firstLine="0"/>
                      <w:jc w:val="left"/>
                      <w:rPr>
                        <w:rFonts w:ascii="宋体"/>
                        <w:sz w:val="21"/>
                      </w:rPr>
                    </w:pPr>
                    <w:r>
                      <w:rPr>
                        <w:rFonts w:ascii="宋体"/>
                        <w:w w:val="95"/>
                        <w:sz w:val="21"/>
                      </w:rPr>
                      <w:t>60</w:t>
                    </w:r>
                  </w:p>
                </w:txbxContent>
              </v:textbox>
              <w10:wrap type="none"/>
            </v:shape>
            <v:shape style="position:absolute;left:8409;top:3339;width:113;height:210" type="#_x0000_t202" filled="false" stroked="false">
              <v:textbox inset="0,0,0,0">
                <w:txbxContent>
                  <w:p>
                    <w:pPr>
                      <w:spacing w:line="209" w:lineRule="exact" w:before="0"/>
                      <w:ind w:left="0" w:right="0" w:firstLine="0"/>
                      <w:jc w:val="left"/>
                      <w:rPr>
                        <w:rFonts w:ascii="宋体"/>
                        <w:sz w:val="21"/>
                      </w:rPr>
                    </w:pPr>
                    <w:r>
                      <w:rPr>
                        <w:rFonts w:ascii="宋体"/>
                        <w:w w:val="88"/>
                        <w:sz w:val="21"/>
                      </w:rPr>
                      <w:t>5</w:t>
                    </w:r>
                  </w:p>
                </w:txbxContent>
              </v:textbox>
              <w10:wrap type="none"/>
            </v:shape>
            <v:shape style="position:absolute;left:1820;top:3999;width:220;height:210" type="#_x0000_t202" filled="false" stroked="false">
              <v:textbox inset="0,0,0,0">
                <w:txbxContent>
                  <w:p>
                    <w:pPr>
                      <w:spacing w:line="209" w:lineRule="exact" w:before="0"/>
                      <w:ind w:left="0" w:right="0" w:firstLine="0"/>
                      <w:jc w:val="left"/>
                      <w:rPr>
                        <w:rFonts w:ascii="宋体"/>
                        <w:sz w:val="21"/>
                      </w:rPr>
                    </w:pPr>
                    <w:r>
                      <w:rPr>
                        <w:rFonts w:ascii="宋体"/>
                        <w:w w:val="95"/>
                        <w:sz w:val="21"/>
                      </w:rPr>
                      <w:t>40</w:t>
                    </w:r>
                  </w:p>
                </w:txbxContent>
              </v:textbox>
              <w10:wrap type="none"/>
            </v:shape>
            <v:shape style="position:absolute;left:8409;top:4208;width:113;height:210" type="#_x0000_t202" filled="false" stroked="false">
              <v:textbox inset="0,0,0,0">
                <w:txbxContent>
                  <w:p>
                    <w:pPr>
                      <w:spacing w:line="209" w:lineRule="exact" w:before="0"/>
                      <w:ind w:left="0" w:right="0" w:firstLine="0"/>
                      <w:jc w:val="left"/>
                      <w:rPr>
                        <w:rFonts w:ascii="宋体"/>
                        <w:sz w:val="21"/>
                      </w:rPr>
                    </w:pPr>
                    <w:r>
                      <w:rPr>
                        <w:rFonts w:ascii="宋体"/>
                        <w:w w:val="88"/>
                        <w:sz w:val="21"/>
                      </w:rPr>
                      <w:t>0</w:t>
                    </w:r>
                  </w:p>
                </w:txbxContent>
              </v:textbox>
              <w10:wrap type="none"/>
            </v:shape>
            <v:shape style="position:absolute;left:1820;top:4531;width:220;height:210" type="#_x0000_t202" filled="false" stroked="false">
              <v:textbox inset="0,0,0,0">
                <w:txbxContent>
                  <w:p>
                    <w:pPr>
                      <w:spacing w:line="209" w:lineRule="exact" w:before="0"/>
                      <w:ind w:left="0" w:right="0" w:firstLine="0"/>
                      <w:jc w:val="left"/>
                      <w:rPr>
                        <w:rFonts w:ascii="宋体"/>
                        <w:sz w:val="21"/>
                      </w:rPr>
                    </w:pPr>
                    <w:r>
                      <w:rPr>
                        <w:rFonts w:ascii="宋体"/>
                        <w:w w:val="95"/>
                        <w:sz w:val="21"/>
                      </w:rPr>
                      <w:t>20</w:t>
                    </w:r>
                  </w:p>
                </w:txbxContent>
              </v:textbox>
              <w10:wrap type="none"/>
            </v:shape>
            <v:shape style="position:absolute;left:6886;top:4466;width:419;height:210" type="#_x0000_t202" filled="false" stroked="false">
              <v:textbox inset="0,0,0,0">
                <w:txbxContent>
                  <w:p>
                    <w:pPr>
                      <w:spacing w:line="209" w:lineRule="exact" w:before="0"/>
                      <w:ind w:left="0" w:right="0" w:firstLine="0"/>
                      <w:jc w:val="left"/>
                      <w:rPr>
                        <w:rFonts w:ascii="宋体"/>
                        <w:sz w:val="21"/>
                      </w:rPr>
                    </w:pPr>
                    <w:r>
                      <w:rPr>
                        <w:rFonts w:ascii="宋体"/>
                        <w:w w:val="90"/>
                        <w:sz w:val="21"/>
                      </w:rPr>
                      <w:t>-1.5</w:t>
                    </w:r>
                  </w:p>
                </w:txbxContent>
              </v:textbox>
              <w10:wrap type="none"/>
            </v:shape>
            <v:shape style="position:absolute;left:1920;top:5078;width:113;height:210" type="#_x0000_t202" filled="false" stroked="false">
              <v:textbox inset="0,0,0,0">
                <w:txbxContent>
                  <w:p>
                    <w:pPr>
                      <w:spacing w:line="209" w:lineRule="exact" w:before="0"/>
                      <w:ind w:left="0" w:right="0" w:firstLine="0"/>
                      <w:jc w:val="left"/>
                      <w:rPr>
                        <w:rFonts w:ascii="宋体"/>
                        <w:sz w:val="21"/>
                      </w:rPr>
                    </w:pPr>
                    <w:r>
                      <w:rPr>
                        <w:rFonts w:ascii="宋体"/>
                        <w:w w:val="88"/>
                        <w:sz w:val="21"/>
                      </w:rPr>
                      <w:t>0</w:t>
                    </w:r>
                  </w:p>
                </w:txbxContent>
              </v:textbox>
              <w10:wrap type="none"/>
            </v:shape>
            <v:shape style="position:absolute;left:8409;top:5078;width:220;height:210" type="#_x0000_t202" filled="false" stroked="false">
              <v:textbox inset="0,0,0,0">
                <w:txbxContent>
                  <w:p>
                    <w:pPr>
                      <w:spacing w:line="209" w:lineRule="exact" w:before="0"/>
                      <w:ind w:left="0" w:right="0" w:firstLine="0"/>
                      <w:jc w:val="left"/>
                      <w:rPr>
                        <w:rFonts w:ascii="宋体"/>
                        <w:sz w:val="21"/>
                      </w:rPr>
                    </w:pPr>
                    <w:r>
                      <w:rPr>
                        <w:rFonts w:ascii="宋体"/>
                        <w:w w:val="95"/>
                        <w:sz w:val="21"/>
                      </w:rPr>
                      <w:t>-5</w:t>
                    </w:r>
                  </w:p>
                </w:txbxContent>
              </v:textbox>
              <w10:wrap type="none"/>
            </v:shape>
            <v:shape style="position:absolute;left:2475;top:5368;width:5500;height:210" type="#_x0000_t202" filled="false" stroked="false">
              <v:textbox inset="0,0,0,0">
                <w:txbxContent>
                  <w:p>
                    <w:pPr>
                      <w:tabs>
                        <w:tab w:pos="1010" w:val="left" w:leader="none"/>
                        <w:tab w:pos="2035" w:val="left" w:leader="none"/>
                        <w:tab w:pos="3045" w:val="left" w:leader="none"/>
                        <w:tab w:pos="4070" w:val="left" w:leader="none"/>
                        <w:tab w:pos="5080" w:val="left" w:leader="none"/>
                      </w:tabs>
                      <w:spacing w:line="209" w:lineRule="exact" w:before="0"/>
                      <w:ind w:left="0" w:right="0" w:firstLine="0"/>
                      <w:jc w:val="left"/>
                      <w:rPr>
                        <w:rFonts w:ascii="宋体"/>
                        <w:sz w:val="21"/>
                      </w:rPr>
                    </w:pPr>
                    <w:r>
                      <w:rPr>
                        <w:rFonts w:ascii="宋体"/>
                        <w:spacing w:val="3"/>
                        <w:sz w:val="21"/>
                      </w:rPr>
                      <w:t>2010</w:t>
                      <w:tab/>
                      <w:t>2011</w:t>
                      <w:tab/>
                      <w:t>2012</w:t>
                      <w:tab/>
                      <w:t>2013</w:t>
                      <w:tab/>
                      <w:t>2014</w:t>
                      <w:tab/>
                    </w:r>
                    <w:r>
                      <w:rPr>
                        <w:rFonts w:ascii="宋体"/>
                        <w:spacing w:val="5"/>
                        <w:w w:val="90"/>
                        <w:sz w:val="21"/>
                      </w:rPr>
                      <w:t>2015</w:t>
                    </w:r>
                  </w:p>
                </w:txbxContent>
              </v:textbox>
              <w10:wrap type="none"/>
            </v:shape>
            <w10:wrap type="topAndBottom"/>
          </v:group>
        </w:pict>
      </w:r>
    </w:p>
    <w:p>
      <w:pPr>
        <w:spacing w:after="0"/>
        <w:rPr>
          <w:sz w:val="29"/>
        </w:rPr>
        <w:sectPr>
          <w:pgSz w:w="11910" w:h="16840"/>
          <w:pgMar w:header="0" w:footer="998" w:top="1080" w:bottom="1180" w:left="1320" w:right="1260"/>
        </w:sectPr>
      </w:pPr>
    </w:p>
    <w:p>
      <w:pPr>
        <w:spacing w:line="359" w:lineRule="exact" w:before="0"/>
        <w:ind w:left="1358" w:right="0" w:hanging="81"/>
        <w:jc w:val="left"/>
        <w:rPr>
          <w:sz w:val="28"/>
        </w:rPr>
      </w:pPr>
      <w:r>
        <w:rPr>
          <w:sz w:val="28"/>
        </w:rPr>
        <w:t>图 2.五通桥区“十二五”期间地方一般公共预算收入增长图</w:t>
      </w:r>
    </w:p>
    <w:p>
      <w:pPr>
        <w:pStyle w:val="BodyText"/>
        <w:spacing w:before="7"/>
        <w:ind w:left="0"/>
        <w:rPr>
          <w:sz w:val="22"/>
        </w:rPr>
      </w:pPr>
      <w:r>
        <w:rPr/>
        <w:pict>
          <v:group style="position:absolute;margin-left:79.930pt;margin-top:16.701555pt;width:434.65pt;height:245.55pt;mso-position-horizontal-relative:page;mso-position-vertical-relative:paragraph;z-index:2224;mso-wrap-distance-left:0;mso-wrap-distance-right:0" coordorigin="1599,334" coordsize="8693,4911">
            <v:rect style="position:absolute;left:1600;top:336;width:8691;height:4908" filled="true" fillcolor="#92d050" stroked="false">
              <v:fill type="solid"/>
            </v:rect>
            <v:rect style="position:absolute;left:1599;top:335;width:8691;height:4908" filled="false" stroked="true" strokeweight=".06pt" strokecolor="#65659a">
              <v:stroke dashstyle="solid"/>
            </v:rect>
            <v:rect style="position:absolute;left:2517;top:723;width:6219;height:4013" filled="true" fillcolor="#fac090" stroked="false">
              <v:fill type="solid"/>
            </v:rect>
            <v:line style="position:absolute" from="8431,4333" to="8736,4333" stroked="true" strokeweight=".06pt" strokecolor="#7f7f7f">
              <v:stroke dashstyle="solid"/>
            </v:line>
            <v:line style="position:absolute" from="7390,4333" to="8000,4333" stroked="true" strokeweight=".06pt" strokecolor="#7f7f7f">
              <v:stroke dashstyle="solid"/>
            </v:line>
            <v:line style="position:absolute" from="6362,4333" to="6973,4333" stroked="true" strokeweight=".06pt" strokecolor="#7f7f7f">
              <v:stroke dashstyle="solid"/>
            </v:line>
            <v:line style="position:absolute" from="5322,4333" to="5933,4333" stroked="true" strokeweight=".06pt" strokecolor="#7f7f7f">
              <v:stroke dashstyle="solid"/>
            </v:line>
            <v:line style="position:absolute" from="4280,4333" to="4891,4333" stroked="true" strokeweight=".06pt" strokecolor="#7f7f7f">
              <v:stroke dashstyle="solid"/>
            </v:line>
            <v:line style="position:absolute" from="3253,4333" to="3864,4333" stroked="true" strokeweight=".06pt" strokecolor="#7f7f7f">
              <v:stroke dashstyle="solid"/>
            </v:line>
            <v:line style="position:absolute" from="2516,4333" to="2822,4333" stroked="true" strokeweight=".06pt" strokecolor="#7f7f7f">
              <v:stroke dashstyle="solid"/>
            </v:line>
            <v:line style="position:absolute" from="8431,3930" to="8736,3930" stroked="true" strokeweight=".06pt" strokecolor="#7f7f7f">
              <v:stroke dashstyle="solid"/>
            </v:line>
            <v:line style="position:absolute" from="7390,3930" to="8000,3930" stroked="true" strokeweight=".06pt" strokecolor="#7f7f7f">
              <v:stroke dashstyle="solid"/>
            </v:line>
            <v:line style="position:absolute" from="6362,3930" to="6973,3930" stroked="true" strokeweight=".06pt" strokecolor="#7f7f7f">
              <v:stroke dashstyle="solid"/>
            </v:line>
            <v:line style="position:absolute" from="5322,3930" to="5933,3930" stroked="true" strokeweight=".06pt" strokecolor="#7f7f7f">
              <v:stroke dashstyle="solid"/>
            </v:line>
            <v:line style="position:absolute" from="4280,3930" to="4891,3930" stroked="true" strokeweight=".06pt" strokecolor="#7f7f7f">
              <v:stroke dashstyle="solid"/>
            </v:line>
            <v:line style="position:absolute" from="3253,3930" to="3864,3930" stroked="true" strokeweight=".06pt" strokecolor="#7f7f7f">
              <v:stroke dashstyle="solid"/>
            </v:line>
            <v:line style="position:absolute" from="2516,3930" to="2822,3930" stroked="true" strokeweight=".06pt" strokecolor="#7f7f7f">
              <v:stroke dashstyle="solid"/>
            </v:line>
            <v:line style="position:absolute" from="8431,3527" to="8736,3527" stroked="true" strokeweight=".06pt" strokecolor="#7f7f7f">
              <v:stroke dashstyle="solid"/>
            </v:line>
            <v:line style="position:absolute" from="7390,3527" to="8000,3527" stroked="true" strokeweight=".06pt" strokecolor="#7f7f7f">
              <v:stroke dashstyle="solid"/>
            </v:line>
            <v:line style="position:absolute" from="6362,3527" to="6973,3527" stroked="true" strokeweight=".06pt" strokecolor="#7f7f7f">
              <v:stroke dashstyle="solid"/>
            </v:line>
            <v:line style="position:absolute" from="5322,3527" to="5933,3527" stroked="true" strokeweight=".06pt" strokecolor="#7f7f7f">
              <v:stroke dashstyle="solid"/>
            </v:line>
            <v:line style="position:absolute" from="4280,3527" to="4891,3527" stroked="true" strokeweight=".06pt" strokecolor="#7f7f7f">
              <v:stroke dashstyle="solid"/>
            </v:line>
            <v:line style="position:absolute" from="3253,3527" to="3864,3527" stroked="true" strokeweight=".06pt" strokecolor="#7f7f7f">
              <v:stroke dashstyle="solid"/>
            </v:line>
            <v:line style="position:absolute" from="2516,3527" to="2822,3527" stroked="true" strokeweight=".06pt" strokecolor="#7f7f7f">
              <v:stroke dashstyle="solid"/>
            </v:line>
            <v:line style="position:absolute" from="8431,3125" to="8611,3125" stroked="true" strokeweight=".06pt" strokecolor="#7f7f7f">
              <v:stroke dashstyle="solid"/>
            </v:line>
            <v:line style="position:absolute" from="7390,3125" to="8000,3125" stroked="true" strokeweight=".06pt" strokecolor="#7f7f7f">
              <v:stroke dashstyle="solid"/>
            </v:line>
            <v:line style="position:absolute" from="6362,3125" to="6973,3125" stroked="true" strokeweight=".06pt" strokecolor="#7f7f7f">
              <v:stroke dashstyle="solid"/>
            </v:line>
            <v:line style="position:absolute" from="5322,3125" to="5933,3125" stroked="true" strokeweight=".06pt" strokecolor="#7f7f7f">
              <v:stroke dashstyle="solid"/>
            </v:line>
            <v:line style="position:absolute" from="4280,3125" to="4891,3125" stroked="true" strokeweight=".06pt" strokecolor="#7f7f7f">
              <v:stroke dashstyle="solid"/>
            </v:line>
            <v:line style="position:absolute" from="3253,3125" to="3864,3125" stroked="true" strokeweight=".06pt" strokecolor="#7f7f7f">
              <v:stroke dashstyle="solid"/>
            </v:line>
            <v:line style="position:absolute" from="2516,3125" to="2822,3125" stroked="true" strokeweight=".06pt" strokecolor="#7f7f7f">
              <v:stroke dashstyle="solid"/>
            </v:line>
            <v:line style="position:absolute" from="8431,2736" to="8611,2736" stroked="true" strokeweight=".06pt" strokecolor="#7f7f7f">
              <v:stroke dashstyle="solid"/>
            </v:line>
            <v:line style="position:absolute" from="7390,2736" to="8000,2736" stroked="true" strokeweight=".06pt" strokecolor="#7f7f7f">
              <v:stroke dashstyle="solid"/>
            </v:line>
            <v:line style="position:absolute" from="6362,2736" to="6973,2736" stroked="true" strokeweight=".06pt" strokecolor="#7f7f7f">
              <v:stroke dashstyle="solid"/>
            </v:line>
            <v:line style="position:absolute" from="5322,2736" to="5933,2736" stroked="true" strokeweight=".06pt" strokecolor="#7f7f7f">
              <v:stroke dashstyle="solid"/>
            </v:line>
            <v:line style="position:absolute" from="4280,2736" to="4891,2736" stroked="true" strokeweight=".06pt" strokecolor="#7f7f7f">
              <v:stroke dashstyle="solid"/>
            </v:line>
            <v:line style="position:absolute" from="3253,2736" to="3864,2736" stroked="true" strokeweight=".06pt" strokecolor="#7f7f7f">
              <v:stroke dashstyle="solid"/>
            </v:line>
            <v:line style="position:absolute" from="2516,2736" to="2822,2736" stroked="true" strokeweight=".06pt" strokecolor="#7f7f7f">
              <v:stroke dashstyle="solid"/>
            </v:line>
            <v:line style="position:absolute" from="8431,2334" to="8736,2334" stroked="true" strokeweight=".06pt" strokecolor="#7f7f7f">
              <v:stroke dashstyle="solid"/>
            </v:line>
            <v:line style="position:absolute" from="7390,2334" to="8000,2334" stroked="true" strokeweight=".06pt" strokecolor="#7f7f7f">
              <v:stroke dashstyle="solid"/>
            </v:line>
            <v:line style="position:absolute" from="6362,2334" to="6973,2334" stroked="true" strokeweight=".06pt" strokecolor="#7f7f7f">
              <v:stroke dashstyle="solid"/>
            </v:line>
            <v:line style="position:absolute" from="5322,2334" to="5933,2334" stroked="true" strokeweight=".06pt" strokecolor="#7f7f7f">
              <v:stroke dashstyle="solid"/>
            </v:line>
            <v:line style="position:absolute" from="4280,2334" to="4891,2334" stroked="true" strokeweight=".06pt" strokecolor="#7f7f7f">
              <v:stroke dashstyle="solid"/>
            </v:line>
            <v:line style="position:absolute" from="2516,2334" to="3864,2334" stroked="true" strokeweight=".06pt" strokecolor="#7f7f7f">
              <v:stroke dashstyle="solid"/>
            </v:line>
            <v:line style="position:absolute" from="8431,1931" to="8736,1931" stroked="true" strokeweight=".06pt" strokecolor="#7f7f7f">
              <v:stroke dashstyle="solid"/>
            </v:line>
            <v:line style="position:absolute" from="6362,1931" to="8000,1931" stroked="true" strokeweight=".06pt" strokecolor="#7f7f7f">
              <v:stroke dashstyle="solid"/>
            </v:line>
            <v:line style="position:absolute" from="5322,1931" to="5933,1931" stroked="true" strokeweight=".06pt" strokecolor="#7f7f7f">
              <v:stroke dashstyle="solid"/>
            </v:line>
            <v:line style="position:absolute" from="2516,1931" to="4891,1931" stroked="true" strokeweight=".06pt" strokecolor="#7f7f7f">
              <v:stroke dashstyle="solid"/>
            </v:line>
            <v:line style="position:absolute" from="6362,1528" to="8736,1528" stroked="true" strokeweight=".06pt" strokecolor="#7f7f7f">
              <v:stroke dashstyle="solid"/>
            </v:line>
            <v:line style="position:absolute" from="5322,1528" to="5933,1528" stroked="true" strokeweight=".06pt" strokecolor="#7f7f7f">
              <v:stroke dashstyle="solid"/>
            </v:line>
            <v:line style="position:absolute" from="2516,1528" to="4891,1528" stroked="true" strokeweight=".06pt" strokecolor="#7f7f7f">
              <v:stroke dashstyle="solid"/>
            </v:line>
            <v:line style="position:absolute" from="6362,1126" to="8736,1126" stroked="true" strokeweight=".06pt" strokecolor="#7f7f7f">
              <v:stroke dashstyle="solid"/>
            </v:line>
            <v:line style="position:absolute" from="2516,1126" to="5933,1126" stroked="true" strokeweight=".06pt" strokecolor="#7f7f7f">
              <v:stroke dashstyle="solid"/>
            </v:line>
            <v:line style="position:absolute" from="2516,723" to="8736,723" stroked="true" strokeweight=".06pt" strokecolor="#7f7f7f">
              <v:stroke dashstyle="solid"/>
            </v:line>
            <v:rect style="position:absolute;left:2822;top:2648;width:431;height:2088" filled="true" fillcolor="#c00000" stroked="false">
              <v:fill type="solid"/>
            </v:rect>
            <v:rect style="position:absolute;left:3864;top:1962;width:417;height:2775" filled="true" fillcolor="#c00000" stroked="false">
              <v:fill type="solid"/>
            </v:rect>
            <v:rect style="position:absolute;left:4891;top:1215;width:431;height:3521" filled="true" fillcolor="#c00000" stroked="false">
              <v:fill type="solid"/>
            </v:rect>
            <v:rect style="position:absolute;left:5932;top:962;width:430;height:3774" filled="true" fillcolor="#c00000" stroked="false">
              <v:fill type="solid"/>
            </v:rect>
            <v:rect style="position:absolute;left:6973;top:2036;width:417;height:2700" filled="true" fillcolor="#c00000" stroked="false">
              <v:fill type="solid"/>
            </v:rect>
            <v:rect style="position:absolute;left:8000;top:1783;width:431;height:2954" filled="true" fillcolor="#c00000" stroked="false">
              <v:fill type="solid"/>
            </v:rect>
            <v:line style="position:absolute" from="2516,723" to="2516,4737" stroked="true" strokeweight=".06pt" strokecolor="#7f7f7f">
              <v:stroke dashstyle="solid"/>
            </v:line>
            <v:line style="position:absolute" from="2461,4737" to="2516,4737" stroked="true" strokeweight=".06pt" strokecolor="#7f7f7f">
              <v:stroke dashstyle="solid"/>
            </v:line>
            <v:line style="position:absolute" from="2461,4333" to="2516,4333" stroked="true" strokeweight=".06pt" strokecolor="#7f7f7f">
              <v:stroke dashstyle="solid"/>
            </v:line>
            <v:line style="position:absolute" from="2461,3930" to="2516,3930" stroked="true" strokeweight=".06pt" strokecolor="#7f7f7f">
              <v:stroke dashstyle="solid"/>
            </v:line>
            <v:line style="position:absolute" from="2461,3527" to="2516,3527" stroked="true" strokeweight=".06pt" strokecolor="#7f7f7f">
              <v:stroke dashstyle="solid"/>
            </v:line>
            <v:line style="position:absolute" from="2461,3125" to="2516,3125" stroked="true" strokeweight=".06pt" strokecolor="#7f7f7f">
              <v:stroke dashstyle="solid"/>
            </v:line>
            <v:line style="position:absolute" from="2461,2736" to="2516,2736" stroked="true" strokeweight=".06pt" strokecolor="#7f7f7f">
              <v:stroke dashstyle="solid"/>
            </v:line>
            <v:line style="position:absolute" from="2461,2334" to="2516,2334" stroked="true" strokeweight=".06pt" strokecolor="#7f7f7f">
              <v:stroke dashstyle="solid"/>
            </v:line>
            <v:line style="position:absolute" from="2461,1931" to="2516,1931" stroked="true" strokeweight=".06pt" strokecolor="#7f7f7f">
              <v:stroke dashstyle="solid"/>
            </v:line>
            <v:line style="position:absolute" from="2461,1528" to="2516,1528" stroked="true" strokeweight=".06pt" strokecolor="#7f7f7f">
              <v:stroke dashstyle="solid"/>
            </v:line>
            <v:line style="position:absolute" from="2461,1126" to="2516,1126" stroked="true" strokeweight=".06pt" strokecolor="#7f7f7f">
              <v:stroke dashstyle="solid"/>
            </v:line>
            <v:line style="position:absolute" from="2461,723" to="2516,723" stroked="true" strokeweight=".06pt" strokecolor="#7f7f7f">
              <v:stroke dashstyle="solid"/>
            </v:line>
            <v:line style="position:absolute" from="2516,4737" to="8736,4737" stroked="true" strokeweight=".06pt" strokecolor="#7f7f7f">
              <v:stroke dashstyle="solid"/>
            </v:line>
            <v:line style="position:absolute" from="2516,4795" to="2516,4737" stroked="true" strokeweight=".06pt" strokecolor="#7f7f7f">
              <v:stroke dashstyle="solid"/>
            </v:line>
            <v:line style="position:absolute" from="3558,4795" to="3558,4737" stroked="true" strokeweight=".06pt" strokecolor="#7f7f7f">
              <v:stroke dashstyle="solid"/>
            </v:line>
            <v:line style="position:absolute" from="4585,4795" to="4585,4737" stroked="true" strokeweight=".06pt" strokecolor="#7f7f7f">
              <v:stroke dashstyle="solid"/>
            </v:line>
            <v:line style="position:absolute" from="5626,4795" to="5626,4737" stroked="true" strokeweight=".06pt" strokecolor="#7f7f7f">
              <v:stroke dashstyle="solid"/>
            </v:line>
            <v:line style="position:absolute" from="6667,4795" to="6667,4737" stroked="true" strokeweight=".06pt" strokecolor="#7f7f7f">
              <v:stroke dashstyle="solid"/>
            </v:line>
            <v:line style="position:absolute" from="7694,4795" to="7694,4737" stroked="true" strokeweight=".06pt" strokecolor="#7f7f7f">
              <v:stroke dashstyle="solid"/>
            </v:line>
            <v:line style="position:absolute" from="8736,4795" to="8736,4737" stroked="true" strokeweight=".06pt" strokecolor="#7f7f7f">
              <v:stroke dashstyle="solid"/>
            </v:line>
            <v:line style="position:absolute" from="8771,2797" to="8771,2902" stroked="true" strokeweight="4.860pt" strokecolor="#c00000">
              <v:stroke dashstyle="solid"/>
            </v:line>
            <v:rect style="position:absolute;left:1599;top:335;width:8691;height:4908" filled="false" stroked="true" strokeweight=".06pt" strokecolor="#65659a">
              <v:stroke dashstyle="solid"/>
            </v:rect>
            <v:shape style="position:absolute;left:1892;top:633;width:506;height:194" type="#_x0000_t202" filled="false" stroked="false">
              <v:textbox inset="0,0,0,0">
                <w:txbxContent>
                  <w:p>
                    <w:pPr>
                      <w:spacing w:line="193" w:lineRule="exact" w:before="0"/>
                      <w:ind w:left="0" w:right="0" w:firstLine="0"/>
                      <w:jc w:val="left"/>
                      <w:rPr>
                        <w:rFonts w:ascii="宋体"/>
                        <w:sz w:val="19"/>
                      </w:rPr>
                    </w:pPr>
                    <w:r>
                      <w:rPr>
                        <w:rFonts w:ascii="宋体"/>
                        <w:w w:val="95"/>
                        <w:sz w:val="19"/>
                      </w:rPr>
                      <w:t>50000</w:t>
                    </w:r>
                  </w:p>
                </w:txbxContent>
              </v:textbox>
              <w10:wrap type="none"/>
            </v:shape>
            <v:shape style="position:absolute;left:5903;top:693;width:506;height:194" type="#_x0000_t202" filled="false" stroked="false">
              <v:textbox inset="0,0,0,0">
                <w:txbxContent>
                  <w:p>
                    <w:pPr>
                      <w:spacing w:line="193" w:lineRule="exact" w:before="0"/>
                      <w:ind w:left="0" w:right="0" w:firstLine="0"/>
                      <w:jc w:val="left"/>
                      <w:rPr>
                        <w:rFonts w:ascii="宋体"/>
                        <w:sz w:val="19"/>
                      </w:rPr>
                    </w:pPr>
                    <w:r>
                      <w:rPr>
                        <w:rFonts w:ascii="宋体"/>
                        <w:w w:val="95"/>
                        <w:sz w:val="19"/>
                      </w:rPr>
                      <w:t>47099</w:t>
                    </w:r>
                  </w:p>
                </w:txbxContent>
              </v:textbox>
              <w10:wrap type="none"/>
            </v:shape>
            <v:shape style="position:absolute;left:1892;top:1037;width:506;height:194" type="#_x0000_t202" filled="false" stroked="false">
              <v:textbox inset="0,0,0,0">
                <w:txbxContent>
                  <w:p>
                    <w:pPr>
                      <w:spacing w:line="193" w:lineRule="exact" w:before="0"/>
                      <w:ind w:left="0" w:right="0" w:firstLine="0"/>
                      <w:jc w:val="left"/>
                      <w:rPr>
                        <w:rFonts w:ascii="宋体"/>
                        <w:sz w:val="19"/>
                      </w:rPr>
                    </w:pPr>
                    <w:r>
                      <w:rPr>
                        <w:rFonts w:ascii="宋体"/>
                        <w:w w:val="95"/>
                        <w:sz w:val="19"/>
                      </w:rPr>
                      <w:t>45000</w:t>
                    </w:r>
                  </w:p>
                </w:txbxContent>
              </v:textbox>
              <w10:wrap type="none"/>
            </v:shape>
            <v:shape style="position:absolute;left:4862;top:947;width:506;height:194" type="#_x0000_t202" filled="false" stroked="false">
              <v:textbox inset="0,0,0,0">
                <w:txbxContent>
                  <w:p>
                    <w:pPr>
                      <w:spacing w:line="193" w:lineRule="exact" w:before="0"/>
                      <w:ind w:left="0" w:right="0" w:firstLine="0"/>
                      <w:jc w:val="left"/>
                      <w:rPr>
                        <w:rFonts w:ascii="宋体"/>
                        <w:sz w:val="19"/>
                      </w:rPr>
                    </w:pPr>
                    <w:r>
                      <w:rPr>
                        <w:rFonts w:ascii="宋体"/>
                        <w:w w:val="95"/>
                        <w:sz w:val="19"/>
                      </w:rPr>
                      <w:t>43926</w:t>
                    </w:r>
                  </w:p>
                </w:txbxContent>
              </v:textbox>
              <w10:wrap type="none"/>
            </v:shape>
            <v:shape style="position:absolute;left:1892;top:1439;width:506;height:194" type="#_x0000_t202" filled="false" stroked="false">
              <v:textbox inset="0,0,0,0">
                <w:txbxContent>
                  <w:p>
                    <w:pPr>
                      <w:spacing w:line="193" w:lineRule="exact" w:before="0"/>
                      <w:ind w:left="0" w:right="0" w:firstLine="0"/>
                      <w:jc w:val="left"/>
                      <w:rPr>
                        <w:rFonts w:ascii="宋体"/>
                        <w:sz w:val="19"/>
                      </w:rPr>
                    </w:pPr>
                    <w:r>
                      <w:rPr>
                        <w:rFonts w:ascii="宋体"/>
                        <w:w w:val="95"/>
                        <w:sz w:val="19"/>
                      </w:rPr>
                      <w:t>40000</w:t>
                    </w:r>
                  </w:p>
                </w:txbxContent>
              </v:textbox>
              <w10:wrap type="none"/>
            </v:shape>
            <v:shape style="position:absolute;left:7972;top:1513;width:506;height:194" type="#_x0000_t202" filled="false" stroked="false">
              <v:textbox inset="0,0,0,0">
                <w:txbxContent>
                  <w:p>
                    <w:pPr>
                      <w:spacing w:line="193" w:lineRule="exact" w:before="0"/>
                      <w:ind w:left="0" w:right="0" w:firstLine="0"/>
                      <w:jc w:val="left"/>
                      <w:rPr>
                        <w:rFonts w:ascii="宋体"/>
                        <w:sz w:val="19"/>
                      </w:rPr>
                    </w:pPr>
                    <w:r>
                      <w:rPr>
                        <w:rFonts w:ascii="宋体"/>
                        <w:w w:val="95"/>
                        <w:sz w:val="19"/>
                      </w:rPr>
                      <w:t>36726</w:t>
                    </w:r>
                  </w:p>
                </w:txbxContent>
              </v:textbox>
              <w10:wrap type="none"/>
            </v:shape>
            <v:shape style="position:absolute;left:1892;top:1842;width:506;height:194" type="#_x0000_t202" filled="false" stroked="false">
              <v:textbox inset="0,0,0,0">
                <w:txbxContent>
                  <w:p>
                    <w:pPr>
                      <w:spacing w:line="193" w:lineRule="exact" w:before="0"/>
                      <w:ind w:left="0" w:right="0" w:firstLine="0"/>
                      <w:jc w:val="left"/>
                      <w:rPr>
                        <w:rFonts w:ascii="宋体"/>
                        <w:sz w:val="19"/>
                      </w:rPr>
                    </w:pPr>
                    <w:r>
                      <w:rPr>
                        <w:rFonts w:ascii="宋体"/>
                        <w:w w:val="95"/>
                        <w:sz w:val="19"/>
                      </w:rPr>
                      <w:t>35000</w:t>
                    </w:r>
                  </w:p>
                </w:txbxContent>
              </v:textbox>
              <w10:wrap type="none"/>
            </v:shape>
            <v:shape style="position:absolute;left:3835;top:1693;width:506;height:194" type="#_x0000_t202" filled="false" stroked="false">
              <v:textbox inset="0,0,0,0">
                <w:txbxContent>
                  <w:p>
                    <w:pPr>
                      <w:spacing w:line="193" w:lineRule="exact" w:before="0"/>
                      <w:ind w:left="0" w:right="0" w:firstLine="0"/>
                      <w:jc w:val="left"/>
                      <w:rPr>
                        <w:rFonts w:ascii="宋体"/>
                        <w:sz w:val="19"/>
                      </w:rPr>
                    </w:pPr>
                    <w:r>
                      <w:rPr>
                        <w:rFonts w:ascii="宋体"/>
                        <w:w w:val="95"/>
                        <w:sz w:val="19"/>
                      </w:rPr>
                      <w:t>34528</w:t>
                    </w:r>
                  </w:p>
                </w:txbxContent>
              </v:textbox>
              <w10:wrap type="none"/>
            </v:shape>
            <v:shape style="position:absolute;left:6945;top:1767;width:506;height:194" type="#_x0000_t202" filled="false" stroked="false">
              <v:textbox inset="0,0,0,0">
                <w:txbxContent>
                  <w:p>
                    <w:pPr>
                      <w:spacing w:line="193" w:lineRule="exact" w:before="0"/>
                      <w:ind w:left="0" w:right="0" w:firstLine="0"/>
                      <w:jc w:val="left"/>
                      <w:rPr>
                        <w:rFonts w:ascii="宋体"/>
                        <w:sz w:val="19"/>
                      </w:rPr>
                    </w:pPr>
                    <w:r>
                      <w:rPr>
                        <w:rFonts w:ascii="宋体"/>
                        <w:w w:val="95"/>
                        <w:sz w:val="19"/>
                      </w:rPr>
                      <w:t>33665</w:t>
                    </w:r>
                  </w:p>
                </w:txbxContent>
              </v:textbox>
              <w10:wrap type="none"/>
            </v:shape>
            <v:shape style="position:absolute;left:1892;top:2245;width:506;height:194" type="#_x0000_t202" filled="false" stroked="false">
              <v:textbox inset="0,0,0,0">
                <w:txbxContent>
                  <w:p>
                    <w:pPr>
                      <w:spacing w:line="193" w:lineRule="exact" w:before="0"/>
                      <w:ind w:left="0" w:right="0" w:firstLine="0"/>
                      <w:jc w:val="left"/>
                      <w:rPr>
                        <w:rFonts w:ascii="宋体"/>
                        <w:sz w:val="19"/>
                      </w:rPr>
                    </w:pPr>
                    <w:r>
                      <w:rPr>
                        <w:rFonts w:ascii="宋体"/>
                        <w:w w:val="95"/>
                        <w:sz w:val="19"/>
                      </w:rPr>
                      <w:t>30000</w:t>
                    </w:r>
                  </w:p>
                </w:txbxContent>
              </v:textbox>
              <w10:wrap type="none"/>
            </v:shape>
            <v:shape style="position:absolute;left:2794;top:2379;width:506;height:194" type="#_x0000_t202" filled="false" stroked="false">
              <v:textbox inset="0,0,0,0">
                <w:txbxContent>
                  <w:p>
                    <w:pPr>
                      <w:spacing w:line="193" w:lineRule="exact" w:before="0"/>
                      <w:ind w:left="0" w:right="0" w:firstLine="0"/>
                      <w:jc w:val="left"/>
                      <w:rPr>
                        <w:rFonts w:ascii="宋体"/>
                        <w:sz w:val="19"/>
                      </w:rPr>
                    </w:pPr>
                    <w:r>
                      <w:rPr>
                        <w:rFonts w:ascii="宋体"/>
                        <w:w w:val="95"/>
                        <w:sz w:val="19"/>
                      </w:rPr>
                      <w:t>25976</w:t>
                    </w:r>
                  </w:p>
                </w:txbxContent>
              </v:textbox>
              <w10:wrap type="none"/>
            </v:shape>
            <v:shape style="position:absolute;left:1892;top:2647;width:506;height:583" type="#_x0000_t202" filled="false" stroked="false">
              <v:textbox inset="0,0,0,0">
                <w:txbxContent>
                  <w:p>
                    <w:pPr>
                      <w:spacing w:line="193" w:lineRule="exact" w:before="0"/>
                      <w:ind w:left="0" w:right="0" w:firstLine="0"/>
                      <w:jc w:val="left"/>
                      <w:rPr>
                        <w:rFonts w:ascii="宋体"/>
                        <w:sz w:val="19"/>
                      </w:rPr>
                    </w:pPr>
                    <w:r>
                      <w:rPr>
                        <w:rFonts w:ascii="宋体"/>
                        <w:w w:val="95"/>
                        <w:sz w:val="19"/>
                      </w:rPr>
                      <w:t>25000</w:t>
                    </w:r>
                  </w:p>
                  <w:p>
                    <w:pPr>
                      <w:spacing w:before="140"/>
                      <w:ind w:left="0" w:right="0" w:firstLine="0"/>
                      <w:jc w:val="left"/>
                      <w:rPr>
                        <w:rFonts w:ascii="宋体"/>
                        <w:sz w:val="19"/>
                      </w:rPr>
                    </w:pPr>
                    <w:r>
                      <w:rPr>
                        <w:rFonts w:ascii="宋体"/>
                        <w:w w:val="95"/>
                        <w:sz w:val="19"/>
                      </w:rPr>
                      <w:t>20000</w:t>
                    </w:r>
                  </w:p>
                </w:txbxContent>
              </v:textbox>
              <w10:wrap type="none"/>
            </v:shape>
            <v:shape style="position:absolute;left:8875;top:2751;width:1283;height:419" type="#_x0000_t202" filled="false" stroked="false">
              <v:textbox inset="0,0,0,0">
                <w:txbxContent>
                  <w:p>
                    <w:pPr>
                      <w:spacing w:line="181" w:lineRule="exact" w:before="0"/>
                      <w:ind w:left="0" w:right="0" w:firstLine="0"/>
                      <w:jc w:val="left"/>
                      <w:rPr>
                        <w:rFonts w:ascii="宋体" w:eastAsia="宋体" w:hint="eastAsia"/>
                        <w:sz w:val="19"/>
                      </w:rPr>
                    </w:pPr>
                    <w:r>
                      <w:rPr>
                        <w:rFonts w:ascii="宋体" w:eastAsia="宋体" w:hint="eastAsia"/>
                        <w:w w:val="90"/>
                        <w:sz w:val="19"/>
                      </w:rPr>
                      <w:t>地方一般公共预</w:t>
                    </w:r>
                  </w:p>
                  <w:p>
                    <w:pPr>
                      <w:spacing w:line="237" w:lineRule="exact" w:before="0"/>
                      <w:ind w:left="0" w:right="0" w:firstLine="0"/>
                      <w:jc w:val="left"/>
                      <w:rPr>
                        <w:rFonts w:ascii="宋体" w:eastAsia="宋体" w:hint="eastAsia"/>
                        <w:sz w:val="19"/>
                      </w:rPr>
                    </w:pPr>
                    <w:r>
                      <w:rPr>
                        <w:rFonts w:ascii="宋体" w:eastAsia="宋体" w:hint="eastAsia"/>
                        <w:w w:val="90"/>
                        <w:sz w:val="19"/>
                      </w:rPr>
                      <w:t>算收入（万元）</w:t>
                    </w:r>
                  </w:p>
                </w:txbxContent>
              </v:textbox>
              <w10:wrap type="none"/>
            </v:shape>
            <v:shape style="position:absolute;left:1892;top:3438;width:506;height:1403" type="#_x0000_t202" filled="false" stroked="false">
              <v:textbox inset="0,0,0,0">
                <w:txbxContent>
                  <w:p>
                    <w:pPr>
                      <w:spacing w:line="193" w:lineRule="exact" w:before="0"/>
                      <w:ind w:left="0" w:right="0" w:firstLine="0"/>
                      <w:jc w:val="left"/>
                      <w:rPr>
                        <w:rFonts w:ascii="宋体"/>
                        <w:sz w:val="19"/>
                      </w:rPr>
                    </w:pPr>
                    <w:r>
                      <w:rPr>
                        <w:rFonts w:ascii="宋体"/>
                        <w:w w:val="95"/>
                        <w:sz w:val="19"/>
                      </w:rPr>
                      <w:t>15000</w:t>
                    </w:r>
                  </w:p>
                  <w:p>
                    <w:pPr>
                      <w:spacing w:before="154"/>
                      <w:ind w:left="0" w:right="0" w:firstLine="0"/>
                      <w:jc w:val="left"/>
                      <w:rPr>
                        <w:rFonts w:ascii="宋体"/>
                        <w:sz w:val="19"/>
                      </w:rPr>
                    </w:pPr>
                    <w:r>
                      <w:rPr>
                        <w:rFonts w:ascii="宋体"/>
                        <w:w w:val="95"/>
                        <w:sz w:val="19"/>
                      </w:rPr>
                      <w:t>10000</w:t>
                    </w:r>
                  </w:p>
                  <w:p>
                    <w:pPr>
                      <w:spacing w:before="154"/>
                      <w:ind w:left="97" w:right="0" w:firstLine="0"/>
                      <w:jc w:val="left"/>
                      <w:rPr>
                        <w:rFonts w:ascii="宋体"/>
                        <w:sz w:val="19"/>
                      </w:rPr>
                    </w:pPr>
                    <w:r>
                      <w:rPr>
                        <w:rFonts w:ascii="宋体"/>
                        <w:w w:val="95"/>
                        <w:sz w:val="19"/>
                      </w:rPr>
                      <w:t>5000</w:t>
                    </w:r>
                  </w:p>
                  <w:p>
                    <w:pPr>
                      <w:spacing w:before="153"/>
                      <w:ind w:left="0" w:right="24" w:firstLine="0"/>
                      <w:jc w:val="right"/>
                      <w:rPr>
                        <w:rFonts w:ascii="宋体"/>
                        <w:sz w:val="19"/>
                      </w:rPr>
                    </w:pPr>
                    <w:r>
                      <w:rPr>
                        <w:rFonts w:ascii="宋体"/>
                        <w:w w:val="94"/>
                        <w:sz w:val="19"/>
                      </w:rPr>
                      <w:t>0</w:t>
                    </w:r>
                  </w:p>
                </w:txbxContent>
              </v:textbox>
              <w10:wrap type="none"/>
            </v:shape>
            <v:shape style="position:absolute;left:2835;top:4915;width:409;height:194" type="#_x0000_t202" filled="false" stroked="false">
              <v:textbox inset="0,0,0,0">
                <w:txbxContent>
                  <w:p>
                    <w:pPr>
                      <w:spacing w:line="193" w:lineRule="exact" w:before="0"/>
                      <w:ind w:left="0" w:right="0" w:firstLine="0"/>
                      <w:jc w:val="left"/>
                      <w:rPr>
                        <w:rFonts w:ascii="宋体"/>
                        <w:sz w:val="19"/>
                      </w:rPr>
                    </w:pPr>
                    <w:r>
                      <w:rPr>
                        <w:rFonts w:ascii="宋体"/>
                        <w:w w:val="95"/>
                        <w:sz w:val="19"/>
                      </w:rPr>
                      <w:t>2010</w:t>
                    </w:r>
                  </w:p>
                </w:txbxContent>
              </v:textbox>
              <w10:wrap type="none"/>
            </v:shape>
            <v:shape style="position:absolute;left:3877;top:4915;width:409;height:194" type="#_x0000_t202" filled="false" stroked="false">
              <v:textbox inset="0,0,0,0">
                <w:txbxContent>
                  <w:p>
                    <w:pPr>
                      <w:spacing w:line="193" w:lineRule="exact" w:before="0"/>
                      <w:ind w:left="0" w:right="0" w:firstLine="0"/>
                      <w:jc w:val="left"/>
                      <w:rPr>
                        <w:rFonts w:ascii="宋体"/>
                        <w:sz w:val="19"/>
                      </w:rPr>
                    </w:pPr>
                    <w:r>
                      <w:rPr>
                        <w:rFonts w:ascii="宋体"/>
                        <w:w w:val="95"/>
                        <w:sz w:val="19"/>
                      </w:rPr>
                      <w:t>2011</w:t>
                    </w:r>
                  </w:p>
                </w:txbxContent>
              </v:textbox>
              <w10:wrap type="none"/>
            </v:shape>
            <v:shape style="position:absolute;left:4918;top:4915;width:409;height:194" type="#_x0000_t202" filled="false" stroked="false">
              <v:textbox inset="0,0,0,0">
                <w:txbxContent>
                  <w:p>
                    <w:pPr>
                      <w:spacing w:line="193" w:lineRule="exact" w:before="0"/>
                      <w:ind w:left="0" w:right="0" w:firstLine="0"/>
                      <w:jc w:val="left"/>
                      <w:rPr>
                        <w:rFonts w:ascii="宋体"/>
                        <w:sz w:val="19"/>
                      </w:rPr>
                    </w:pPr>
                    <w:r>
                      <w:rPr>
                        <w:rFonts w:ascii="宋体"/>
                        <w:w w:val="95"/>
                        <w:sz w:val="19"/>
                      </w:rPr>
                      <w:t>2012</w:t>
                    </w:r>
                  </w:p>
                </w:txbxContent>
              </v:textbox>
              <w10:wrap type="none"/>
            </v:shape>
            <v:shape style="position:absolute;left:5945;top:4915;width:409;height:194" type="#_x0000_t202" filled="false" stroked="false">
              <v:textbox inset="0,0,0,0">
                <w:txbxContent>
                  <w:p>
                    <w:pPr>
                      <w:spacing w:line="193" w:lineRule="exact" w:before="0"/>
                      <w:ind w:left="0" w:right="0" w:firstLine="0"/>
                      <w:jc w:val="left"/>
                      <w:rPr>
                        <w:rFonts w:ascii="宋体"/>
                        <w:sz w:val="19"/>
                      </w:rPr>
                    </w:pPr>
                    <w:r>
                      <w:rPr>
                        <w:rFonts w:ascii="宋体"/>
                        <w:w w:val="95"/>
                        <w:sz w:val="19"/>
                      </w:rPr>
                      <w:t>2013</w:t>
                    </w:r>
                  </w:p>
                </w:txbxContent>
              </v:textbox>
              <w10:wrap type="none"/>
            </v:shape>
            <v:shape style="position:absolute;left:6986;top:4915;width:409;height:194" type="#_x0000_t202" filled="false" stroked="false">
              <v:textbox inset="0,0,0,0">
                <w:txbxContent>
                  <w:p>
                    <w:pPr>
                      <w:spacing w:line="193" w:lineRule="exact" w:before="0"/>
                      <w:ind w:left="0" w:right="0" w:firstLine="0"/>
                      <w:jc w:val="left"/>
                      <w:rPr>
                        <w:rFonts w:ascii="宋体"/>
                        <w:sz w:val="19"/>
                      </w:rPr>
                    </w:pPr>
                    <w:r>
                      <w:rPr>
                        <w:rFonts w:ascii="宋体"/>
                        <w:w w:val="95"/>
                        <w:sz w:val="19"/>
                      </w:rPr>
                      <w:t>2014</w:t>
                    </w:r>
                  </w:p>
                </w:txbxContent>
              </v:textbox>
              <w10:wrap type="none"/>
            </v:shape>
            <v:shape style="position:absolute;left:8027;top:4915;width:409;height:194" type="#_x0000_t202" filled="false" stroked="false">
              <v:textbox inset="0,0,0,0">
                <w:txbxContent>
                  <w:p>
                    <w:pPr>
                      <w:spacing w:line="193" w:lineRule="exact" w:before="0"/>
                      <w:ind w:left="0" w:right="0" w:firstLine="0"/>
                      <w:jc w:val="left"/>
                      <w:rPr>
                        <w:rFonts w:ascii="宋体"/>
                        <w:sz w:val="19"/>
                      </w:rPr>
                    </w:pPr>
                    <w:r>
                      <w:rPr>
                        <w:rFonts w:ascii="宋体"/>
                        <w:w w:val="95"/>
                        <w:sz w:val="19"/>
                      </w:rPr>
                      <w:t>2015</w:t>
                    </w:r>
                  </w:p>
                </w:txbxContent>
              </v:textbox>
              <w10:wrap type="none"/>
            </v:shape>
            <w10:wrap type="topAndBottom"/>
          </v:group>
        </w:pict>
      </w:r>
    </w:p>
    <w:p>
      <w:pPr>
        <w:pStyle w:val="BodyText"/>
        <w:ind w:left="0"/>
        <w:rPr>
          <w:sz w:val="28"/>
        </w:rPr>
      </w:pPr>
    </w:p>
    <w:p>
      <w:pPr>
        <w:pStyle w:val="BodyText"/>
        <w:ind w:left="0"/>
        <w:rPr>
          <w:sz w:val="28"/>
        </w:rPr>
      </w:pPr>
    </w:p>
    <w:p>
      <w:pPr>
        <w:pStyle w:val="BodyText"/>
        <w:ind w:left="0"/>
        <w:rPr>
          <w:sz w:val="28"/>
        </w:rPr>
      </w:pPr>
    </w:p>
    <w:p>
      <w:pPr>
        <w:pStyle w:val="BodyText"/>
        <w:spacing w:before="3"/>
        <w:ind w:left="0"/>
        <w:rPr>
          <w:sz w:val="35"/>
        </w:rPr>
      </w:pPr>
    </w:p>
    <w:p>
      <w:pPr>
        <w:spacing w:before="0"/>
        <w:ind w:left="1358" w:right="0" w:firstLine="0"/>
        <w:jc w:val="left"/>
        <w:rPr>
          <w:sz w:val="28"/>
        </w:rPr>
      </w:pPr>
      <w:r>
        <w:rPr>
          <w:sz w:val="28"/>
        </w:rPr>
        <w:t>图 3.五通桥区“十二五”期间固定资产投资增长图</w:t>
      </w:r>
    </w:p>
    <w:p>
      <w:pPr>
        <w:pStyle w:val="BodyText"/>
        <w:spacing w:before="6"/>
        <w:ind w:left="0"/>
        <w:rPr>
          <w:sz w:val="21"/>
        </w:rPr>
      </w:pPr>
      <w:r>
        <w:rPr/>
        <w:pict>
          <v:group style="position:absolute;margin-left:79.930pt;margin-top:16.034752pt;width:434.65pt;height:273.8pt;mso-position-horizontal-relative:page;mso-position-vertical-relative:paragraph;z-index:2752;mso-wrap-distance-left:0;mso-wrap-distance-right:0" coordorigin="1599,321" coordsize="8693,5476">
            <v:rect style="position:absolute;left:1600;top:322;width:8691;height:5474" filled="true" fillcolor="#92d050" stroked="false">
              <v:fill type="solid"/>
            </v:rect>
            <v:rect style="position:absolute;left:1599;top:321;width:8691;height:5474" filled="false" stroked="true" strokeweight=".06pt" strokecolor="#65659a">
              <v:stroke dashstyle="solid"/>
            </v:rect>
            <v:rect style="position:absolute;left:2170;top:754;width:6914;height:4476" filled="true" fillcolor="#fac090" stroked="false">
              <v:fill type="solid"/>
            </v:rect>
            <v:line style="position:absolute" from="8736,4597" to="9083,4597" stroked="true" strokeweight=".06pt" strokecolor="#7f7f7f">
              <v:stroke dashstyle="solid"/>
            </v:line>
            <v:line style="position:absolute" from="7584,4597" to="8279,4597" stroked="true" strokeweight=".06pt" strokecolor="#7f7f7f">
              <v:stroke dashstyle="solid"/>
            </v:line>
            <v:line style="position:absolute" from="6432,4597" to="7127,4597" stroked="true" strokeweight=".06pt" strokecolor="#7f7f7f">
              <v:stroke dashstyle="solid"/>
            </v:line>
            <v:line style="position:absolute" from="5280,4597" to="5974,4597" stroked="true" strokeweight=".06pt" strokecolor="#7f7f7f">
              <v:stroke dashstyle="solid"/>
            </v:line>
            <v:line style="position:absolute" from="4128,4597" to="4822,4597" stroked="true" strokeweight=".06pt" strokecolor="#7f7f7f">
              <v:stroke dashstyle="solid"/>
            </v:line>
            <v:line style="position:absolute" from="2976,4597" to="3670,4597" stroked="true" strokeweight=".06pt" strokecolor="#7f7f7f">
              <v:stroke dashstyle="solid"/>
            </v:line>
            <v:line style="position:absolute" from="2170,4597" to="2518,4597" stroked="true" strokeweight=".06pt" strokecolor="#7f7f7f">
              <v:stroke dashstyle="solid"/>
            </v:line>
            <v:line style="position:absolute" from="8736,3948" to="9083,3948" stroked="true" strokeweight=".06pt" strokecolor="#7f7f7f">
              <v:stroke dashstyle="solid"/>
            </v:line>
            <v:line style="position:absolute" from="7584,3948" to="8279,3948" stroked="true" strokeweight=".06pt" strokecolor="#7f7f7f">
              <v:stroke dashstyle="solid"/>
            </v:line>
            <v:line style="position:absolute" from="6432,3948" to="7127,3948" stroked="true" strokeweight=".06pt" strokecolor="#7f7f7f">
              <v:stroke dashstyle="solid"/>
            </v:line>
            <v:line style="position:absolute" from="5280,3948" to="5974,3948" stroked="true" strokeweight=".06pt" strokecolor="#7f7f7f">
              <v:stroke dashstyle="solid"/>
            </v:line>
            <v:line style="position:absolute" from="4128,3948" to="4822,3948" stroked="true" strokeweight=".06pt" strokecolor="#7f7f7f">
              <v:stroke dashstyle="solid"/>
            </v:line>
            <v:line style="position:absolute" from="2976,3948" to="3670,3948" stroked="true" strokeweight=".06pt" strokecolor="#7f7f7f">
              <v:stroke dashstyle="solid"/>
            </v:line>
            <v:line style="position:absolute" from="2170,3948" to="2518,3948" stroked="true" strokeweight=".06pt" strokecolor="#7f7f7f">
              <v:stroke dashstyle="solid"/>
            </v:line>
            <v:line style="position:absolute" from="8736,2668" to="9083,2668" stroked="true" strokeweight=".06pt" strokecolor="#7f7f7f">
              <v:stroke dashstyle="solid"/>
            </v:line>
            <v:line style="position:absolute" from="7584,2668" to="8279,2668" stroked="true" strokeweight=".06pt" strokecolor="#7f7f7f">
              <v:stroke dashstyle="solid"/>
            </v:line>
            <v:line style="position:absolute" from="6432,2668" to="7127,2668" stroked="true" strokeweight=".06pt" strokecolor="#7f7f7f">
              <v:stroke dashstyle="solid"/>
            </v:line>
            <v:line style="position:absolute" from="5280,2668" to="5974,2668" stroked="true" strokeweight=".06pt" strokecolor="#7f7f7f">
              <v:stroke dashstyle="solid"/>
            </v:line>
            <v:line style="position:absolute" from="4128,2668" to="4822,2668" stroked="true" strokeweight=".06pt" strokecolor="#7f7f7f">
              <v:stroke dashstyle="solid"/>
            </v:line>
            <v:line style="position:absolute" from="2170,2668" to="3670,2668" stroked="true" strokeweight=".06pt" strokecolor="#7f7f7f">
              <v:stroke dashstyle="solid"/>
            </v:line>
            <v:line style="position:absolute" from="8736,2035" to="9083,2035" stroked="true" strokeweight=".06pt" strokecolor="#7f7f7f">
              <v:stroke dashstyle="solid"/>
            </v:line>
            <v:line style="position:absolute" from="6432,2035" to="8279,2035" stroked="true" strokeweight=".06pt" strokecolor="#7f7f7f">
              <v:stroke dashstyle="solid"/>
            </v:line>
            <v:line style="position:absolute" from="5280,2035" to="5974,2035" stroked="true" strokeweight=".06pt" strokecolor="#7f7f7f">
              <v:stroke dashstyle="solid"/>
            </v:line>
            <v:line style="position:absolute" from="2170,2035" to="4822,2035" stroked="true" strokeweight=".06pt" strokecolor="#7f7f7f">
              <v:stroke dashstyle="solid"/>
            </v:line>
            <v:line style="position:absolute" from="6432,1386" to="9083,1386" stroked="true" strokeweight=".06pt" strokecolor="#7f7f7f">
              <v:stroke dashstyle="solid"/>
            </v:line>
            <v:line style="position:absolute" from="2170,1386" to="5974,1386" stroked="true" strokeweight=".06pt" strokecolor="#7f7f7f">
              <v:stroke dashstyle="solid"/>
            </v:line>
            <v:line style="position:absolute" from="2170,754" to="9083,754" stroked="true" strokeweight=".06pt" strokecolor="#7f7f7f">
              <v:stroke dashstyle="solid"/>
            </v:line>
            <v:rect style="position:absolute;left:2517;top:3001;width:459;height:2230" filled="true" fillcolor="#c00000" stroked="false">
              <v:fill type="solid"/>
            </v:rect>
            <v:rect style="position:absolute;left:3669;top:2618;width:459;height:2613" filled="true" fillcolor="#c00000" stroked="false">
              <v:fill type="solid"/>
            </v:rect>
            <v:rect style="position:absolute;left:4821;top:1952;width:459;height:3279" filled="true" fillcolor="#c00000" stroked="false">
              <v:fill type="solid"/>
            </v:rect>
            <v:rect style="position:absolute;left:5973;top:1270;width:459;height:3960" filled="true" fillcolor="#c00000" stroked="false">
              <v:fill type="solid"/>
            </v:rect>
            <v:rect style="position:absolute;left:7126;top:2419;width:458;height:2812" filled="true" fillcolor="#c00000" stroked="false">
              <v:fill type="solid"/>
            </v:rect>
            <v:rect style="position:absolute;left:8278;top:2019;width:458;height:3212" filled="true" fillcolor="#c00000" stroked="false">
              <v:fill type="solid"/>
            </v:rect>
            <v:line style="position:absolute" from="2170,754" to="2170,5230" stroked="true" strokeweight=".06pt" strokecolor="#7f7f7f">
              <v:stroke dashstyle="solid"/>
            </v:line>
            <v:line style="position:absolute" from="2113,5230" to="2170,5230" stroked="true" strokeweight=".06pt" strokecolor="#7f7f7f">
              <v:stroke dashstyle="solid"/>
            </v:line>
            <v:line style="position:absolute" from="2113,4597" to="2170,4597" stroked="true" strokeweight=".06pt" strokecolor="#7f7f7f">
              <v:stroke dashstyle="solid"/>
            </v:line>
            <v:line style="position:absolute" from="2113,3948" to="2170,3948" stroked="true" strokeweight=".06pt" strokecolor="#7f7f7f">
              <v:stroke dashstyle="solid"/>
            </v:line>
            <v:line style="position:absolute" from="2113,3316" to="2170,3316" stroked="true" strokeweight=".06pt" strokecolor="#7f7f7f">
              <v:stroke dashstyle="solid"/>
            </v:line>
            <v:line style="position:absolute" from="2113,2668" to="2170,2668" stroked="true" strokeweight=".06pt" strokecolor="#7f7f7f">
              <v:stroke dashstyle="solid"/>
            </v:line>
            <v:line style="position:absolute" from="2113,2035" to="2170,2035" stroked="true" strokeweight=".06pt" strokecolor="#7f7f7f">
              <v:stroke dashstyle="solid"/>
            </v:line>
            <v:line style="position:absolute" from="2113,1386" to="2170,1386" stroked="true" strokeweight=".06pt" strokecolor="#7f7f7f">
              <v:stroke dashstyle="solid"/>
            </v:line>
            <v:line style="position:absolute" from="2113,754" to="2170,754" stroked="true" strokeweight=".06pt" strokecolor="#7f7f7f">
              <v:stroke dashstyle="solid"/>
            </v:line>
            <v:line style="position:absolute" from="2170,5230" to="9083,5230" stroked="true" strokeweight=".06pt" strokecolor="#7f7f7f">
              <v:stroke dashstyle="solid"/>
            </v:line>
            <v:line style="position:absolute" from="2170,5296" to="2170,5230" stroked="true" strokeweight=".06pt" strokecolor="#7f7f7f">
              <v:stroke dashstyle="solid"/>
            </v:line>
            <v:line style="position:absolute" from="3322,5296" to="3322,5230" stroked="true" strokeweight=".06pt" strokecolor="#7f7f7f">
              <v:stroke dashstyle="solid"/>
            </v:line>
            <v:line style="position:absolute" from="4474,5296" to="4474,5230" stroked="true" strokeweight=".06pt" strokecolor="#7f7f7f">
              <v:stroke dashstyle="solid"/>
            </v:line>
            <v:line style="position:absolute" from="5626,5296" to="5626,5230" stroked="true" strokeweight=".06pt" strokecolor="#7f7f7f">
              <v:stroke dashstyle="solid"/>
            </v:line>
            <v:line style="position:absolute" from="6778,5296" to="6778,5230" stroked="true" strokeweight=".06pt" strokecolor="#7f7f7f">
              <v:stroke dashstyle="solid"/>
            </v:line>
            <v:line style="position:absolute" from="7931,5296" to="7931,5230" stroked="true" strokeweight=".06pt" strokecolor="#7f7f7f">
              <v:stroke dashstyle="solid"/>
            </v:line>
            <v:line style="position:absolute" from="9083,5296" to="9083,5230" stroked="true" strokeweight=".06pt" strokecolor="#7f7f7f">
              <v:stroke dashstyle="solid"/>
            </v:line>
            <v:line style="position:absolute" from="9008,3067" to="9008,3184" stroked="true" strokeweight="4.860pt" strokecolor="#c00000">
              <v:stroke dashstyle="solid"/>
            </v:line>
            <v:rect style="position:absolute;left:1599;top:321;width:8691;height:5474" filled="false" stroked="true" strokeweight=".06pt" strokecolor="#65659a">
              <v:stroke dashstyle="solid"/>
            </v:rect>
            <v:shape style="position:absolute;left:1740;top:655;width:304;height:217" type="#_x0000_t202" filled="false" stroked="false">
              <v:textbox inset="0,0,0,0">
                <w:txbxContent>
                  <w:p>
                    <w:pPr>
                      <w:spacing w:line="215" w:lineRule="exact" w:before="0"/>
                      <w:ind w:left="0" w:right="0" w:firstLine="0"/>
                      <w:jc w:val="left"/>
                      <w:rPr>
                        <w:rFonts w:ascii="宋体"/>
                        <w:sz w:val="21"/>
                      </w:rPr>
                    </w:pPr>
                    <w:r>
                      <w:rPr>
                        <w:rFonts w:ascii="宋体"/>
                        <w:w w:val="90"/>
                        <w:sz w:val="21"/>
                      </w:rPr>
                      <w:t>140</w:t>
                    </w:r>
                  </w:p>
                </w:txbxContent>
              </v:textbox>
              <w10:wrap type="none"/>
            </v:shape>
            <v:shape style="position:absolute;left:5861;top:971;width:666;height:217" type="#_x0000_t202" filled="false" stroked="false">
              <v:textbox inset="0,0,0,0">
                <w:txbxContent>
                  <w:p>
                    <w:pPr>
                      <w:spacing w:line="215" w:lineRule="exact" w:before="0"/>
                      <w:ind w:left="0" w:right="0" w:firstLine="0"/>
                      <w:jc w:val="left"/>
                      <w:rPr>
                        <w:rFonts w:ascii="宋体"/>
                        <w:b/>
                        <w:sz w:val="21"/>
                      </w:rPr>
                    </w:pPr>
                    <w:r>
                      <w:rPr>
                        <w:rFonts w:ascii="宋体"/>
                        <w:b/>
                        <w:spacing w:val="12"/>
                        <w:w w:val="90"/>
                        <w:sz w:val="21"/>
                      </w:rPr>
                      <w:t>123</w:t>
                    </w:r>
                    <w:r>
                      <w:rPr>
                        <w:rFonts w:ascii="宋体"/>
                        <w:b/>
                        <w:spacing w:val="-89"/>
                        <w:w w:val="90"/>
                        <w:sz w:val="21"/>
                      </w:rPr>
                      <w:t> </w:t>
                    </w:r>
                    <w:r>
                      <w:rPr>
                        <w:rFonts w:ascii="宋体"/>
                        <w:b/>
                        <w:spacing w:val="10"/>
                        <w:w w:val="90"/>
                        <w:sz w:val="21"/>
                      </w:rPr>
                      <w:t>.7</w:t>
                    </w:r>
                    <w:r>
                      <w:rPr>
                        <w:rFonts w:ascii="宋体"/>
                        <w:b/>
                        <w:spacing w:val="-89"/>
                        <w:w w:val="90"/>
                        <w:sz w:val="21"/>
                      </w:rPr>
                      <w:t> </w:t>
                    </w:r>
                    <w:r>
                      <w:rPr>
                        <w:rFonts w:ascii="宋体"/>
                        <w:b/>
                        <w:w w:val="90"/>
                        <w:sz w:val="21"/>
                      </w:rPr>
                      <w:t>3</w:t>
                    </w:r>
                  </w:p>
                </w:txbxContent>
              </v:textbox>
              <w10:wrap type="none"/>
            </v:shape>
            <v:shape style="position:absolute;left:1740;top:1286;width:304;height:217" type="#_x0000_t202" filled="false" stroked="false">
              <v:textbox inset="0,0,0,0">
                <w:txbxContent>
                  <w:p>
                    <w:pPr>
                      <w:spacing w:line="215" w:lineRule="exact" w:before="0"/>
                      <w:ind w:left="0" w:right="0" w:firstLine="0"/>
                      <w:jc w:val="left"/>
                      <w:rPr>
                        <w:rFonts w:ascii="宋体"/>
                        <w:sz w:val="21"/>
                      </w:rPr>
                    </w:pPr>
                    <w:r>
                      <w:rPr>
                        <w:rFonts w:ascii="宋体"/>
                        <w:w w:val="90"/>
                        <w:sz w:val="21"/>
                      </w:rPr>
                      <w:t>120</w:t>
                    </w:r>
                  </w:p>
                </w:txbxContent>
              </v:textbox>
              <w10:wrap type="none"/>
            </v:shape>
            <v:shape style="position:absolute;left:4765;top:1652;width:577;height:217" type="#_x0000_t202" filled="false" stroked="false">
              <v:textbox inset="0,0,0,0">
                <w:txbxContent>
                  <w:p>
                    <w:pPr>
                      <w:spacing w:line="215" w:lineRule="exact" w:before="0"/>
                      <w:ind w:left="0" w:right="0" w:firstLine="0"/>
                      <w:jc w:val="left"/>
                      <w:rPr>
                        <w:rFonts w:ascii="宋体"/>
                        <w:b/>
                        <w:sz w:val="21"/>
                      </w:rPr>
                    </w:pPr>
                    <w:r>
                      <w:rPr>
                        <w:rFonts w:ascii="宋体"/>
                        <w:b/>
                        <w:spacing w:val="12"/>
                        <w:w w:val="85"/>
                        <w:sz w:val="21"/>
                      </w:rPr>
                      <w:t>102</w:t>
                    </w:r>
                    <w:r>
                      <w:rPr>
                        <w:rFonts w:ascii="宋体"/>
                        <w:b/>
                        <w:spacing w:val="-65"/>
                        <w:w w:val="85"/>
                        <w:sz w:val="21"/>
                      </w:rPr>
                      <w:t> </w:t>
                    </w:r>
                    <w:r>
                      <w:rPr>
                        <w:rFonts w:ascii="宋体"/>
                        <w:b/>
                        <w:spacing w:val="10"/>
                        <w:w w:val="85"/>
                        <w:sz w:val="21"/>
                      </w:rPr>
                      <w:t>.7</w:t>
                    </w:r>
                    <w:r>
                      <w:rPr>
                        <w:rFonts w:ascii="宋体"/>
                        <w:b/>
                        <w:spacing w:val="-85"/>
                        <w:sz w:val="21"/>
                      </w:rPr>
                      <w:t> </w:t>
                    </w:r>
                  </w:p>
                </w:txbxContent>
              </v:textbox>
              <w10:wrap type="none"/>
            </v:shape>
            <v:shape style="position:absolute;left:8222;top:1719;width:555;height:217" type="#_x0000_t202" filled="false" stroked="false">
              <v:textbox inset="0,0,0,0">
                <w:txbxContent>
                  <w:p>
                    <w:pPr>
                      <w:spacing w:line="215" w:lineRule="exact" w:before="0"/>
                      <w:ind w:left="0" w:right="0" w:firstLine="0"/>
                      <w:jc w:val="left"/>
                      <w:rPr>
                        <w:rFonts w:ascii="宋体"/>
                        <w:b/>
                        <w:sz w:val="21"/>
                      </w:rPr>
                    </w:pPr>
                    <w:r>
                      <w:rPr>
                        <w:rFonts w:ascii="宋体"/>
                        <w:b/>
                        <w:spacing w:val="10"/>
                        <w:w w:val="90"/>
                        <w:sz w:val="21"/>
                      </w:rPr>
                      <w:t>10</w:t>
                    </w:r>
                    <w:r>
                      <w:rPr>
                        <w:rFonts w:ascii="宋体"/>
                        <w:b/>
                        <w:spacing w:val="-87"/>
                        <w:w w:val="90"/>
                        <w:sz w:val="21"/>
                      </w:rPr>
                      <w:t> </w:t>
                    </w:r>
                    <w:r>
                      <w:rPr>
                        <w:rFonts w:ascii="宋体"/>
                        <w:b/>
                        <w:spacing w:val="10"/>
                        <w:w w:val="90"/>
                        <w:sz w:val="21"/>
                      </w:rPr>
                      <w:t>0.</w:t>
                    </w:r>
                    <w:r>
                      <w:rPr>
                        <w:rFonts w:ascii="宋体"/>
                        <w:b/>
                        <w:spacing w:val="-87"/>
                        <w:w w:val="90"/>
                        <w:sz w:val="21"/>
                      </w:rPr>
                      <w:t> </w:t>
                    </w:r>
                    <w:r>
                      <w:rPr>
                        <w:rFonts w:ascii="宋体"/>
                        <w:b/>
                        <w:w w:val="90"/>
                        <w:sz w:val="21"/>
                      </w:rPr>
                      <w:t>5</w:t>
                    </w:r>
                  </w:p>
                </w:txbxContent>
              </v:textbox>
              <w10:wrap type="none"/>
            </v:shape>
            <v:shape style="position:absolute;left:1740;top:1935;width:304;height:217" type="#_x0000_t202" filled="false" stroked="false">
              <v:textbox inset="0,0,0,0">
                <w:txbxContent>
                  <w:p>
                    <w:pPr>
                      <w:spacing w:line="215" w:lineRule="exact" w:before="0"/>
                      <w:ind w:left="0" w:right="0" w:firstLine="0"/>
                      <w:jc w:val="left"/>
                      <w:rPr>
                        <w:rFonts w:ascii="宋体"/>
                        <w:sz w:val="21"/>
                      </w:rPr>
                    </w:pPr>
                    <w:r>
                      <w:rPr>
                        <w:rFonts w:ascii="宋体"/>
                        <w:w w:val="90"/>
                        <w:sz w:val="21"/>
                      </w:rPr>
                      <w:t>100</w:t>
                    </w:r>
                  </w:p>
                </w:txbxContent>
              </v:textbox>
              <w10:wrap type="none"/>
            </v:shape>
            <v:shape style="position:absolute;left:7070;top:2119;width:555;height:217" type="#_x0000_t202" filled="false" stroked="false">
              <v:textbox inset="0,0,0,0">
                <w:txbxContent>
                  <w:p>
                    <w:pPr>
                      <w:spacing w:line="215" w:lineRule="exact" w:before="0"/>
                      <w:ind w:left="0" w:right="0" w:firstLine="0"/>
                      <w:jc w:val="left"/>
                      <w:rPr>
                        <w:rFonts w:ascii="宋体"/>
                        <w:b/>
                        <w:sz w:val="21"/>
                      </w:rPr>
                    </w:pPr>
                    <w:r>
                      <w:rPr>
                        <w:rFonts w:ascii="宋体"/>
                        <w:b/>
                        <w:spacing w:val="10"/>
                        <w:w w:val="90"/>
                        <w:sz w:val="21"/>
                      </w:rPr>
                      <w:t>87</w:t>
                    </w:r>
                    <w:r>
                      <w:rPr>
                        <w:rFonts w:ascii="宋体"/>
                        <w:b/>
                        <w:spacing w:val="-87"/>
                        <w:w w:val="90"/>
                        <w:sz w:val="21"/>
                      </w:rPr>
                      <w:t> </w:t>
                    </w:r>
                    <w:r>
                      <w:rPr>
                        <w:rFonts w:ascii="宋体"/>
                        <w:b/>
                        <w:spacing w:val="10"/>
                        <w:w w:val="90"/>
                        <w:sz w:val="21"/>
                      </w:rPr>
                      <w:t>.8</w:t>
                    </w:r>
                    <w:r>
                      <w:rPr>
                        <w:rFonts w:ascii="宋体"/>
                        <w:b/>
                        <w:spacing w:val="-87"/>
                        <w:w w:val="90"/>
                        <w:sz w:val="21"/>
                      </w:rPr>
                      <w:t> </w:t>
                    </w:r>
                    <w:r>
                      <w:rPr>
                        <w:rFonts w:ascii="宋体"/>
                        <w:b/>
                        <w:w w:val="90"/>
                        <w:sz w:val="21"/>
                      </w:rPr>
                      <w:t>1</w:t>
                    </w:r>
                  </w:p>
                </w:txbxContent>
              </v:textbox>
              <w10:wrap type="none"/>
            </v:shape>
            <v:shape style="position:absolute;left:3613;top:2318;width:555;height:217" type="#_x0000_t202" filled="false" stroked="false">
              <v:textbox inset="0,0,0,0">
                <w:txbxContent>
                  <w:p>
                    <w:pPr>
                      <w:spacing w:line="215" w:lineRule="exact" w:before="0"/>
                      <w:ind w:left="0" w:right="0" w:firstLine="0"/>
                      <w:jc w:val="left"/>
                      <w:rPr>
                        <w:rFonts w:ascii="宋体"/>
                        <w:b/>
                        <w:sz w:val="21"/>
                      </w:rPr>
                    </w:pPr>
                    <w:r>
                      <w:rPr>
                        <w:rFonts w:ascii="宋体"/>
                        <w:b/>
                        <w:spacing w:val="10"/>
                        <w:w w:val="90"/>
                        <w:sz w:val="21"/>
                      </w:rPr>
                      <w:t>81</w:t>
                    </w:r>
                    <w:r>
                      <w:rPr>
                        <w:rFonts w:ascii="宋体"/>
                        <w:b/>
                        <w:spacing w:val="-87"/>
                        <w:w w:val="90"/>
                        <w:sz w:val="21"/>
                      </w:rPr>
                      <w:t> </w:t>
                    </w:r>
                    <w:r>
                      <w:rPr>
                        <w:rFonts w:ascii="宋体"/>
                        <w:b/>
                        <w:spacing w:val="10"/>
                        <w:w w:val="90"/>
                        <w:sz w:val="21"/>
                      </w:rPr>
                      <w:t>.9</w:t>
                    </w:r>
                    <w:r>
                      <w:rPr>
                        <w:rFonts w:ascii="宋体"/>
                        <w:b/>
                        <w:spacing w:val="-87"/>
                        <w:w w:val="90"/>
                        <w:sz w:val="21"/>
                      </w:rPr>
                      <w:t> </w:t>
                    </w:r>
                    <w:r>
                      <w:rPr>
                        <w:rFonts w:ascii="宋体"/>
                        <w:b/>
                        <w:w w:val="90"/>
                        <w:sz w:val="21"/>
                      </w:rPr>
                      <w:t>7</w:t>
                    </w:r>
                  </w:p>
                </w:txbxContent>
              </v:textbox>
              <w10:wrap type="none"/>
            </v:shape>
            <v:shape style="position:absolute;left:1837;top:2568;width:215;height:217" type="#_x0000_t202" filled="false" stroked="false">
              <v:textbox inset="0,0,0,0">
                <w:txbxContent>
                  <w:p>
                    <w:pPr>
                      <w:spacing w:line="215" w:lineRule="exact" w:before="0"/>
                      <w:ind w:left="0" w:right="0" w:firstLine="0"/>
                      <w:jc w:val="left"/>
                      <w:rPr>
                        <w:rFonts w:ascii="宋体"/>
                        <w:sz w:val="21"/>
                      </w:rPr>
                    </w:pPr>
                    <w:r>
                      <w:rPr>
                        <w:rFonts w:ascii="宋体"/>
                        <w:w w:val="90"/>
                        <w:sz w:val="21"/>
                      </w:rPr>
                      <w:t>80</w:t>
                    </w:r>
                  </w:p>
                </w:txbxContent>
              </v:textbox>
              <w10:wrap type="none"/>
            </v:shape>
            <v:shape style="position:absolute;left:2461;top:2701;width:555;height:217" type="#_x0000_t202" filled="false" stroked="false">
              <v:textbox inset="0,0,0,0">
                <w:txbxContent>
                  <w:p>
                    <w:pPr>
                      <w:spacing w:line="215" w:lineRule="exact" w:before="0"/>
                      <w:ind w:left="0" w:right="0" w:firstLine="0"/>
                      <w:jc w:val="left"/>
                      <w:rPr>
                        <w:rFonts w:ascii="宋体"/>
                        <w:b/>
                        <w:sz w:val="21"/>
                      </w:rPr>
                    </w:pPr>
                    <w:r>
                      <w:rPr>
                        <w:rFonts w:ascii="宋体"/>
                        <w:b/>
                        <w:spacing w:val="10"/>
                        <w:w w:val="90"/>
                        <w:sz w:val="21"/>
                      </w:rPr>
                      <w:t>69</w:t>
                    </w:r>
                    <w:r>
                      <w:rPr>
                        <w:rFonts w:ascii="宋体"/>
                        <w:b/>
                        <w:spacing w:val="-87"/>
                        <w:w w:val="90"/>
                        <w:sz w:val="21"/>
                      </w:rPr>
                      <w:t> </w:t>
                    </w:r>
                    <w:r>
                      <w:rPr>
                        <w:rFonts w:ascii="宋体"/>
                        <w:b/>
                        <w:spacing w:val="10"/>
                        <w:w w:val="90"/>
                        <w:sz w:val="21"/>
                      </w:rPr>
                      <w:t>.5</w:t>
                    </w:r>
                    <w:r>
                      <w:rPr>
                        <w:rFonts w:ascii="宋体"/>
                        <w:b/>
                        <w:spacing w:val="-87"/>
                        <w:w w:val="90"/>
                        <w:sz w:val="21"/>
                      </w:rPr>
                      <w:t> </w:t>
                    </w:r>
                    <w:r>
                      <w:rPr>
                        <w:rFonts w:ascii="宋体"/>
                        <w:b/>
                        <w:w w:val="90"/>
                        <w:sz w:val="21"/>
                      </w:rPr>
                      <w:t>7</w:t>
                    </w:r>
                  </w:p>
                </w:txbxContent>
              </v:textbox>
              <w10:wrap type="none"/>
            </v:shape>
            <v:shape style="position:absolute;left:1837;top:3217;width:215;height:217" type="#_x0000_t202" filled="false" stroked="false">
              <v:textbox inset="0,0,0,0">
                <w:txbxContent>
                  <w:p>
                    <w:pPr>
                      <w:spacing w:line="215" w:lineRule="exact" w:before="0"/>
                      <w:ind w:left="0" w:right="0" w:firstLine="0"/>
                      <w:jc w:val="left"/>
                      <w:rPr>
                        <w:rFonts w:ascii="宋体"/>
                        <w:sz w:val="21"/>
                      </w:rPr>
                    </w:pPr>
                    <w:r>
                      <w:rPr>
                        <w:rFonts w:ascii="宋体"/>
                        <w:w w:val="90"/>
                        <w:sz w:val="21"/>
                      </w:rPr>
                      <w:t>60</w:t>
                    </w:r>
                  </w:p>
                </w:txbxContent>
              </v:textbox>
              <w10:wrap type="none"/>
            </v:shape>
            <v:shape style="position:absolute;left:9110;top:3017;width:1103;height:466" type="#_x0000_t202" filled="false" stroked="false">
              <v:textbox inset="0,0,0,0">
                <w:txbxContent>
                  <w:p>
                    <w:pPr>
                      <w:spacing w:line="203" w:lineRule="exact" w:before="0"/>
                      <w:ind w:left="0" w:right="0" w:firstLine="0"/>
                      <w:jc w:val="left"/>
                      <w:rPr>
                        <w:rFonts w:ascii="宋体" w:eastAsia="宋体" w:hint="eastAsia"/>
                        <w:sz w:val="21"/>
                      </w:rPr>
                    </w:pPr>
                    <w:r>
                      <w:rPr>
                        <w:rFonts w:ascii="宋体" w:eastAsia="宋体" w:hint="eastAsia"/>
                        <w:w w:val="85"/>
                        <w:sz w:val="21"/>
                      </w:rPr>
                      <w:t>固定资产投资</w:t>
                    </w:r>
                  </w:p>
                  <w:p>
                    <w:pPr>
                      <w:spacing w:line="262" w:lineRule="exact" w:before="0"/>
                      <w:ind w:left="0" w:right="0" w:firstLine="0"/>
                      <w:jc w:val="left"/>
                      <w:rPr>
                        <w:rFonts w:ascii="宋体" w:eastAsia="宋体" w:hint="eastAsia"/>
                        <w:sz w:val="21"/>
                      </w:rPr>
                    </w:pPr>
                    <w:r>
                      <w:rPr>
                        <w:rFonts w:ascii="宋体" w:eastAsia="宋体" w:hint="eastAsia"/>
                        <w:w w:val="85"/>
                        <w:sz w:val="21"/>
                      </w:rPr>
                      <w:t>（亿元）</w:t>
                    </w:r>
                  </w:p>
                </w:txbxContent>
              </v:textbox>
              <w10:wrap type="none"/>
            </v:shape>
            <v:shape style="position:absolute;left:1837;top:3849;width:215;height:217" type="#_x0000_t202" filled="false" stroked="false">
              <v:textbox inset="0,0,0,0">
                <w:txbxContent>
                  <w:p>
                    <w:pPr>
                      <w:spacing w:line="215" w:lineRule="exact" w:before="0"/>
                      <w:ind w:left="0" w:right="0" w:firstLine="0"/>
                      <w:jc w:val="left"/>
                      <w:rPr>
                        <w:rFonts w:ascii="宋体"/>
                        <w:sz w:val="21"/>
                      </w:rPr>
                    </w:pPr>
                    <w:r>
                      <w:rPr>
                        <w:rFonts w:ascii="宋体"/>
                        <w:w w:val="90"/>
                        <w:sz w:val="21"/>
                      </w:rPr>
                      <w:t>40</w:t>
                    </w:r>
                  </w:p>
                </w:txbxContent>
              </v:textbox>
              <w10:wrap type="none"/>
            </v:shape>
            <v:shape style="position:absolute;left:1837;top:4497;width:215;height:217" type="#_x0000_t202" filled="false" stroked="false">
              <v:textbox inset="0,0,0,0">
                <w:txbxContent>
                  <w:p>
                    <w:pPr>
                      <w:spacing w:line="215" w:lineRule="exact" w:before="0"/>
                      <w:ind w:left="0" w:right="0" w:firstLine="0"/>
                      <w:jc w:val="left"/>
                      <w:rPr>
                        <w:rFonts w:ascii="宋体"/>
                        <w:sz w:val="21"/>
                      </w:rPr>
                    </w:pPr>
                    <w:r>
                      <w:rPr>
                        <w:rFonts w:ascii="宋体"/>
                        <w:w w:val="90"/>
                        <w:sz w:val="21"/>
                      </w:rPr>
                      <w:t>20</w:t>
                    </w:r>
                  </w:p>
                </w:txbxContent>
              </v:textbox>
              <w10:wrap type="none"/>
            </v:shape>
            <v:shape style="position:absolute;left:1934;top:5130;width:111;height:217" type="#_x0000_t202" filled="false" stroked="false">
              <v:textbox inset="0,0,0,0">
                <w:txbxContent>
                  <w:p>
                    <w:pPr>
                      <w:spacing w:line="215" w:lineRule="exact" w:before="0"/>
                      <w:ind w:left="0" w:right="0" w:firstLine="0"/>
                      <w:jc w:val="left"/>
                      <w:rPr>
                        <w:rFonts w:ascii="宋体"/>
                        <w:sz w:val="21"/>
                      </w:rPr>
                    </w:pPr>
                    <w:r>
                      <w:rPr>
                        <w:rFonts w:ascii="宋体"/>
                        <w:w w:val="85"/>
                        <w:sz w:val="21"/>
                      </w:rPr>
                      <w:t>0</w:t>
                    </w:r>
                  </w:p>
                </w:txbxContent>
              </v:textbox>
              <w10:wrap type="none"/>
            </v:shape>
            <v:shape style="position:absolute;left:2558;top:5430;width:409;height:217" type="#_x0000_t202" filled="false" stroked="false">
              <v:textbox inset="0,0,0,0">
                <w:txbxContent>
                  <w:p>
                    <w:pPr>
                      <w:spacing w:line="215" w:lineRule="exact" w:before="0"/>
                      <w:ind w:left="0" w:right="0" w:firstLine="0"/>
                      <w:jc w:val="left"/>
                      <w:rPr>
                        <w:rFonts w:ascii="宋体"/>
                        <w:sz w:val="21"/>
                      </w:rPr>
                    </w:pPr>
                    <w:r>
                      <w:rPr>
                        <w:rFonts w:ascii="宋体"/>
                        <w:w w:val="90"/>
                        <w:sz w:val="21"/>
                      </w:rPr>
                      <w:t>2010</w:t>
                    </w:r>
                  </w:p>
                </w:txbxContent>
              </v:textbox>
              <w10:wrap type="none"/>
            </v:shape>
            <v:shape style="position:absolute;left:3710;top:5430;width:409;height:217" type="#_x0000_t202" filled="false" stroked="false">
              <v:textbox inset="0,0,0,0">
                <w:txbxContent>
                  <w:p>
                    <w:pPr>
                      <w:spacing w:line="215" w:lineRule="exact" w:before="0"/>
                      <w:ind w:left="0" w:right="0" w:firstLine="0"/>
                      <w:jc w:val="left"/>
                      <w:rPr>
                        <w:rFonts w:ascii="宋体"/>
                        <w:sz w:val="21"/>
                      </w:rPr>
                    </w:pPr>
                    <w:r>
                      <w:rPr>
                        <w:rFonts w:ascii="宋体"/>
                        <w:w w:val="90"/>
                        <w:sz w:val="21"/>
                      </w:rPr>
                      <w:t>2011</w:t>
                    </w:r>
                  </w:p>
                </w:txbxContent>
              </v:textbox>
              <w10:wrap type="none"/>
            </v:shape>
            <v:shape style="position:absolute;left:4862;top:5430;width:409;height:217" type="#_x0000_t202" filled="false" stroked="false">
              <v:textbox inset="0,0,0,0">
                <w:txbxContent>
                  <w:p>
                    <w:pPr>
                      <w:spacing w:line="215" w:lineRule="exact" w:before="0"/>
                      <w:ind w:left="0" w:right="0" w:firstLine="0"/>
                      <w:jc w:val="left"/>
                      <w:rPr>
                        <w:rFonts w:ascii="宋体"/>
                        <w:sz w:val="21"/>
                      </w:rPr>
                    </w:pPr>
                    <w:r>
                      <w:rPr>
                        <w:rFonts w:ascii="宋体"/>
                        <w:w w:val="90"/>
                        <w:sz w:val="21"/>
                      </w:rPr>
                      <w:t>2012</w:t>
                    </w:r>
                  </w:p>
                </w:txbxContent>
              </v:textbox>
              <w10:wrap type="none"/>
            </v:shape>
            <v:shape style="position:absolute;left:6015;top:5430;width:409;height:217" type="#_x0000_t202" filled="false" stroked="false">
              <v:textbox inset="0,0,0,0">
                <w:txbxContent>
                  <w:p>
                    <w:pPr>
                      <w:spacing w:line="215" w:lineRule="exact" w:before="0"/>
                      <w:ind w:left="0" w:right="0" w:firstLine="0"/>
                      <w:jc w:val="left"/>
                      <w:rPr>
                        <w:rFonts w:ascii="宋体"/>
                        <w:sz w:val="21"/>
                      </w:rPr>
                    </w:pPr>
                    <w:r>
                      <w:rPr>
                        <w:rFonts w:ascii="宋体"/>
                        <w:w w:val="90"/>
                        <w:sz w:val="21"/>
                      </w:rPr>
                      <w:t>2013</w:t>
                    </w:r>
                  </w:p>
                </w:txbxContent>
              </v:textbox>
              <w10:wrap type="none"/>
            </v:shape>
            <v:shape style="position:absolute;left:7167;top:5430;width:409;height:217" type="#_x0000_t202" filled="false" stroked="false">
              <v:textbox inset="0,0,0,0">
                <w:txbxContent>
                  <w:p>
                    <w:pPr>
                      <w:spacing w:line="215" w:lineRule="exact" w:before="0"/>
                      <w:ind w:left="0" w:right="0" w:firstLine="0"/>
                      <w:jc w:val="left"/>
                      <w:rPr>
                        <w:rFonts w:ascii="宋体"/>
                        <w:sz w:val="21"/>
                      </w:rPr>
                    </w:pPr>
                    <w:r>
                      <w:rPr>
                        <w:rFonts w:ascii="宋体"/>
                        <w:w w:val="90"/>
                        <w:sz w:val="21"/>
                      </w:rPr>
                      <w:t>2014</w:t>
                    </w:r>
                  </w:p>
                </w:txbxContent>
              </v:textbox>
              <w10:wrap type="none"/>
            </v:shape>
            <v:shape style="position:absolute;left:8319;top:5430;width:409;height:217" type="#_x0000_t202" filled="false" stroked="false">
              <v:textbox inset="0,0,0,0">
                <w:txbxContent>
                  <w:p>
                    <w:pPr>
                      <w:spacing w:line="215" w:lineRule="exact" w:before="0"/>
                      <w:ind w:left="0" w:right="0" w:firstLine="0"/>
                      <w:jc w:val="left"/>
                      <w:rPr>
                        <w:rFonts w:ascii="宋体"/>
                        <w:sz w:val="21"/>
                      </w:rPr>
                    </w:pPr>
                    <w:r>
                      <w:rPr>
                        <w:rFonts w:ascii="宋体"/>
                        <w:w w:val="90"/>
                        <w:sz w:val="21"/>
                      </w:rPr>
                      <w:t>2015</w:t>
                    </w:r>
                  </w:p>
                </w:txbxContent>
              </v:textbox>
              <w10:wrap type="none"/>
            </v:shape>
            <w10:wrap type="topAndBottom"/>
          </v:group>
        </w:pict>
      </w:r>
    </w:p>
    <w:p>
      <w:pPr>
        <w:spacing w:after="0"/>
        <w:rPr>
          <w:sz w:val="21"/>
        </w:rPr>
        <w:sectPr>
          <w:pgSz w:w="11910" w:h="16840"/>
          <w:pgMar w:header="0" w:footer="998" w:top="1600" w:bottom="1180" w:left="1480" w:right="1420"/>
        </w:sectPr>
      </w:pPr>
    </w:p>
    <w:p>
      <w:pPr>
        <w:pStyle w:val="BodyText"/>
        <w:spacing w:line="20" w:lineRule="exact"/>
        <w:ind w:left="113"/>
        <w:rPr>
          <w:sz w:val="2"/>
        </w:rPr>
      </w:pPr>
      <w:r>
        <w:rPr>
          <w:sz w:val="2"/>
        </w:rPr>
        <w:pict>
          <v:group style="width:445.95pt;height:.75pt;mso-position-horizontal-relative:char;mso-position-vertical-relative:line" coordorigin="0,0" coordsize="8919,15">
            <v:line style="position:absolute" from="8,8" to="8912,8" stroked="true" strokeweight=".71997pt" strokecolor="#000000">
              <v:stroke dashstyle="solid"/>
            </v:line>
          </v:group>
        </w:pict>
      </w:r>
      <w:r>
        <w:rPr>
          <w:sz w:val="2"/>
        </w:rPr>
      </w:r>
    </w:p>
    <w:p>
      <w:pPr>
        <w:pStyle w:val="BodyText"/>
        <w:ind w:left="0"/>
        <w:rPr>
          <w:sz w:val="20"/>
        </w:rPr>
      </w:pPr>
    </w:p>
    <w:p>
      <w:pPr>
        <w:pStyle w:val="BodyText"/>
        <w:spacing w:before="8"/>
        <w:ind w:left="0"/>
        <w:rPr>
          <w:sz w:val="16"/>
        </w:rPr>
      </w:pPr>
    </w:p>
    <w:p>
      <w:pPr>
        <w:spacing w:before="14"/>
        <w:ind w:left="985" w:right="985" w:firstLine="0"/>
        <w:jc w:val="center"/>
        <w:rPr>
          <w:sz w:val="28"/>
        </w:rPr>
      </w:pPr>
      <w:r>
        <w:rPr/>
        <w:pict>
          <v:rect style="position:absolute;margin-left:456.23999pt;margin-top:114.671867pt;width:5.7pt;height:5.7pt;mso-position-horizontal-relative:page;mso-position-vertical-relative:paragraph;z-index:-262768" filled="true" fillcolor="#7030a0" stroked="false">
            <v:fill type="solid"/>
            <w10:wrap type="none"/>
          </v:rect>
        </w:pict>
      </w:r>
      <w:r>
        <w:rPr/>
        <w:pict>
          <v:rect style="position:absolute;margin-left:456.23999pt;margin-top:134.171875pt;width:5.7pt;height:5.7pt;mso-position-horizontal-relative:page;mso-position-vertical-relative:paragraph;z-index:-262744" filled="true" fillcolor="#00b050" stroked="false">
            <v:fill type="solid"/>
            <w10:wrap type="none"/>
          </v:rect>
        </w:pict>
      </w:r>
      <w:r>
        <w:rPr>
          <w:sz w:val="28"/>
        </w:rPr>
        <w:t>图 4.五通桥区 2015 年三次产业结构比</w:t>
      </w:r>
    </w:p>
    <w:p>
      <w:pPr>
        <w:pStyle w:val="BodyText"/>
        <w:spacing w:before="1"/>
        <w:ind w:left="0"/>
        <w:rPr>
          <w:sz w:val="11"/>
        </w:rPr>
      </w:pPr>
      <w:r>
        <w:rPr/>
        <w:pict>
          <v:group style="position:absolute;margin-left:80.529999pt;margin-top:9.208111pt;width:433.4pt;height:219.2pt;mso-position-horizontal-relative:page;mso-position-vertical-relative:paragraph;z-index:2824;mso-wrap-distance-left:0;mso-wrap-distance-right:0" coordorigin="1611,184" coordsize="8668,4384">
            <v:shape style="position:absolute;left:5442;top:495;width:1428;height:1874" coordorigin="5442,496" coordsize="1428,1874" path="m6870,496l5442,1685,5442,2369,6870,1180,6870,496xe" filled="true" fillcolor="#381850" stroked="false">
              <v:path arrowok="t"/>
              <v:fill type="solid"/>
            </v:shape>
            <v:shape style="position:absolute;left:5442;top:284;width:1428;height:1401" coordorigin="5442,285" coordsize="1428,1401" path="m5734,285l5442,285,5442,1685,6870,480,6821,464,6740,447,6691,431,6659,414,6611,414,6531,399,6461,376,6389,356,6302,350,6253,350,6205,333,6107,317,6010,317,5912,300,5832,300,5734,285xe" filled="true" fillcolor="#7030a0" stroked="false">
              <v:path arrowok="t"/>
              <v:fill type="solid"/>
            </v:shape>
            <v:shape style="position:absolute;left:2197;top:1326;width:2645;height:1091" coordorigin="2197,1326" coordsize="2645,1091" path="m2197,1326l2197,2010,4842,2417,4842,1733,2197,1326xe" filled="true" fillcolor="#005878" stroked="false">
              <v:path arrowok="t"/>
              <v:fill type="solid"/>
            </v:shape>
            <v:shape style="position:absolute;left:2180;top:332;width:2662;height:1401" coordorigin="2180,333" coordsize="2662,1401" path="m4842,333l4549,333,4452,350,4355,350,4258,366,4160,366,4111,382,4031,399,3934,399,3884,414,3803,431,3755,447,3706,447,3625,464,3576,480,3528,496,3496,513,3414,528,3365,545,3332,561,3252,578,3203,594,3170,610,3122,627,3056,659,2995,685,2934,713,2874,743,2814,773,2749,806,2717,822,2683,855,2618,887,2586,903,2570,920,2538,952,2489,984,2456,1001,2441,1034,2408,1049,2359,1098,2344,1115,2327,1131,2278,1180,2262,1212,2230,1245,2197,1294,2180,1326,4842,1733,4842,333xe" filled="true" fillcolor="#00b0f0" stroked="false">
              <v:path arrowok="t"/>
              <v:fill type="solid"/>
            </v:shape>
            <v:shape style="position:absolute;left:2732;top:2433;width:5549;height:2003" coordorigin="2732,2434" coordsize="5549,2003" path="m5750,4420l5263,4420,5360,4437,5653,4437,5750,4420xm5977,4404l5021,4404,5069,4420,5945,4420,5977,4404xm6173,4388l4825,4388,4874,4404,6124,4404,6173,4388xm6318,4372l4696,4372,4777,4388,6221,4388,6318,4372xm6497,4340l4501,4340,4598,4355,4648,4372,6367,4372,6400,4355,6497,4340xm6886,4241l4111,4241,4160,4258,4242,4274,4290,4290,4322,4306,4420,4323,4469,4340,6546,4340,6594,4323,6676,4306,6724,4290,6756,4274,6853,4258,6886,4241xm2732,2483l2732,3167,2749,3215,2749,3232,2765,3264,2782,3314,2782,3329,2797,3346,2830,3395,2830,3428,2846,3443,2879,3492,2894,3508,2911,3542,2944,3590,2976,3606,2992,3622,3024,3671,3056,3688,3073,3720,3122,3753,3155,3785,3170,3802,3235,3834,3252,3867,3284,3884,3405,3944,3486,4001,3544,4030,3608,4062,3641,4078,3690,4095,3755,4127,3787,4144,3835,4160,3917,4176,3949,4192,3998,4209,4079,4241,6935,4241,7016,4209,7049,4192,7097,4176,7178,4160,7211,4144,7243,4127,7325,4095,7357,4078,7390,4062,7470,4030,7502,4013,7535,3998,7600,3948,7632,3932,7666,3916,7714,3884,7746,3867,7778,3834,7828,3802,7860,3785,7876,3753,5360,3753,5263,3736,5069,3736,5021,3720,4874,3720,4825,3704,4777,3704,4696,3688,4648,3688,4598,3671,4501,3656,4469,3656,4420,3639,4322,3622,4290,3606,4242,3590,4160,3574,4111,3557,4079,3557,3998,3525,3949,3508,3917,3492,3835,3476,3787,3460,3755,3443,3690,3411,3641,3395,3608,3378,3544,3346,3511,3329,3479,3314,3414,3264,3382,3248,3349,3232,3284,3200,3252,3183,3235,3150,3170,3118,3155,3101,3122,3069,3073,3036,3056,3004,3024,2987,2992,2939,2976,2922,2944,2906,2911,2858,2894,2825,2879,2808,2846,2759,2830,2744,2830,2711,2797,2662,2782,2645,2782,2630,2765,2580,2749,2548,2749,2531,2732,2483xm8281,2434l8266,2450,8266,2483,8249,2531,8249,2580,8233,2630,8216,2645,8201,2662,8184,2711,8168,2744,8152,2759,8119,2808,8104,2825,8087,2858,8060,2898,8027,2934,7991,2969,7957,3004,7925,3036,7876,3069,7860,3101,7828,3118,7778,3150,7746,3183,7714,3200,7666,3232,7632,3248,7600,3264,7535,3314,7502,3329,7470,3346,7390,3378,7357,3395,7325,3411,7243,3443,7211,3460,7178,3476,7097,3492,7049,3508,7016,3525,6935,3557,6886,3557,6853,3574,6756,3590,6724,3606,6676,3622,6594,3639,6546,3656,6497,3656,6400,3671,6367,3688,6318,3688,6221,3704,6173,3704,6124,3720,5977,3720,5945,3736,5750,3736,5653,3753,7876,3753,7925,3720,7957,3688,7973,3671,8022,3622,8039,3606,8054,3590,8087,3542,8104,3508,8119,3492,8152,3443,8168,3428,8184,3395,8201,3346,8216,3329,8233,3314,8249,3264,8249,3215,8266,3167,8266,3134,8281,3118,8281,2434xe" filled="true" fillcolor="#005828" stroked="false">
              <v:path arrowok="t"/>
              <v:fill type="solid"/>
            </v:shape>
            <v:shape style="position:absolute;left:2732;top:1163;width:5549;height:2607" coordorigin="2732,1163" coordsize="5549,2607" path="m5750,3753l5215,3753,5312,3770,5701,3770,5750,3753xm5977,3736l5021,3736,5118,3753,5945,3753,5977,3736xm6270,3704l4745,3704,4777,3720,4825,3720,4922,3736,6124,3736,6173,3720,6270,3704xm2846,1961l2830,1978,2814,2027,2797,2043,2782,2075,2765,2124,2765,2141,2749,2174,2749,2223,2732,2238,2732,2466,2749,2516,2749,2564,2765,2613,2782,2630,2782,2662,2814,2711,2830,2727,2830,2744,2862,2792,2879,2825,2894,2841,2927,2890,2944,2906,2976,2939,3008,2972,3024,3004,3056,3020,3122,3086,3155,3101,3203,3150,3235,3167,3295,3216,3365,3257,3440,3293,3511,3329,3576,3378,3608,3395,3641,3411,3722,3443,3755,3460,3787,3476,3869,3492,3917,3508,3949,3525,4031,3557,4079,3557,4111,3574,4193,3606,4242,3606,4290,3622,4372,3639,4420,3656,4469,3656,4549,3688,4598,3688,4648,3704,6367,3704,6448,3688,6497,3671,6546,3656,6626,3639,6676,3639,6724,3622,6805,3606,6853,3590,6886,3574,6967,3557,7016,3542,7049,3525,7129,3492,7178,3476,7211,3476,7292,3443,7325,3428,7357,3411,7438,3378,7470,3362,7502,3329,7567,3297,7600,3281,7632,3264,7698,3232,7714,3215,7746,3183,7811,3150,7860,3101,7908,3069,7925,3036,7957,3020,7990,2972,8022,2955,8039,2939,8071,2890,8087,2873,8104,2841,8136,2792,8152,2776,8168,2744,8201,2711,8201,2678,8216,2662,8233,2613,8249,2580,8249,2564,8266,2516,8266,2466,8281,2417,8281,2369,5507,2369,2846,1961xm6935,1163l5507,2369,8281,2369,8281,2288,8266,2271,8266,2223,8249,2189,8249,2174,8233,2124,8233,2092,8216,2075,8201,2027,8184,1995,8168,1978,8136,1929,8119,1913,8104,1881,8071,1847,8054,1815,7973,1733,7957,1701,7908,1668,7876,1636,7860,1619,7811,1587,7778,1554,7746,1539,7698,1505,7666,1490,7632,1457,7567,1425,7502,1391,7438,1359,7390,1343,7357,1326,7292,1294,7243,1277,7211,1262,7129,1229,7097,1212,7049,1197,6967,1180,6935,1163xe" filled="true" fillcolor="#00b050" stroked="false">
              <v:path arrowok="t"/>
              <v:fill type="solid"/>
            </v:shape>
            <v:shape style="position:absolute;left:1611;top:185;width:8666;height:4382" type="#_x0000_t202" filled="false" stroked="true" strokeweight=".06pt" strokecolor="#7f7f7f">
              <v:textbox inset="0,0,0,0">
                <w:txbxContent>
                  <w:p>
                    <w:pPr>
                      <w:spacing w:line="240" w:lineRule="auto" w:before="8"/>
                      <w:rPr>
                        <w:sz w:val="17"/>
                      </w:rPr>
                    </w:pPr>
                  </w:p>
                  <w:p>
                    <w:pPr>
                      <w:spacing w:before="0"/>
                      <w:ind w:left="3962" w:right="3636" w:firstLine="0"/>
                      <w:jc w:val="center"/>
                      <w:rPr>
                        <w:rFonts w:ascii="宋体"/>
                        <w:sz w:val="21"/>
                      </w:rPr>
                    </w:pPr>
                    <w:r>
                      <w:rPr>
                        <w:rFonts w:ascii="宋体"/>
                        <w:sz w:val="21"/>
                      </w:rPr>
                      <w:t>8.6%</w:t>
                    </w:r>
                  </w:p>
                  <w:p>
                    <w:pPr>
                      <w:spacing w:before="99"/>
                      <w:ind w:left="1573" w:right="0" w:firstLine="0"/>
                      <w:jc w:val="left"/>
                      <w:rPr>
                        <w:rFonts w:ascii="宋体"/>
                        <w:sz w:val="21"/>
                      </w:rPr>
                    </w:pPr>
                    <w:r>
                      <w:rPr>
                        <w:rFonts w:ascii="宋体"/>
                        <w:sz w:val="21"/>
                      </w:rPr>
                      <w:t>20.2%</w:t>
                    </w:r>
                  </w:p>
                  <w:p>
                    <w:pPr>
                      <w:spacing w:line="240" w:lineRule="auto" w:before="0"/>
                      <w:rPr>
                        <w:sz w:val="20"/>
                      </w:rPr>
                    </w:pPr>
                  </w:p>
                  <w:p>
                    <w:pPr>
                      <w:spacing w:line="240" w:lineRule="auto" w:before="0"/>
                      <w:rPr>
                        <w:sz w:val="20"/>
                      </w:rPr>
                    </w:pPr>
                  </w:p>
                  <w:p>
                    <w:pPr>
                      <w:spacing w:line="240" w:lineRule="auto" w:before="2"/>
                      <w:rPr>
                        <w:sz w:val="16"/>
                      </w:rPr>
                    </w:pPr>
                  </w:p>
                  <w:p>
                    <w:pPr>
                      <w:spacing w:line="333" w:lineRule="auto" w:before="0"/>
                      <w:ind w:left="7691" w:right="126" w:firstLine="0"/>
                      <w:jc w:val="both"/>
                      <w:rPr>
                        <w:rFonts w:ascii="宋体" w:eastAsia="宋体" w:hint="eastAsia"/>
                        <w:sz w:val="21"/>
                      </w:rPr>
                    </w:pPr>
                    <w:r>
                      <w:rPr>
                        <w:rFonts w:ascii="宋体" w:eastAsia="宋体" w:hint="eastAsia"/>
                        <w:sz w:val="21"/>
                      </w:rPr>
                      <w:t>第一产业第二产业第三产业</w:t>
                    </w:r>
                  </w:p>
                  <w:p>
                    <w:pPr>
                      <w:spacing w:before="17"/>
                      <w:ind w:left="4266" w:right="3437" w:firstLine="0"/>
                      <w:jc w:val="center"/>
                      <w:rPr>
                        <w:rFonts w:ascii="宋体"/>
                        <w:sz w:val="21"/>
                      </w:rPr>
                    </w:pPr>
                    <w:r>
                      <w:rPr>
                        <w:rFonts w:ascii="宋体"/>
                        <w:sz w:val="21"/>
                      </w:rPr>
                      <w:t>71.2%</w:t>
                    </w:r>
                  </w:p>
                </w:txbxContent>
              </v:textbox>
              <v:stroke dashstyle="solid"/>
              <w10:wrap type="none"/>
            </v:shape>
            <w10:wrap type="topAndBottom"/>
          </v:group>
        </w:pict>
      </w:r>
    </w:p>
    <w:p>
      <w:pPr>
        <w:pStyle w:val="BodyText"/>
        <w:spacing w:before="11"/>
        <w:ind w:left="0"/>
        <w:rPr>
          <w:sz w:val="29"/>
        </w:rPr>
      </w:pPr>
    </w:p>
    <w:p>
      <w:pPr>
        <w:pStyle w:val="BodyText"/>
        <w:ind w:left="790"/>
      </w:pPr>
      <w:r>
        <w:rPr/>
        <w:pict>
          <v:rect style="position:absolute;margin-left:456.23999pt;margin-top:-115.477448pt;width:5.7pt;height:5.7pt;mso-position-horizontal-relative:page;mso-position-vertical-relative:paragraph;z-index:-262720" filled="true" fillcolor="#00b0f0" stroked="false">
            <v:fill type="solid"/>
            <w10:wrap type="none"/>
          </v:rect>
        </w:pict>
      </w:r>
      <w:r>
        <w:rPr/>
        <w:t>农村经济稳步发展。农业增加值达到 11.8 亿元，年均增长</w:t>
      </w:r>
    </w:p>
    <w:p>
      <w:pPr>
        <w:pStyle w:val="BodyText"/>
        <w:spacing w:line="343" w:lineRule="auto" w:before="181"/>
        <w:ind w:left="151" w:right="145"/>
        <w:jc w:val="both"/>
      </w:pPr>
      <w:r>
        <w:rPr/>
        <w:t>3.3%</w:t>
      </w:r>
      <w:r>
        <w:rPr>
          <w:spacing w:val="-14"/>
        </w:rPr>
        <w:t>。粮食连续增产，总产量达到 </w:t>
      </w:r>
      <w:r>
        <w:rPr/>
        <w:t>8.5</w:t>
      </w:r>
      <w:r>
        <w:rPr>
          <w:spacing w:val="-16"/>
        </w:rPr>
        <w:t> 万吨。畜牧、蔬菜、花木</w:t>
      </w:r>
      <w:r>
        <w:rPr>
          <w:spacing w:val="-20"/>
        </w:rPr>
        <w:t>三大特色农业产值占农业总产值的比重达到 </w:t>
      </w:r>
      <w:r>
        <w:rPr/>
        <w:t>85%</w:t>
      </w:r>
      <w:r>
        <w:rPr>
          <w:spacing w:val="-6"/>
        </w:rPr>
        <w:t>。拥有龙头企业</w:t>
      </w:r>
    </w:p>
    <w:p>
      <w:pPr>
        <w:pStyle w:val="BodyText"/>
        <w:spacing w:line="343" w:lineRule="auto" w:before="43"/>
        <w:ind w:left="151" w:right="145"/>
        <w:jc w:val="both"/>
      </w:pPr>
      <w:r>
        <w:rPr/>
        <w:t>22</w:t>
      </w:r>
      <w:r>
        <w:rPr>
          <w:spacing w:val="-24"/>
        </w:rPr>
        <w:t> 个、专合组织 </w:t>
      </w:r>
      <w:r>
        <w:rPr/>
        <w:t>156</w:t>
      </w:r>
      <w:r>
        <w:rPr>
          <w:spacing w:val="-17"/>
        </w:rPr>
        <w:t> 个，产业化主体带动农户 </w:t>
      </w:r>
      <w:r>
        <w:rPr/>
        <w:t>5.39</w:t>
      </w:r>
      <w:r>
        <w:rPr>
          <w:spacing w:val="-17"/>
        </w:rPr>
        <w:t> 万户，带动</w:t>
      </w:r>
      <w:r>
        <w:rPr>
          <w:spacing w:val="-40"/>
        </w:rPr>
        <w:t>面达 </w:t>
      </w:r>
      <w:r>
        <w:rPr/>
        <w:t>77%。</w:t>
      </w:r>
    </w:p>
    <w:p>
      <w:pPr>
        <w:pStyle w:val="BodyText"/>
        <w:spacing w:before="43"/>
        <w:ind w:left="790"/>
      </w:pPr>
      <w:r>
        <w:rPr/>
        <w:t>工业经济加快转型。工业增加值达到 94.9 亿元，年均增长</w:t>
      </w:r>
    </w:p>
    <w:p>
      <w:pPr>
        <w:pStyle w:val="BodyText"/>
        <w:spacing w:before="181"/>
        <w:ind w:left="151"/>
        <w:jc w:val="both"/>
      </w:pPr>
      <w:r>
        <w:rPr/>
        <w:t>10.7%。规模以上工业企业总产值达到 262.5 亿元，盐磷化工、</w:t>
      </w:r>
    </w:p>
    <w:p>
      <w:pPr>
        <w:pStyle w:val="BodyText"/>
        <w:spacing w:line="343" w:lineRule="auto" w:before="181"/>
        <w:ind w:left="151" w:right="109"/>
        <w:jc w:val="both"/>
      </w:pPr>
      <w:r>
        <w:rPr>
          <w:spacing w:val="-13"/>
        </w:rPr>
        <w:t>硅材料、稀土应用、机电制造四大支柱产业产值 </w:t>
      </w:r>
      <w:r>
        <w:rPr/>
        <w:t>243</w:t>
      </w:r>
      <w:r>
        <w:rPr>
          <w:spacing w:val="-22"/>
        </w:rPr>
        <w:t> 亿元，占总</w:t>
      </w:r>
      <w:r>
        <w:rPr>
          <w:spacing w:val="-40"/>
        </w:rPr>
        <w:t>产值的 </w:t>
      </w:r>
      <w:r>
        <w:rPr/>
        <w:t>92%。三江临港经济开发区获准为乐山高新区（国家级） </w:t>
      </w:r>
      <w:r>
        <w:rPr>
          <w:spacing w:val="-5"/>
        </w:rPr>
        <w:t>南区，国家高新技术企业达到 </w:t>
      </w:r>
      <w:r>
        <w:rPr/>
        <w:t>10</w:t>
      </w:r>
      <w:r>
        <w:rPr>
          <w:spacing w:val="-9"/>
        </w:rPr>
        <w:t> 家，高新技术产业产值占全市</w:t>
      </w:r>
      <w:r>
        <w:rPr>
          <w:spacing w:val="-16"/>
        </w:rPr>
        <w:t>比重达到 </w:t>
      </w:r>
      <w:r>
        <w:rPr/>
        <w:t>34%</w:t>
      </w:r>
      <w:r>
        <w:rPr>
          <w:spacing w:val="-8"/>
        </w:rPr>
        <w:t>。福华集团 </w:t>
      </w:r>
      <w:r>
        <w:rPr/>
        <w:t>2013</w:t>
      </w:r>
      <w:r>
        <w:rPr>
          <w:spacing w:val="-7"/>
        </w:rPr>
        <w:t> 年主营业务收入突破百亿大关， </w:t>
      </w:r>
      <w:r>
        <w:rPr>
          <w:spacing w:val="-10"/>
        </w:rPr>
        <w:t>草甘膦产能成为全球第二，永祥多晶硅产能达到 </w:t>
      </w:r>
      <w:r>
        <w:rPr/>
        <w:t>1.5</w:t>
      </w:r>
      <w:r>
        <w:rPr>
          <w:spacing w:val="-23"/>
        </w:rPr>
        <w:t> 万吨</w:t>
      </w:r>
      <w:r>
        <w:rPr/>
        <w:t>/年，</w:t>
      </w:r>
    </w:p>
    <w:p>
      <w:pPr>
        <w:pStyle w:val="BodyText"/>
        <w:spacing w:line="343" w:lineRule="auto" w:before="43"/>
        <w:ind w:left="151" w:right="145"/>
        <w:jc w:val="both"/>
      </w:pPr>
      <w:r>
        <w:rPr/>
        <w:t>2.5</w:t>
      </w:r>
      <w:r>
        <w:rPr>
          <w:spacing w:val="-13"/>
        </w:rPr>
        <w:t> 万吨稀土萃取能力居西南第一，和邦股份、盛和资源成功上市。</w:t>
      </w:r>
    </w:p>
    <w:p>
      <w:pPr>
        <w:spacing w:after="0" w:line="343" w:lineRule="auto"/>
        <w:jc w:val="both"/>
        <w:sectPr>
          <w:pgSz w:w="11910" w:h="16840"/>
          <w:pgMar w:header="0" w:footer="998" w:top="1080" w:bottom="1180" w:left="1380" w:right="1380"/>
        </w:sectPr>
      </w:pPr>
    </w:p>
    <w:p>
      <w:pPr>
        <w:pStyle w:val="BodyText"/>
        <w:ind w:left="0"/>
        <w:rPr>
          <w:sz w:val="20"/>
        </w:rPr>
      </w:pPr>
    </w:p>
    <w:p>
      <w:pPr>
        <w:pStyle w:val="BodyText"/>
        <w:spacing w:before="3"/>
        <w:ind w:left="0"/>
        <w:rPr>
          <w:sz w:val="24"/>
        </w:rPr>
      </w:pPr>
    </w:p>
    <w:p>
      <w:pPr>
        <w:spacing w:before="14"/>
        <w:ind w:left="1447" w:right="1502" w:firstLine="0"/>
        <w:jc w:val="center"/>
        <w:rPr>
          <w:sz w:val="28"/>
        </w:rPr>
      </w:pPr>
      <w:r>
        <w:rPr>
          <w:sz w:val="28"/>
        </w:rPr>
        <w:t>图 5.五通桥区“十二五”期间工业增加值增长图</w:t>
      </w:r>
    </w:p>
    <w:p>
      <w:pPr>
        <w:pStyle w:val="BodyText"/>
        <w:spacing w:before="6"/>
        <w:ind w:left="0"/>
        <w:rPr>
          <w:sz w:val="19"/>
        </w:rPr>
      </w:pPr>
      <w:r>
        <w:rPr/>
        <w:pict>
          <v:group style="position:absolute;margin-left:79.930pt;margin-top:14.712485pt;width:434.75pt;height:228.85pt;mso-position-horizontal-relative:page;mso-position-vertical-relative:paragraph;z-index:3376;mso-wrap-distance-left:0;mso-wrap-distance-right:0" coordorigin="1599,294" coordsize="8695,4577">
            <v:rect style="position:absolute;left:1600;top:296;width:8693;height:4574" filled="true" fillcolor="#92d050" stroked="false">
              <v:fill type="solid"/>
            </v:rect>
            <v:rect style="position:absolute;left:1599;top:295;width:8693;height:4575" filled="false" stroked="true" strokeweight=".06pt" strokecolor="#65659a">
              <v:stroke dashstyle="solid"/>
            </v:rect>
            <v:rect style="position:absolute;left:2170;top:658;width:6915;height:3740" filled="true" fillcolor="#fac090" stroked="false">
              <v:fill type="solid"/>
            </v:rect>
            <v:line style="position:absolute" from="8738,4021" to="9084,4021" stroked="true" strokeweight=".06pt" strokecolor="#7f7f7f">
              <v:stroke dashstyle="solid"/>
            </v:line>
            <v:line style="position:absolute" from="7586,4021" to="8280,4021" stroked="true" strokeweight=".06pt" strokecolor="#7f7f7f">
              <v:stroke dashstyle="solid"/>
            </v:line>
            <v:line style="position:absolute" from="6433,4021" to="7128,4021" stroked="true" strokeweight=".06pt" strokecolor="#7f7f7f">
              <v:stroke dashstyle="solid"/>
            </v:line>
            <v:line style="position:absolute" from="5281,4021" to="5975,4021" stroked="true" strokeweight=".06pt" strokecolor="#7f7f7f">
              <v:stroke dashstyle="solid"/>
            </v:line>
            <v:line style="position:absolute" from="4128,4021" to="4823,4021" stroked="true" strokeweight=".06pt" strokecolor="#7f7f7f">
              <v:stroke dashstyle="solid"/>
            </v:line>
            <v:line style="position:absolute" from="2976,4021" to="3670,4021" stroked="true" strokeweight=".06pt" strokecolor="#7f7f7f">
              <v:stroke dashstyle="solid"/>
            </v:line>
            <v:line style="position:absolute" from="2170,4021" to="2518,4021" stroked="true" strokeweight=".06pt" strokecolor="#7f7f7f">
              <v:stroke dashstyle="solid"/>
            </v:line>
            <v:line style="position:absolute" from="8738,3646" to="9084,3646" stroked="true" strokeweight=".06pt" strokecolor="#7f7f7f">
              <v:stroke dashstyle="solid"/>
            </v:line>
            <v:line style="position:absolute" from="7586,3646" to="8280,3646" stroked="true" strokeweight=".06pt" strokecolor="#7f7f7f">
              <v:stroke dashstyle="solid"/>
            </v:line>
            <v:line style="position:absolute" from="6433,3646" to="7128,3646" stroked="true" strokeweight=".06pt" strokecolor="#7f7f7f">
              <v:stroke dashstyle="solid"/>
            </v:line>
            <v:line style="position:absolute" from="5281,3646" to="5975,3646" stroked="true" strokeweight=".06pt" strokecolor="#7f7f7f">
              <v:stroke dashstyle="solid"/>
            </v:line>
            <v:line style="position:absolute" from="4128,3646" to="4823,3646" stroked="true" strokeweight=".06pt" strokecolor="#7f7f7f">
              <v:stroke dashstyle="solid"/>
            </v:line>
            <v:line style="position:absolute" from="2976,3646" to="3670,3646" stroked="true" strokeweight=".06pt" strokecolor="#7f7f7f">
              <v:stroke dashstyle="solid"/>
            </v:line>
            <v:line style="position:absolute" from="2170,3646" to="2518,3646" stroked="true" strokeweight=".06pt" strokecolor="#7f7f7f">
              <v:stroke dashstyle="solid"/>
            </v:line>
            <v:line style="position:absolute" from="8738,3270" to="9084,3270" stroked="true" strokeweight=".06pt" strokecolor="#7f7f7f">
              <v:stroke dashstyle="solid"/>
            </v:line>
            <v:line style="position:absolute" from="7586,3270" to="8280,3270" stroked="true" strokeweight=".06pt" strokecolor="#7f7f7f">
              <v:stroke dashstyle="solid"/>
            </v:line>
            <v:line style="position:absolute" from="6433,3270" to="7128,3270" stroked="true" strokeweight=".06pt" strokecolor="#7f7f7f">
              <v:stroke dashstyle="solid"/>
            </v:line>
            <v:line style="position:absolute" from="5281,3270" to="5975,3270" stroked="true" strokeweight=".06pt" strokecolor="#7f7f7f">
              <v:stroke dashstyle="solid"/>
            </v:line>
            <v:line style="position:absolute" from="4128,3270" to="4823,3270" stroked="true" strokeweight=".06pt" strokecolor="#7f7f7f">
              <v:stroke dashstyle="solid"/>
            </v:line>
            <v:line style="position:absolute" from="2976,3270" to="3670,3270" stroked="true" strokeweight=".06pt" strokecolor="#7f7f7f">
              <v:stroke dashstyle="solid"/>
            </v:line>
            <v:line style="position:absolute" from="2170,3270" to="2518,3270" stroked="true" strokeweight=".06pt" strokecolor="#7f7f7f">
              <v:stroke dashstyle="solid"/>
            </v:line>
            <v:line style="position:absolute" from="8738,2896" to="8876,2896" stroked="true" strokeweight=".06pt" strokecolor="#7f7f7f">
              <v:stroke dashstyle="solid"/>
            </v:line>
            <v:line style="position:absolute" from="7586,2896" to="8280,2896" stroked="true" strokeweight=".06pt" strokecolor="#7f7f7f">
              <v:stroke dashstyle="solid"/>
            </v:line>
            <v:line style="position:absolute" from="6433,2896" to="7128,2896" stroked="true" strokeweight=".06pt" strokecolor="#7f7f7f">
              <v:stroke dashstyle="solid"/>
            </v:line>
            <v:line style="position:absolute" from="5281,2896" to="5975,2896" stroked="true" strokeweight=".06pt" strokecolor="#7f7f7f">
              <v:stroke dashstyle="solid"/>
            </v:line>
            <v:line style="position:absolute" from="4128,2896" to="4823,2896" stroked="true" strokeweight=".06pt" strokecolor="#7f7f7f">
              <v:stroke dashstyle="solid"/>
            </v:line>
            <v:line style="position:absolute" from="2976,2896" to="3670,2896" stroked="true" strokeweight=".06pt" strokecolor="#7f7f7f">
              <v:stroke dashstyle="solid"/>
            </v:line>
            <v:line style="position:absolute" from="2170,2896" to="2518,2896" stroked="true" strokeweight=".06pt" strokecolor="#7f7f7f">
              <v:stroke dashstyle="solid"/>
            </v:line>
            <v:line style="position:absolute" from="8738,2533" to="8876,2533" stroked="true" strokeweight=".06pt" strokecolor="#7f7f7f">
              <v:stroke dashstyle="solid"/>
            </v:line>
            <v:line style="position:absolute" from="7586,2533" to="8280,2533" stroked="true" strokeweight=".06pt" strokecolor="#7f7f7f">
              <v:stroke dashstyle="solid"/>
            </v:line>
            <v:line style="position:absolute" from="6433,2533" to="7128,2533" stroked="true" strokeweight=".06pt" strokecolor="#7f7f7f">
              <v:stroke dashstyle="solid"/>
            </v:line>
            <v:line style="position:absolute" from="5281,2533" to="5975,2533" stroked="true" strokeweight=".06pt" strokecolor="#7f7f7f">
              <v:stroke dashstyle="solid"/>
            </v:line>
            <v:line style="position:absolute" from="4128,2533" to="4823,2533" stroked="true" strokeweight=".06pt" strokecolor="#7f7f7f">
              <v:stroke dashstyle="solid"/>
            </v:line>
            <v:line style="position:absolute" from="2976,2533" to="3670,2533" stroked="true" strokeweight=".06pt" strokecolor="#7f7f7f">
              <v:stroke dashstyle="solid"/>
            </v:line>
            <v:line style="position:absolute" from="2170,2533" to="2518,2533" stroked="true" strokeweight=".06pt" strokecolor="#7f7f7f">
              <v:stroke dashstyle="solid"/>
            </v:line>
            <v:line style="position:absolute" from="8738,2159" to="9084,2159" stroked="true" strokeweight=".06pt" strokecolor="#7f7f7f">
              <v:stroke dashstyle="solid"/>
            </v:line>
            <v:line style="position:absolute" from="7586,2159" to="8280,2159" stroked="true" strokeweight=".06pt" strokecolor="#7f7f7f">
              <v:stroke dashstyle="solid"/>
            </v:line>
            <v:line style="position:absolute" from="6433,2159" to="7128,2159" stroked="true" strokeweight=".06pt" strokecolor="#7f7f7f">
              <v:stroke dashstyle="solid"/>
            </v:line>
            <v:line style="position:absolute" from="5281,2159" to="5975,2159" stroked="true" strokeweight=".06pt" strokecolor="#7f7f7f">
              <v:stroke dashstyle="solid"/>
            </v:line>
            <v:line style="position:absolute" from="4128,2159" to="4823,2159" stroked="true" strokeweight=".06pt" strokecolor="#7f7f7f">
              <v:stroke dashstyle="solid"/>
            </v:line>
            <v:line style="position:absolute" from="2976,2159" to="3670,2159" stroked="true" strokeweight=".06pt" strokecolor="#7f7f7f">
              <v:stroke dashstyle="solid"/>
            </v:line>
            <v:line style="position:absolute" from="2170,2159" to="2518,2159" stroked="true" strokeweight=".06pt" strokecolor="#7f7f7f">
              <v:stroke dashstyle="solid"/>
            </v:line>
            <v:line style="position:absolute" from="8738,1783" to="9084,1783" stroked="true" strokeweight=".06pt" strokecolor="#7f7f7f">
              <v:stroke dashstyle="solid"/>
            </v:line>
            <v:line style="position:absolute" from="7586,1783" to="8280,1783" stroked="true" strokeweight=".06pt" strokecolor="#7f7f7f">
              <v:stroke dashstyle="solid"/>
            </v:line>
            <v:line style="position:absolute" from="6433,1783" to="7128,1783" stroked="true" strokeweight=".06pt" strokecolor="#7f7f7f">
              <v:stroke dashstyle="solid"/>
            </v:line>
            <v:line style="position:absolute" from="5281,1783" to="5975,1783" stroked="true" strokeweight=".06pt" strokecolor="#7f7f7f">
              <v:stroke dashstyle="solid"/>
            </v:line>
            <v:line style="position:absolute" from="4128,1783" to="4823,1783" stroked="true" strokeweight=".06pt" strokecolor="#7f7f7f">
              <v:stroke dashstyle="solid"/>
            </v:line>
            <v:line style="position:absolute" from="2170,1783" to="3670,1783" stroked="true" strokeweight=".06pt" strokecolor="#7f7f7f">
              <v:stroke dashstyle="solid"/>
            </v:line>
            <v:line style="position:absolute" from="8738,1408" to="9084,1408" stroked="true" strokeweight=".06pt" strokecolor="#7f7f7f">
              <v:stroke dashstyle="solid"/>
            </v:line>
            <v:line style="position:absolute" from="7586,1408" to="8280,1408" stroked="true" strokeweight=".06pt" strokecolor="#7f7f7f">
              <v:stroke dashstyle="solid"/>
            </v:line>
            <v:line style="position:absolute" from="6433,1408" to="7128,1408" stroked="true" strokeweight=".06pt" strokecolor="#7f7f7f">
              <v:stroke dashstyle="solid"/>
            </v:line>
            <v:line style="position:absolute" from="5281,1408" to="5975,1408" stroked="true" strokeweight=".06pt" strokecolor="#7f7f7f">
              <v:stroke dashstyle="solid"/>
            </v:line>
            <v:line style="position:absolute" from="2170,1408" to="4823,1408" stroked="true" strokeweight=".06pt" strokecolor="#7f7f7f">
              <v:stroke dashstyle="solid"/>
            </v:line>
            <v:line style="position:absolute" from="8738,1032" to="9084,1032" stroked="true" strokeweight=".06pt" strokecolor="#7f7f7f">
              <v:stroke dashstyle="solid"/>
            </v:line>
            <v:line style="position:absolute" from="6433,1032" to="8280,1032" stroked="true" strokeweight=".06pt" strokecolor="#7f7f7f">
              <v:stroke dashstyle="solid"/>
            </v:line>
            <v:line style="position:absolute" from="2170,1032" to="5975,1032" stroked="true" strokeweight=".06pt" strokecolor="#7f7f7f">
              <v:stroke dashstyle="solid"/>
            </v:line>
            <v:line style="position:absolute" from="2170,658" to="9084,658" stroked="true" strokeweight=".06pt" strokecolor="#7f7f7f">
              <v:stroke dashstyle="solid"/>
            </v:line>
            <v:rect style="position:absolute;left:2517;top:2103;width:459;height:2295" filled="true" fillcolor="#c00000" stroked="false">
              <v:fill type="solid"/>
            </v:rect>
            <v:rect style="position:absolute;left:3669;top:1464;width:459;height:2934" filled="true" fillcolor="#c00000" stroked="false">
              <v:fill type="solid"/>
            </v:rect>
            <v:rect style="position:absolute;left:4822;top:1130;width:459;height:3268" filled="true" fillcolor="#c00000" stroked="false">
              <v:fill type="solid"/>
            </v:rect>
            <v:rect style="position:absolute;left:5974;top:880;width:459;height:3518" filled="true" fillcolor="#c00000" stroked="false">
              <v:fill type="solid"/>
            </v:rect>
            <v:rect style="position:absolute;left:7128;top:1060;width:459;height:3338" filled="true" fillcolor="#c00000" stroked="false">
              <v:fill type="solid"/>
            </v:rect>
            <v:rect style="position:absolute;left:8280;top:853;width:459;height:3545" filled="true" fillcolor="#c00000" stroked="false">
              <v:fill type="solid"/>
            </v:rect>
            <v:line style="position:absolute" from="2170,658" to="2170,4397" stroked="true" strokeweight=".06pt" strokecolor="#7f7f7f">
              <v:stroke dashstyle="solid"/>
            </v:line>
            <v:line style="position:absolute" from="2114,4397" to="2170,4397" stroked="true" strokeweight=".06pt" strokecolor="#7f7f7f">
              <v:stroke dashstyle="solid"/>
            </v:line>
            <v:line style="position:absolute" from="2114,4021" to="2170,4021" stroked="true" strokeweight=".06pt" strokecolor="#7f7f7f">
              <v:stroke dashstyle="solid"/>
            </v:line>
            <v:line style="position:absolute" from="2114,3646" to="2170,3646" stroked="true" strokeweight=".06pt" strokecolor="#7f7f7f">
              <v:stroke dashstyle="solid"/>
            </v:line>
            <v:line style="position:absolute" from="2114,3270" to="2170,3270" stroked="true" strokeweight=".06pt" strokecolor="#7f7f7f">
              <v:stroke dashstyle="solid"/>
            </v:line>
            <v:line style="position:absolute" from="2114,2896" to="2170,2896" stroked="true" strokeweight=".06pt" strokecolor="#7f7f7f">
              <v:stroke dashstyle="solid"/>
            </v:line>
            <v:line style="position:absolute" from="2114,2533" to="2170,2533" stroked="true" strokeweight=".06pt" strokecolor="#7f7f7f">
              <v:stroke dashstyle="solid"/>
            </v:line>
            <v:line style="position:absolute" from="2114,2159" to="2170,2159" stroked="true" strokeweight=".06pt" strokecolor="#7f7f7f">
              <v:stroke dashstyle="solid"/>
            </v:line>
            <v:line style="position:absolute" from="2114,1783" to="2170,1783" stroked="true" strokeweight=".06pt" strokecolor="#7f7f7f">
              <v:stroke dashstyle="solid"/>
            </v:line>
            <v:line style="position:absolute" from="2114,1408" to="2170,1408" stroked="true" strokeweight=".06pt" strokecolor="#7f7f7f">
              <v:stroke dashstyle="solid"/>
            </v:line>
            <v:line style="position:absolute" from="2114,1032" to="2170,1032" stroked="true" strokeweight=".06pt" strokecolor="#7f7f7f">
              <v:stroke dashstyle="solid"/>
            </v:line>
            <v:line style="position:absolute" from="2114,658" to="2170,658" stroked="true" strokeweight=".06pt" strokecolor="#7f7f7f">
              <v:stroke dashstyle="solid"/>
            </v:line>
            <v:line style="position:absolute" from="2170,4397" to="9084,4397" stroked="true" strokeweight=".06pt" strokecolor="#7f7f7f">
              <v:stroke dashstyle="solid"/>
            </v:line>
            <v:line style="position:absolute" from="2170,4452" to="2170,4397" stroked="true" strokeweight=".06pt" strokecolor="#7f7f7f">
              <v:stroke dashstyle="solid"/>
            </v:line>
            <v:line style="position:absolute" from="3322,4452" to="3322,4397" stroked="true" strokeweight=".06pt" strokecolor="#7f7f7f">
              <v:stroke dashstyle="solid"/>
            </v:line>
            <v:line style="position:absolute" from="4475,4452" to="4475,4397" stroked="true" strokeweight=".06pt" strokecolor="#7f7f7f">
              <v:stroke dashstyle="solid"/>
            </v:line>
            <v:line style="position:absolute" from="5627,4452" to="5627,4397" stroked="true" strokeweight=".06pt" strokecolor="#7f7f7f">
              <v:stroke dashstyle="solid"/>
            </v:line>
            <v:line style="position:absolute" from="6780,4452" to="6780,4397" stroked="true" strokeweight=".06pt" strokecolor="#7f7f7f">
              <v:stroke dashstyle="solid"/>
            </v:line>
            <v:line style="position:absolute" from="7932,4452" to="7932,4397" stroked="true" strokeweight=".06pt" strokecolor="#7f7f7f">
              <v:stroke dashstyle="solid"/>
            </v:line>
            <v:line style="position:absolute" from="9084,4452" to="9084,4397" stroked="true" strokeweight=".06pt" strokecolor="#7f7f7f">
              <v:stroke dashstyle="solid"/>
            </v:line>
            <v:line style="position:absolute" from="9093,2591" to="9093,2688" stroked="true" strokeweight="4.860pt" strokecolor="#c00000">
              <v:stroke dashstyle="solid"/>
            </v:line>
            <v:rect style="position:absolute;left:1599;top:295;width:8693;height:4575" filled="false" stroked="true" strokeweight=".06pt" strokecolor="#65659a">
              <v:stroke dashstyle="solid"/>
            </v:rect>
            <v:shape style="position:absolute;left:1739;top:574;width:312;height:181" type="#_x0000_t202" filled="false" stroked="false">
              <v:textbox inset="0,0,0,0">
                <w:txbxContent>
                  <w:p>
                    <w:pPr>
                      <w:spacing w:line="181" w:lineRule="exact" w:before="0"/>
                      <w:ind w:left="0" w:right="0" w:firstLine="0"/>
                      <w:jc w:val="left"/>
                      <w:rPr>
                        <w:rFonts w:ascii="宋体"/>
                        <w:sz w:val="18"/>
                      </w:rPr>
                    </w:pPr>
                    <w:r>
                      <w:rPr>
                        <w:rFonts w:ascii="宋体"/>
                        <w:sz w:val="18"/>
                      </w:rPr>
                      <w:t>100</w:t>
                    </w:r>
                  </w:p>
                </w:txbxContent>
              </v:textbox>
              <w10:wrap type="none"/>
            </v:shape>
            <v:shape style="position:absolute;left:5974;top:629;width:466;height:181" type="#_x0000_t202" filled="false" stroked="false">
              <v:textbox inset="0,0,0,0">
                <w:txbxContent>
                  <w:p>
                    <w:pPr>
                      <w:spacing w:line="181" w:lineRule="exact" w:before="0"/>
                      <w:ind w:left="0" w:right="0" w:firstLine="0"/>
                      <w:jc w:val="left"/>
                      <w:rPr>
                        <w:rFonts w:ascii="宋体"/>
                        <w:b/>
                        <w:sz w:val="18"/>
                      </w:rPr>
                    </w:pPr>
                    <w:r>
                      <w:rPr>
                        <w:rFonts w:ascii="宋体"/>
                        <w:b/>
                        <w:sz w:val="18"/>
                      </w:rPr>
                      <w:t>94.2 </w:t>
                    </w:r>
                  </w:p>
                </w:txbxContent>
              </v:textbox>
              <w10:wrap type="none"/>
            </v:shape>
            <v:shape style="position:absolute;left:8280;top:601;width:466;height:181" type="#_x0000_t202" filled="false" stroked="false">
              <v:textbox inset="0,0,0,0">
                <w:txbxContent>
                  <w:p>
                    <w:pPr>
                      <w:spacing w:line="181" w:lineRule="exact" w:before="0"/>
                      <w:ind w:left="0" w:right="0" w:firstLine="0"/>
                      <w:jc w:val="left"/>
                      <w:rPr>
                        <w:rFonts w:ascii="宋体"/>
                        <w:b/>
                        <w:sz w:val="18"/>
                      </w:rPr>
                    </w:pPr>
                    <w:r>
                      <w:rPr>
                        <w:rFonts w:ascii="宋体"/>
                        <w:b/>
                        <w:sz w:val="18"/>
                      </w:rPr>
                      <w:t>94.9 </w:t>
                    </w:r>
                  </w:p>
                </w:txbxContent>
              </v:textbox>
              <w10:wrap type="none"/>
            </v:shape>
            <v:shape style="position:absolute;left:1837;top:948;width:215;height:181" type="#_x0000_t202" filled="false" stroked="false">
              <v:textbox inset="0,0,0,0">
                <w:txbxContent>
                  <w:p>
                    <w:pPr>
                      <w:spacing w:line="181" w:lineRule="exact" w:before="0"/>
                      <w:ind w:left="0" w:right="0" w:firstLine="0"/>
                      <w:jc w:val="left"/>
                      <w:rPr>
                        <w:rFonts w:ascii="宋体"/>
                        <w:sz w:val="18"/>
                      </w:rPr>
                    </w:pPr>
                    <w:r>
                      <w:rPr>
                        <w:rFonts w:ascii="宋体"/>
                        <w:sz w:val="18"/>
                      </w:rPr>
                      <w:t>90</w:t>
                    </w:r>
                  </w:p>
                </w:txbxContent>
              </v:textbox>
              <w10:wrap type="none"/>
            </v:shape>
            <v:shape style="position:absolute;left:4821;top:879;width:444;height:181" type="#_x0000_t202" filled="false" stroked="false">
              <v:textbox inset="0,0,0,0">
                <w:txbxContent>
                  <w:p>
                    <w:pPr>
                      <w:spacing w:line="181" w:lineRule="exact" w:before="0"/>
                      <w:ind w:left="0" w:right="0" w:firstLine="0"/>
                      <w:jc w:val="left"/>
                      <w:rPr>
                        <w:rFonts w:ascii="宋体"/>
                        <w:b/>
                        <w:sz w:val="18"/>
                      </w:rPr>
                    </w:pPr>
                    <w:r>
                      <w:rPr>
                        <w:rFonts w:ascii="宋体"/>
                        <w:b/>
                        <w:spacing w:val="12"/>
                        <w:sz w:val="18"/>
                      </w:rPr>
                      <w:t>87.</w:t>
                    </w:r>
                    <w:r>
                      <w:rPr>
                        <w:rFonts w:ascii="宋体"/>
                        <w:b/>
                        <w:spacing w:val="-70"/>
                        <w:sz w:val="18"/>
                      </w:rPr>
                      <w:t> </w:t>
                    </w:r>
                    <w:r>
                      <w:rPr>
                        <w:rFonts w:ascii="宋体"/>
                        <w:b/>
                        <w:sz w:val="18"/>
                      </w:rPr>
                      <w:t>5</w:t>
                    </w:r>
                  </w:p>
                </w:txbxContent>
              </v:textbox>
              <w10:wrap type="none"/>
            </v:shape>
            <v:shape style="position:absolute;left:7126;top:810;width:444;height:181" type="#_x0000_t202" filled="false" stroked="false">
              <v:textbox inset="0,0,0,0">
                <w:txbxContent>
                  <w:p>
                    <w:pPr>
                      <w:spacing w:line="181" w:lineRule="exact" w:before="0"/>
                      <w:ind w:left="0" w:right="0" w:firstLine="0"/>
                      <w:jc w:val="left"/>
                      <w:rPr>
                        <w:rFonts w:ascii="宋体"/>
                        <w:b/>
                        <w:sz w:val="18"/>
                      </w:rPr>
                    </w:pPr>
                    <w:r>
                      <w:rPr>
                        <w:rFonts w:ascii="宋体"/>
                        <w:b/>
                        <w:spacing w:val="12"/>
                        <w:sz w:val="18"/>
                      </w:rPr>
                      <w:t>89.</w:t>
                    </w:r>
                    <w:r>
                      <w:rPr>
                        <w:rFonts w:ascii="宋体"/>
                        <w:b/>
                        <w:spacing w:val="-70"/>
                        <w:sz w:val="18"/>
                      </w:rPr>
                      <w:t> </w:t>
                    </w:r>
                    <w:r>
                      <w:rPr>
                        <w:rFonts w:ascii="宋体"/>
                        <w:b/>
                        <w:sz w:val="18"/>
                      </w:rPr>
                      <w:t>3</w:t>
                    </w:r>
                  </w:p>
                </w:txbxContent>
              </v:textbox>
              <w10:wrap type="none"/>
            </v:shape>
            <v:shape style="position:absolute;left:1837;top:1324;width:215;height:181" type="#_x0000_t202" filled="false" stroked="false">
              <v:textbox inset="0,0,0,0">
                <w:txbxContent>
                  <w:p>
                    <w:pPr>
                      <w:spacing w:line="181" w:lineRule="exact" w:before="0"/>
                      <w:ind w:left="0" w:right="0" w:firstLine="0"/>
                      <w:jc w:val="left"/>
                      <w:rPr>
                        <w:rFonts w:ascii="宋体"/>
                        <w:sz w:val="18"/>
                      </w:rPr>
                    </w:pPr>
                    <w:r>
                      <w:rPr>
                        <w:rFonts w:ascii="宋体"/>
                        <w:sz w:val="18"/>
                      </w:rPr>
                      <w:t>80</w:t>
                    </w:r>
                  </w:p>
                </w:txbxContent>
              </v:textbox>
              <w10:wrap type="none"/>
            </v:shape>
            <v:shape style="position:absolute;left:3669;top:1212;width:466;height:181" type="#_x0000_t202" filled="false" stroked="false">
              <v:textbox inset="0,0,0,0">
                <w:txbxContent>
                  <w:p>
                    <w:pPr>
                      <w:spacing w:line="181" w:lineRule="exact" w:before="0"/>
                      <w:ind w:left="0" w:right="0" w:firstLine="0"/>
                      <w:jc w:val="left"/>
                      <w:rPr>
                        <w:rFonts w:ascii="宋体"/>
                        <w:b/>
                        <w:sz w:val="18"/>
                      </w:rPr>
                    </w:pPr>
                    <w:r>
                      <w:rPr>
                        <w:rFonts w:ascii="宋体"/>
                        <w:b/>
                        <w:spacing w:val="10"/>
                        <w:sz w:val="18"/>
                      </w:rPr>
                      <w:t>78</w:t>
                    </w:r>
                    <w:r>
                      <w:rPr>
                        <w:rFonts w:ascii="宋体"/>
                        <w:b/>
                        <w:spacing w:val="-71"/>
                        <w:sz w:val="18"/>
                      </w:rPr>
                      <w:t> </w:t>
                    </w:r>
                    <w:r>
                      <w:rPr>
                        <w:rFonts w:ascii="宋体"/>
                        <w:b/>
                        <w:spacing w:val="10"/>
                        <w:sz w:val="18"/>
                      </w:rPr>
                      <w:t>.3</w:t>
                    </w:r>
                    <w:r>
                      <w:rPr>
                        <w:rFonts w:ascii="宋体"/>
                        <w:b/>
                        <w:spacing w:val="-70"/>
                        <w:sz w:val="18"/>
                      </w:rPr>
                      <w:t> </w:t>
                    </w:r>
                  </w:p>
                </w:txbxContent>
              </v:textbox>
              <w10:wrap type="none"/>
            </v:shape>
            <v:shape style="position:absolute;left:1837;top:1699;width:215;height:181" type="#_x0000_t202" filled="false" stroked="false">
              <v:textbox inset="0,0,0,0">
                <w:txbxContent>
                  <w:p>
                    <w:pPr>
                      <w:spacing w:line="181" w:lineRule="exact" w:before="0"/>
                      <w:ind w:left="0" w:right="0" w:firstLine="0"/>
                      <w:jc w:val="left"/>
                      <w:rPr>
                        <w:rFonts w:ascii="宋体"/>
                        <w:sz w:val="18"/>
                      </w:rPr>
                    </w:pPr>
                    <w:r>
                      <w:rPr>
                        <w:rFonts w:ascii="宋体"/>
                        <w:sz w:val="18"/>
                      </w:rPr>
                      <w:t>70</w:t>
                    </w:r>
                  </w:p>
                </w:txbxContent>
              </v:textbox>
              <w10:wrap type="none"/>
            </v:shape>
            <v:shape style="position:absolute;left:2517;top:1852;width:463;height:181" type="#_x0000_t202" filled="false" stroked="false">
              <v:textbox inset="0,0,0,0">
                <w:txbxContent>
                  <w:p>
                    <w:pPr>
                      <w:spacing w:line="181" w:lineRule="exact" w:before="0"/>
                      <w:ind w:left="0" w:right="0" w:firstLine="0"/>
                      <w:jc w:val="left"/>
                      <w:rPr>
                        <w:rFonts w:ascii="宋体"/>
                        <w:b/>
                        <w:sz w:val="18"/>
                      </w:rPr>
                    </w:pPr>
                    <w:r>
                      <w:rPr>
                        <w:rFonts w:ascii="宋体"/>
                        <w:b/>
                        <w:spacing w:val="10"/>
                        <w:sz w:val="18"/>
                      </w:rPr>
                      <w:t>61</w:t>
                    </w:r>
                    <w:r>
                      <w:rPr>
                        <w:rFonts w:ascii="宋体"/>
                        <w:b/>
                        <w:spacing w:val="-72"/>
                        <w:sz w:val="18"/>
                      </w:rPr>
                      <w:t> </w:t>
                    </w:r>
                    <w:r>
                      <w:rPr>
                        <w:rFonts w:ascii="宋体"/>
                        <w:b/>
                        <w:spacing w:val="10"/>
                        <w:sz w:val="18"/>
                      </w:rPr>
                      <w:t>.4</w:t>
                    </w:r>
                    <w:r>
                      <w:rPr>
                        <w:rFonts w:ascii="宋体"/>
                        <w:b/>
                        <w:spacing w:val="-71"/>
                        <w:sz w:val="18"/>
                      </w:rPr>
                      <w:t> </w:t>
                    </w:r>
                  </w:p>
                </w:txbxContent>
              </v:textbox>
              <w10:wrap type="none"/>
            </v:shape>
            <v:shape style="position:absolute;left:1837;top:2075;width:215;height:918" type="#_x0000_t202" filled="false" stroked="false">
              <v:textbox inset="0,0,0,0">
                <w:txbxContent>
                  <w:p>
                    <w:pPr>
                      <w:spacing w:line="181" w:lineRule="exact" w:before="0"/>
                      <w:ind w:left="0" w:right="0" w:firstLine="0"/>
                      <w:jc w:val="left"/>
                      <w:rPr>
                        <w:rFonts w:ascii="宋体"/>
                        <w:sz w:val="18"/>
                      </w:rPr>
                    </w:pPr>
                    <w:r>
                      <w:rPr>
                        <w:rFonts w:ascii="宋体"/>
                        <w:sz w:val="18"/>
                      </w:rPr>
                      <w:t>60</w:t>
                    </w:r>
                  </w:p>
                  <w:p>
                    <w:pPr>
                      <w:spacing w:before="139"/>
                      <w:ind w:left="0" w:right="0" w:firstLine="0"/>
                      <w:jc w:val="left"/>
                      <w:rPr>
                        <w:rFonts w:ascii="宋体"/>
                        <w:sz w:val="18"/>
                      </w:rPr>
                    </w:pPr>
                    <w:r>
                      <w:rPr>
                        <w:rFonts w:ascii="宋体"/>
                        <w:sz w:val="18"/>
                      </w:rPr>
                      <w:t>50</w:t>
                    </w:r>
                  </w:p>
                  <w:p>
                    <w:pPr>
                      <w:spacing w:before="127"/>
                      <w:ind w:left="0" w:right="0" w:firstLine="0"/>
                      <w:jc w:val="left"/>
                      <w:rPr>
                        <w:rFonts w:ascii="宋体"/>
                        <w:sz w:val="18"/>
                      </w:rPr>
                    </w:pPr>
                    <w:r>
                      <w:rPr>
                        <w:rFonts w:ascii="宋体"/>
                        <w:sz w:val="18"/>
                      </w:rPr>
                      <w:t>40</w:t>
                    </w:r>
                  </w:p>
                </w:txbxContent>
              </v:textbox>
              <w10:wrap type="none"/>
            </v:shape>
            <v:shape style="position:absolute;left:9196;top:2548;width:922;height:389" type="#_x0000_t202" filled="false" stroked="false">
              <v:textbox inset="0,0,0,0">
                <w:txbxContent>
                  <w:p>
                    <w:pPr>
                      <w:spacing w:line="167" w:lineRule="exact" w:before="0"/>
                      <w:ind w:left="0" w:right="0" w:firstLine="0"/>
                      <w:jc w:val="left"/>
                      <w:rPr>
                        <w:rFonts w:ascii="宋体" w:eastAsia="宋体" w:hint="eastAsia"/>
                        <w:sz w:val="18"/>
                      </w:rPr>
                    </w:pPr>
                    <w:r>
                      <w:rPr>
                        <w:rFonts w:ascii="宋体" w:eastAsia="宋体" w:hint="eastAsia"/>
                        <w:sz w:val="18"/>
                      </w:rPr>
                      <w:t>工业增加值</w:t>
                    </w:r>
                  </w:p>
                  <w:p>
                    <w:pPr>
                      <w:spacing w:line="222" w:lineRule="exact" w:before="0"/>
                      <w:ind w:left="0" w:right="0" w:firstLine="0"/>
                      <w:jc w:val="left"/>
                      <w:rPr>
                        <w:rFonts w:ascii="宋体" w:eastAsia="宋体" w:hint="eastAsia"/>
                        <w:sz w:val="18"/>
                      </w:rPr>
                    </w:pPr>
                    <w:r>
                      <w:rPr>
                        <w:rFonts w:ascii="宋体" w:eastAsia="宋体" w:hint="eastAsia"/>
                        <w:sz w:val="18"/>
                      </w:rPr>
                      <w:t>（亿元）</w:t>
                    </w:r>
                  </w:p>
                </w:txbxContent>
              </v:textbox>
              <w10:wrap type="none"/>
            </v:shape>
            <v:shape style="position:absolute;left:1837;top:3186;width:215;height:1308" type="#_x0000_t202" filled="false" stroked="false">
              <v:textbox inset="0,0,0,0">
                <w:txbxContent>
                  <w:p>
                    <w:pPr>
                      <w:spacing w:line="181" w:lineRule="exact" w:before="0"/>
                      <w:ind w:left="0" w:right="0" w:firstLine="0"/>
                      <w:jc w:val="left"/>
                      <w:rPr>
                        <w:rFonts w:ascii="宋体"/>
                        <w:sz w:val="18"/>
                      </w:rPr>
                    </w:pPr>
                    <w:r>
                      <w:rPr>
                        <w:rFonts w:ascii="宋体"/>
                        <w:sz w:val="18"/>
                      </w:rPr>
                      <w:t>30</w:t>
                    </w:r>
                  </w:p>
                  <w:p>
                    <w:pPr>
                      <w:spacing w:before="140"/>
                      <w:ind w:left="0" w:right="0" w:firstLine="0"/>
                      <w:jc w:val="left"/>
                      <w:rPr>
                        <w:rFonts w:ascii="宋体"/>
                        <w:sz w:val="18"/>
                      </w:rPr>
                    </w:pPr>
                    <w:r>
                      <w:rPr>
                        <w:rFonts w:ascii="宋体"/>
                        <w:sz w:val="18"/>
                      </w:rPr>
                      <w:t>20</w:t>
                    </w:r>
                  </w:p>
                  <w:p>
                    <w:pPr>
                      <w:spacing w:before="140"/>
                      <w:ind w:left="0" w:right="0" w:firstLine="0"/>
                      <w:jc w:val="left"/>
                      <w:rPr>
                        <w:rFonts w:ascii="宋体"/>
                        <w:sz w:val="18"/>
                      </w:rPr>
                    </w:pPr>
                    <w:r>
                      <w:rPr>
                        <w:rFonts w:ascii="宋体"/>
                        <w:sz w:val="18"/>
                      </w:rPr>
                      <w:t>10</w:t>
                    </w:r>
                  </w:p>
                  <w:p>
                    <w:pPr>
                      <w:spacing w:before="140"/>
                      <w:ind w:left="97" w:right="0" w:firstLine="0"/>
                      <w:jc w:val="left"/>
                      <w:rPr>
                        <w:rFonts w:ascii="宋体"/>
                        <w:sz w:val="18"/>
                      </w:rPr>
                    </w:pPr>
                    <w:r>
                      <w:rPr>
                        <w:rFonts w:ascii="宋体"/>
                        <w:w w:val="100"/>
                        <w:sz w:val="18"/>
                      </w:rPr>
                      <w:t>0</w:t>
                    </w:r>
                  </w:p>
                </w:txbxContent>
              </v:textbox>
              <w10:wrap type="none"/>
            </v:shape>
            <v:shape style="position:absolute;left:2558;top:4563;width:409;height:181" type="#_x0000_t202" filled="false" stroked="false">
              <v:textbox inset="0,0,0,0">
                <w:txbxContent>
                  <w:p>
                    <w:pPr>
                      <w:spacing w:line="181" w:lineRule="exact" w:before="0"/>
                      <w:ind w:left="0" w:right="0" w:firstLine="0"/>
                      <w:jc w:val="left"/>
                      <w:rPr>
                        <w:rFonts w:ascii="宋体"/>
                        <w:sz w:val="18"/>
                      </w:rPr>
                    </w:pPr>
                    <w:r>
                      <w:rPr>
                        <w:rFonts w:ascii="宋体"/>
                        <w:sz w:val="18"/>
                      </w:rPr>
                      <w:t>2010</w:t>
                    </w:r>
                  </w:p>
                </w:txbxContent>
              </v:textbox>
              <w10:wrap type="none"/>
            </v:shape>
            <v:shape style="position:absolute;left:3711;top:4563;width:409;height:181" type="#_x0000_t202" filled="false" stroked="false">
              <v:textbox inset="0,0,0,0">
                <w:txbxContent>
                  <w:p>
                    <w:pPr>
                      <w:spacing w:line="181" w:lineRule="exact" w:before="0"/>
                      <w:ind w:left="0" w:right="0" w:firstLine="0"/>
                      <w:jc w:val="left"/>
                      <w:rPr>
                        <w:rFonts w:ascii="宋体"/>
                        <w:sz w:val="18"/>
                      </w:rPr>
                    </w:pPr>
                    <w:r>
                      <w:rPr>
                        <w:rFonts w:ascii="宋体"/>
                        <w:sz w:val="18"/>
                      </w:rPr>
                      <w:t>2011</w:t>
                    </w:r>
                  </w:p>
                </w:txbxContent>
              </v:textbox>
              <w10:wrap type="none"/>
            </v:shape>
            <v:shape style="position:absolute;left:4863;top:4563;width:409;height:181" type="#_x0000_t202" filled="false" stroked="false">
              <v:textbox inset="0,0,0,0">
                <w:txbxContent>
                  <w:p>
                    <w:pPr>
                      <w:spacing w:line="181" w:lineRule="exact" w:before="0"/>
                      <w:ind w:left="0" w:right="0" w:firstLine="0"/>
                      <w:jc w:val="left"/>
                      <w:rPr>
                        <w:rFonts w:ascii="宋体"/>
                        <w:sz w:val="18"/>
                      </w:rPr>
                    </w:pPr>
                    <w:r>
                      <w:rPr>
                        <w:rFonts w:ascii="宋体"/>
                        <w:sz w:val="18"/>
                      </w:rPr>
                      <w:t>2012</w:t>
                    </w:r>
                  </w:p>
                </w:txbxContent>
              </v:textbox>
              <w10:wrap type="none"/>
            </v:shape>
            <v:shape style="position:absolute;left:6016;top:4563;width:409;height:181" type="#_x0000_t202" filled="false" stroked="false">
              <v:textbox inset="0,0,0,0">
                <w:txbxContent>
                  <w:p>
                    <w:pPr>
                      <w:spacing w:line="181" w:lineRule="exact" w:before="0"/>
                      <w:ind w:left="0" w:right="0" w:firstLine="0"/>
                      <w:jc w:val="left"/>
                      <w:rPr>
                        <w:rFonts w:ascii="宋体"/>
                        <w:sz w:val="18"/>
                      </w:rPr>
                    </w:pPr>
                    <w:r>
                      <w:rPr>
                        <w:rFonts w:ascii="宋体"/>
                        <w:sz w:val="18"/>
                      </w:rPr>
                      <w:t>2013</w:t>
                    </w:r>
                  </w:p>
                </w:txbxContent>
              </v:textbox>
              <w10:wrap type="none"/>
            </v:shape>
            <v:shape style="position:absolute;left:7168;top:4563;width:409;height:181" type="#_x0000_t202" filled="false" stroked="false">
              <v:textbox inset="0,0,0,0">
                <w:txbxContent>
                  <w:p>
                    <w:pPr>
                      <w:spacing w:line="181" w:lineRule="exact" w:before="0"/>
                      <w:ind w:left="0" w:right="0" w:firstLine="0"/>
                      <w:jc w:val="left"/>
                      <w:rPr>
                        <w:rFonts w:ascii="宋体"/>
                        <w:sz w:val="18"/>
                      </w:rPr>
                    </w:pPr>
                    <w:r>
                      <w:rPr>
                        <w:rFonts w:ascii="宋体"/>
                        <w:sz w:val="18"/>
                      </w:rPr>
                      <w:t>2014</w:t>
                    </w:r>
                  </w:p>
                </w:txbxContent>
              </v:textbox>
              <w10:wrap type="none"/>
            </v:shape>
            <v:shape style="position:absolute;left:8322;top:4563;width:409;height:181" type="#_x0000_t202" filled="false" stroked="false">
              <v:textbox inset="0,0,0,0">
                <w:txbxContent>
                  <w:p>
                    <w:pPr>
                      <w:spacing w:line="181" w:lineRule="exact" w:before="0"/>
                      <w:ind w:left="0" w:right="0" w:firstLine="0"/>
                      <w:jc w:val="left"/>
                      <w:rPr>
                        <w:rFonts w:ascii="宋体"/>
                        <w:sz w:val="18"/>
                      </w:rPr>
                    </w:pPr>
                    <w:r>
                      <w:rPr>
                        <w:rFonts w:ascii="宋体"/>
                        <w:sz w:val="18"/>
                      </w:rPr>
                      <w:t>2015</w:t>
                    </w:r>
                  </w:p>
                </w:txbxContent>
              </v:textbox>
              <w10:wrap type="none"/>
            </v:shape>
            <w10:wrap type="topAndBottom"/>
          </v:group>
        </w:pict>
      </w:r>
    </w:p>
    <w:p>
      <w:pPr>
        <w:pStyle w:val="BodyText"/>
        <w:ind w:left="0"/>
        <w:rPr>
          <w:sz w:val="28"/>
        </w:rPr>
      </w:pPr>
    </w:p>
    <w:p>
      <w:pPr>
        <w:pStyle w:val="BodyText"/>
        <w:ind w:left="0"/>
        <w:rPr>
          <w:sz w:val="28"/>
        </w:rPr>
      </w:pPr>
    </w:p>
    <w:p>
      <w:pPr>
        <w:spacing w:before="1"/>
        <w:ind w:left="1447" w:right="1502" w:firstLine="0"/>
        <w:jc w:val="center"/>
        <w:rPr>
          <w:sz w:val="28"/>
        </w:rPr>
      </w:pPr>
      <w:r>
        <w:rPr/>
        <w:pict>
          <v:rect style="position:absolute;margin-left:454.320007pt;margin-top:105.921867pt;width:5.76pt;height:6.3pt;mso-position-horizontal-relative:page;mso-position-vertical-relative:paragraph;z-index:-262168" filled="true" fillcolor="#4f81bd" stroked="false">
            <v:fill type="solid"/>
            <w10:wrap type="none"/>
          </v:rect>
        </w:pict>
      </w:r>
      <w:r>
        <w:rPr/>
        <w:pict>
          <v:rect style="position:absolute;margin-left:454.320007pt;margin-top:127.461868pt;width:5.76pt;height:6.3pt;mso-position-horizontal-relative:page;mso-position-vertical-relative:paragraph;z-index:-262144" filled="true" fillcolor="#c0504d" stroked="false">
            <v:fill type="solid"/>
            <w10:wrap type="none"/>
          </v:rect>
        </w:pict>
      </w:r>
      <w:r>
        <w:rPr/>
        <w:pict>
          <v:rect style="position:absolute;margin-left:454.320007pt;margin-top:149.001862pt;width:5.76pt;height:6.3pt;mso-position-horizontal-relative:page;mso-position-vertical-relative:paragraph;z-index:-262120" filled="true" fillcolor="#9bbb59" stroked="false">
            <v:fill type="solid"/>
            <w10:wrap type="none"/>
          </v:rect>
        </w:pict>
      </w:r>
      <w:r>
        <w:rPr/>
        <w:pict>
          <v:rect style="position:absolute;margin-left:454.320007pt;margin-top:169.641861pt;width:5.76pt;height:6.3pt;mso-position-horizontal-relative:page;mso-position-vertical-relative:paragraph;z-index:-262096" filled="true" fillcolor="#8064a2" stroked="false">
            <v:fill type="solid"/>
            <w10:wrap type="none"/>
          </v:rect>
        </w:pict>
      </w:r>
      <w:r>
        <w:rPr>
          <w:sz w:val="28"/>
        </w:rPr>
        <w:t>图 6.五通桥区 2015 年四大支柱产业占比图</w:t>
      </w:r>
    </w:p>
    <w:p>
      <w:pPr>
        <w:pStyle w:val="BodyText"/>
        <w:spacing w:before="1"/>
        <w:ind w:left="0"/>
        <w:rPr>
          <w:sz w:val="18"/>
        </w:rPr>
      </w:pPr>
      <w:r>
        <w:rPr/>
        <w:pict>
          <v:group style="position:absolute;margin-left:80.589996pt;margin-top:13.824048pt;width:432.05pt;height:241.6pt;mso-position-horizontal-relative:page;mso-position-vertical-relative:paragraph;z-index:3424;mso-wrap-distance-left:0;mso-wrap-distance-right:0" coordorigin="1612,276" coordsize="8641,4832">
            <v:shape style="position:absolute;left:4734;top:566;width:444;height:2100" coordorigin="4734,567" coordsize="444,2100" path="m4734,567l4734,1266,5178,2667,5178,1967,4734,567xe" filled="true" fillcolor="#265663" stroked="false">
              <v:path arrowok="t"/>
              <v:fill type="solid"/>
            </v:shape>
            <v:shape style="position:absolute;left:4734;top:548;width:444;height:1419" coordorigin="4734,549" coordsize="444,1419" path="m5178,549l4866,549,4817,567,4734,567,5178,1967,5178,549xe" filled="true" fillcolor="#4bacc6" stroked="false">
              <v:path arrowok="t"/>
              <v:fill type="solid"/>
            </v:shape>
            <v:shape style="position:absolute;left:3830;top:709;width:1184;height:1976" coordorigin="3830,709" coordsize="1184,1976" path="m3830,709l3830,1410,5014,2685,5014,1984,3830,709xe" filled="true" fillcolor="#403251" stroked="false">
              <v:path arrowok="t"/>
              <v:fill type="solid"/>
            </v:shape>
            <v:shape style="position:absolute;left:3830;top:584;width:1184;height:1400" coordorigin="3830,585" coordsize="1184,1400" path="m4570,585l4471,585,4439,603,4340,603,4307,621,4258,621,4208,637,4176,637,4127,655,4078,655,4044,673,3962,691,3913,691,3880,709,3830,709,5014,1984,4570,585xe" filled="true" fillcolor="#8064a2" stroked="false">
              <v:path arrowok="t"/>
              <v:fill type="solid"/>
            </v:shape>
            <v:shape style="position:absolute;left:2254;top:1661;width:2463;height:1132" coordorigin="2255,1661" coordsize="2463,1132" path="m2255,1661l2255,2362,4717,2793,4717,2092,2255,1661xe" filled="true" fillcolor="#4e5e2d" stroked="false">
              <v:path arrowok="t"/>
              <v:fill type="solid"/>
            </v:shape>
            <v:shape style="position:absolute;left:2254;top:817;width:2463;height:1275" coordorigin="2255,817" coordsize="2463,1275" path="m3535,817l3503,835,3454,853,3388,871,3338,889,3306,907,3272,907,3191,943,3157,961,3125,979,3092,979,3010,1015,2977,1033,2829,1113,2780,1140,2764,1158,2698,1194,2655,1223,2620,1259,2582,1294,2533,1320,2518,1338,2484,1356,2452,1410,2418,1428,2402,1446,2386,1464,2336,1518,2320,1535,2304,1553,2287,1589,2255,1625,2255,1661,4717,2092,3535,817xe" filled="true" fillcolor="#9bbb59" stroked="false">
              <v:path arrowok="t"/>
              <v:fill type="solid"/>
            </v:shape>
            <v:shape style="position:absolute;left:1975;top:2289;width:2595;height:826" coordorigin="1975,2290" coordsize="2595,826" path="m4570,2290l1975,2416,1975,3115,4570,2989,4570,2290xe" filled="true" fillcolor="#602827" stroked="false">
              <v:path arrowok="t"/>
              <v:fill type="solid"/>
            </v:shape>
            <v:shape style="position:absolute;left:1975;top:1859;width:2595;height:557" coordorigin="1975,1859" coordsize="2595,557" path="m2106,1859l2090,1877,2057,1931,2041,1949,2041,1967,2024,2002,2008,2038,2008,2074,1992,2092,1992,2128,1975,2164,1975,2416,4570,2290,2106,1859xe" filled="true" fillcolor="#c0504d" stroked="false">
              <v:path arrowok="t"/>
              <v:fill type="solid"/>
            </v:shape>
            <v:shape style="position:absolute;left:3124;top:2630;width:5206;height:2048" coordorigin="3125,2631" coordsize="5206,2048" path="m5950,4660l5490,4660,5539,4678,5900,4678,5950,4660xm6262,4642l5227,4642,5309,4660,6179,4660,6262,4642xm6360,4624l5046,4624,5144,4642,6311,4642,6360,4624xm6606,4588l4882,4588,4964,4606,5014,4624,6442,4624,6491,4606,6524,4606,6606,4588xm3125,2685l3125,3384,3142,3402,3142,3456,3157,3474,3157,3492,3174,3546,3191,3582,3191,3600,3223,3654,3240,3672,3256,3690,3272,3744,3289,3762,3306,3779,3338,3833,3371,3851,3388,3869,3420,3923,3454,3941,3469,3959,3518,4013,3535,4031,3568,4049,3584,4067,3650,4103,3667,4121,3700,4139,3766,4193,3781,4211,3815,4228,3880,4264,3913,4282,3946,4300,4012,4318,4044,4336,4093,4354,4193,4408,4225,4408,4307,4444,4340,4462,4390,4462,4454,4498,4505,4516,4537,4516,4619,4534,4668,4552,4702,4552,4783,4588,6655,4588,6704,4570,6787,4552,6820,4534,6869,4534,6952,4516,6984,4498,7033,4480,7099,4462,7148,4444,7181,4426,7247,4408,7296,4390,7328,4372,7428,4318,7460,4300,7526,4282,7591,4246,7691,4193,7723,4175,7772,4121,7805,4103,7822,4085,7888,4049,7903,4031,7937,4013,7970,3977,5539,3977,5490,3959,5309,3959,5227,3941,5144,3941,5046,3923,5014,3923,4964,3905,4882,3887,4783,3887,4702,3851,4668,3851,4619,3833,4537,3815,4505,3815,4454,3797,4390,3762,4340,3762,4307,3744,4225,3708,4193,3708,4093,3654,4044,3636,4012,3618,3946,3600,3913,3582,3880,3564,3815,3528,3781,3510,3766,3492,3700,3438,3667,3420,3650,3402,3584,3366,3568,3348,3535,3330,3518,3313,3469,3259,3454,3241,3420,3223,3388,3169,3371,3151,3338,3133,3306,3079,3272,3043,3256,2989,3240,2971,3223,2953,3191,2899,3191,2881,3174,2847,3157,2793,3157,2775,3142,2757,3142,2703,3125,2685xm8330,2631l8315,2649,8315,2721,8298,2757,8298,2775,8281,2829,8266,2847,8266,2881,8232,2917,8232,2953,8215,2971,8183,3007,8166,3043,8150,3061,8117,3115,8101,3133,8084,3151,8035,3205,8018,3223,8003,3241,7986,3259,7937,3313,7903,3330,7888,3348,7822,3384,7805,3402,7772,3420,7723,3474,7691,3492,7591,3546,7526,3582,7460,3600,7428,3618,7328,3672,7296,3690,7247,3708,7181,3726,7148,3744,7099,3762,7033,3779,6984,3797,6952,3815,6869,3833,6820,3833,6787,3851,6704,3869,6655,3887,6606,3887,6524,3905,6491,3905,6442,3923,6360,3923,6311,3941,6262,3941,6179,3959,5950,3959,5900,3977,7970,3977,7986,3959,8003,3941,8018,3923,8035,3905,8084,3851,8101,3833,8117,3815,8150,3762,8166,3744,8183,3708,8215,3672,8232,3654,8232,3618,8266,3582,8266,3546,8281,3528,8298,3474,8298,3456,8315,3420,8315,3348,8330,3330,8330,2631xe" filled="true" fillcolor="#28415f" stroked="false">
              <v:path arrowok="t"/>
              <v:fill type="solid"/>
            </v:shape>
            <v:shape style="position:absolute;left:3124;top:1140;width:5206;height:2855" coordorigin="3125,1140" coordsize="5206,2855" path="m5950,3977l5490,3977,5588,3995,5867,3995,5950,3977xm6212,3959l5227,3959,5276,3977,6179,3977,6212,3959xm6360,3941l5095,3941,5178,3959,6311,3959,6360,3941xm6574,3905l4882,3905,4915,3923,5014,3941,6392,3941,6491,3923,6524,3923,6574,3905xm6738,3869l4702,3869,4751,3887,4832,3905,6606,3905,6704,3887,6738,3869xm7066,3779l4390,3779,4422,3797,4505,3815,4537,3833,4586,3851,4668,3869,6787,3869,6869,3851,6902,3833,6952,3815,7033,3797,7066,3779xm7214,3726l4225,3726,4274,3744,4340,3779,7099,3779,7181,3744,7214,3726xm6048,1140l5719,1140,5719,2559,3125,2685,3142,2721,3142,2757,3157,2793,3157,2811,3174,2865,3191,2881,3191,2899,3223,2953,3240,2971,3256,3007,3289,3079,3346,3143,3375,3174,3404,3205,3454,3259,3469,3277,3535,3348,3568,3366,3584,3384,3650,3420,3667,3438,3700,3456,3766,3492,3781,3510,3815,3528,4044,3654,4093,3672,4193,3726,7247,3726,7328,3690,7362,3672,7657,3510,7691,3492,7740,3456,7805,3420,7854,3384,7888,3366,7903,3348,7952,3295,7986,3277,8003,3259,8035,3205,8068,3187,8084,3169,8117,3115,8150,3079,8183,3025,8200,3007,8215,2971,8249,2899,8266,2881,8266,2865,8281,2811,8298,2793,8298,2757,8315,2721,8315,2667,8330,2613,8330,2487,8315,2469,8315,2398,8298,2362,8281,2308,8281,2290,8266,2272,8249,2218,8232,2200,8232,2164,8215,2146,8183,2092,8154,2059,8134,2029,8114,1998,8084,1967,8035,1913,8018,1895,8003,1877,7952,1823,7937,1805,7903,1787,7854,1751,7822,1733,7805,1697,7740,1661,7723,1643,7691,1625,7591,1571,7526,1535,7460,1500,7428,1482,7394,1464,7328,1446,7296,1428,7247,1410,7181,1374,7148,1374,7099,1356,7033,1320,6984,1320,6952,1302,6869,1284,6820,1266,6787,1266,6704,1248,6655,1230,6606,1230,6524,1212,6491,1194,6442,1194,6392,1176,6311,1176,6262,1158,6080,1158,6048,1140xe" filled="true" fillcolor="#4f81bd" stroked="false">
              <v:path arrowok="t"/>
              <v:fill type="solid"/>
            </v:shape>
            <v:shape style="position:absolute;left:1612;top:277;width:8639;height:4830" type="#_x0000_t202" filled="false" stroked="true" strokeweight=".06pt" strokecolor="#7f7f7f">
              <v:textbox inset="0,0,0,0">
                <w:txbxContent>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2"/>
                      <w:rPr>
                        <w:sz w:val="15"/>
                      </w:rPr>
                    </w:pPr>
                  </w:p>
                  <w:p>
                    <w:pPr>
                      <w:spacing w:line="343" w:lineRule="auto" w:before="1"/>
                      <w:ind w:left="7653" w:right="109" w:firstLine="0"/>
                      <w:jc w:val="left"/>
                      <w:rPr>
                        <w:rFonts w:ascii="宋体" w:eastAsia="宋体" w:hint="eastAsia"/>
                        <w:sz w:val="23"/>
                      </w:rPr>
                    </w:pPr>
                    <w:r>
                      <w:rPr>
                        <w:rFonts w:ascii="宋体" w:eastAsia="宋体" w:hint="eastAsia"/>
                        <w:w w:val="90"/>
                        <w:sz w:val="23"/>
                      </w:rPr>
                      <w:t>盐磷化工</w:t>
                    </w:r>
                    <w:r>
                      <w:rPr>
                        <w:rFonts w:ascii="宋体" w:eastAsia="宋体" w:hint="eastAsia"/>
                        <w:sz w:val="23"/>
                      </w:rPr>
                      <w:t>硅材料</w:t>
                    </w:r>
                    <w:r>
                      <w:rPr>
                        <w:rFonts w:ascii="宋体" w:eastAsia="宋体" w:hint="eastAsia"/>
                        <w:w w:val="90"/>
                        <w:sz w:val="23"/>
                      </w:rPr>
                      <w:t>稀土</w:t>
                    </w:r>
                  </w:p>
                  <w:p>
                    <w:pPr>
                      <w:spacing w:line="343" w:lineRule="auto" w:before="13"/>
                      <w:ind w:left="7653" w:right="109" w:firstLine="0"/>
                      <w:jc w:val="left"/>
                      <w:rPr>
                        <w:rFonts w:ascii="宋体" w:eastAsia="宋体" w:hint="eastAsia"/>
                        <w:sz w:val="23"/>
                      </w:rPr>
                    </w:pPr>
                    <w:r>
                      <w:rPr>
                        <w:rFonts w:ascii="宋体" w:eastAsia="宋体" w:hint="eastAsia"/>
                        <w:w w:val="90"/>
                        <w:sz w:val="23"/>
                      </w:rPr>
                      <w:t>机电加工其他</w:t>
                    </w:r>
                  </w:p>
                </w:txbxContent>
              </v:textbox>
              <v:stroke dashstyle="solid"/>
              <w10:wrap type="none"/>
            </v:shape>
            <w10:wrap type="topAndBottom"/>
          </v:group>
        </w:pict>
      </w:r>
    </w:p>
    <w:p>
      <w:pPr>
        <w:pStyle w:val="BodyText"/>
        <w:ind w:left="0"/>
        <w:rPr>
          <w:sz w:val="28"/>
        </w:rPr>
      </w:pPr>
    </w:p>
    <w:p>
      <w:pPr>
        <w:pStyle w:val="BodyText"/>
        <w:ind w:left="0"/>
        <w:rPr>
          <w:sz w:val="28"/>
        </w:rPr>
      </w:pPr>
    </w:p>
    <w:p>
      <w:pPr>
        <w:pStyle w:val="BodyText"/>
        <w:spacing w:before="2"/>
        <w:ind w:left="0"/>
        <w:rPr>
          <w:sz w:val="24"/>
        </w:rPr>
      </w:pPr>
    </w:p>
    <w:p>
      <w:pPr>
        <w:pStyle w:val="BodyText"/>
        <w:ind w:left="690"/>
      </w:pPr>
      <w:r>
        <w:rPr/>
        <w:pict>
          <v:rect style="position:absolute;margin-left:454.320007pt;margin-top:-136.538742pt;width:5.76pt;height:6.3pt;mso-position-horizontal-relative:page;mso-position-vertical-relative:paragraph;z-index:-262072" filled="true" fillcolor="#4bacc6" stroked="false">
            <v:fill type="solid"/>
            <w10:wrap type="none"/>
          </v:rect>
        </w:pict>
      </w:r>
      <w:r>
        <w:rPr>
          <w:spacing w:val="-4"/>
        </w:rPr>
        <w:t>第三产业充满活力。服务业增加值达到 </w:t>
      </w:r>
      <w:r>
        <w:rPr/>
        <w:t>27.6</w:t>
      </w:r>
      <w:r>
        <w:rPr>
          <w:spacing w:val="-12"/>
        </w:rPr>
        <w:t> 亿元，年均增</w:t>
      </w:r>
    </w:p>
    <w:p>
      <w:pPr>
        <w:spacing w:after="0"/>
        <w:sectPr>
          <w:pgSz w:w="11910" w:h="16840"/>
          <w:pgMar w:header="0" w:footer="998" w:top="1600" w:bottom="1180" w:left="1480" w:right="1420"/>
        </w:sectPr>
      </w:pPr>
    </w:p>
    <w:p>
      <w:pPr>
        <w:pStyle w:val="BodyText"/>
        <w:spacing w:line="20" w:lineRule="exact"/>
        <w:ind w:left="113"/>
        <w:rPr>
          <w:sz w:val="2"/>
        </w:rPr>
      </w:pPr>
      <w:r>
        <w:rPr>
          <w:sz w:val="2"/>
        </w:rPr>
        <w:pict>
          <v:group style="width:445.95pt;height:.75pt;mso-position-horizontal-relative:char;mso-position-vertical-relative:line" coordorigin="0,0" coordsize="8919,15">
            <v:line style="position:absolute" from="8,8" to="8912,8" stroked="true" strokeweight=".71997pt" strokecolor="#000000">
              <v:stroke dashstyle="solid"/>
            </v:line>
          </v:group>
        </w:pict>
      </w:r>
      <w:r>
        <w:rPr>
          <w:sz w:val="2"/>
        </w:rPr>
      </w:r>
    </w:p>
    <w:p>
      <w:pPr>
        <w:pStyle w:val="BodyText"/>
        <w:ind w:left="0"/>
        <w:rPr>
          <w:sz w:val="20"/>
        </w:rPr>
      </w:pPr>
    </w:p>
    <w:p>
      <w:pPr>
        <w:pStyle w:val="BodyText"/>
        <w:spacing w:before="12"/>
        <w:ind w:left="0"/>
        <w:rPr>
          <w:sz w:val="13"/>
        </w:rPr>
      </w:pPr>
    </w:p>
    <w:p>
      <w:pPr>
        <w:pStyle w:val="BodyText"/>
        <w:spacing w:line="343" w:lineRule="auto" w:before="2"/>
        <w:ind w:left="151" w:right="145" w:hanging="1"/>
        <w:jc w:val="center"/>
      </w:pPr>
      <w:r>
        <w:rPr>
          <w:spacing w:val="-41"/>
        </w:rPr>
        <w:t>长 </w:t>
      </w:r>
      <w:r>
        <w:rPr>
          <w:spacing w:val="-5"/>
        </w:rPr>
        <w:t>9.9%</w:t>
      </w:r>
      <w:r>
        <w:rPr>
          <w:spacing w:val="-29"/>
        </w:rPr>
        <w:t>，占 </w:t>
      </w:r>
      <w:r>
        <w:rPr/>
        <w:t>GDP</w:t>
      </w:r>
      <w:r>
        <w:rPr>
          <w:spacing w:val="-33"/>
        </w:rPr>
        <w:t> 比重较 </w:t>
      </w:r>
      <w:r>
        <w:rPr/>
        <w:t>2010</w:t>
      </w:r>
      <w:r>
        <w:rPr>
          <w:spacing w:val="-34"/>
        </w:rPr>
        <w:t> 年提高 </w:t>
      </w:r>
      <w:r>
        <w:rPr/>
        <w:t>3</w:t>
      </w:r>
      <w:r>
        <w:rPr>
          <w:spacing w:val="-11"/>
        </w:rPr>
        <w:t> 个百分点。社会消费品零</w:t>
      </w:r>
      <w:r>
        <w:rPr>
          <w:spacing w:val="-23"/>
        </w:rPr>
        <w:t>售总额达到 </w:t>
      </w:r>
      <w:r>
        <w:rPr/>
        <w:t>46.9</w:t>
      </w:r>
      <w:r>
        <w:rPr>
          <w:spacing w:val="-24"/>
        </w:rPr>
        <w:t> 亿元，年均增长 </w:t>
      </w:r>
      <w:r>
        <w:rPr>
          <w:spacing w:val="-6"/>
        </w:rPr>
        <w:t>13.6%</w:t>
      </w:r>
      <w:r>
        <w:rPr>
          <w:spacing w:val="-17"/>
        </w:rPr>
        <w:t>，是“十一五”末的 </w:t>
      </w:r>
      <w:r>
        <w:rPr/>
        <w:t>1.9 </w:t>
      </w:r>
      <w:r>
        <w:rPr>
          <w:spacing w:val="-12"/>
        </w:rPr>
        <w:t>倍。文旅产业在转型中稳步发展。古镇项目完成策划，文化创意产业园前期工作顺利开展，中国根书艺术馆建成开馆。2015</w:t>
      </w:r>
      <w:r>
        <w:rPr>
          <w:spacing w:val="16"/>
        </w:rPr>
        <w:t> 年</w:t>
      </w:r>
      <w:r>
        <w:rPr>
          <w:spacing w:val="-2"/>
        </w:rPr>
        <w:t>接待游客 </w:t>
      </w:r>
      <w:r>
        <w:rPr/>
        <w:t>300</w:t>
      </w:r>
      <w:r>
        <w:rPr>
          <w:spacing w:val="-15"/>
        </w:rPr>
        <w:t> 万人次、旅游综合收入 </w:t>
      </w:r>
      <w:r>
        <w:rPr/>
        <w:t>33.3</w:t>
      </w:r>
      <w:r>
        <w:rPr>
          <w:spacing w:val="-9"/>
        </w:rPr>
        <w:t> 亿元。现代物流发展</w:t>
      </w:r>
      <w:r>
        <w:rPr>
          <w:spacing w:val="-11"/>
        </w:rPr>
        <w:t>加快，远成物流商贸城一期主体工程完工，临空经济区、综合保税区前期工作启动。桥滩商业街、置恒新天地、龙濯大酒店等一</w:t>
      </w:r>
      <w:r>
        <w:rPr>
          <w:spacing w:val="-2"/>
        </w:rPr>
        <w:t>批优势商贸项目先后建成，商业竞争力和影响力进一步增强。</w:t>
      </w:r>
    </w:p>
    <w:p>
      <w:pPr>
        <w:pStyle w:val="BodyText"/>
        <w:ind w:left="0"/>
      </w:pPr>
    </w:p>
    <w:p>
      <w:pPr>
        <w:spacing w:before="271"/>
        <w:ind w:left="985" w:right="985" w:firstLine="0"/>
        <w:jc w:val="center"/>
        <w:rPr>
          <w:sz w:val="28"/>
        </w:rPr>
      </w:pPr>
      <w:r>
        <w:rPr>
          <w:sz w:val="28"/>
        </w:rPr>
        <w:t>图 7.五通桥区“十二五”期间社会消费品零售总额增长图</w:t>
      </w:r>
    </w:p>
    <w:p>
      <w:pPr>
        <w:pStyle w:val="BodyText"/>
        <w:spacing w:before="10"/>
        <w:ind w:left="0"/>
        <w:rPr>
          <w:sz w:val="25"/>
        </w:rPr>
      </w:pPr>
      <w:r>
        <w:rPr/>
        <w:pict>
          <v:group style="position:absolute;margin-left:80.050003pt;margin-top:18.855593pt;width:434.55pt;height:233.65pt;mso-position-horizontal-relative:page;mso-position-vertical-relative:paragraph;z-index:4144;mso-wrap-distance-left:0;mso-wrap-distance-right:0" coordorigin="1601,377" coordsize="8691,4673">
            <v:rect style="position:absolute;left:1603;top:379;width:8688;height:4671" filled="true" fillcolor="#92d050" stroked="false">
              <v:fill type="solid"/>
            </v:rect>
            <v:rect style="position:absolute;left:1602;top:378;width:8688;height:4671" filled="false" stroked="true" strokeweight=".06pt" strokecolor="#65659a">
              <v:stroke dashstyle="solid"/>
            </v:rect>
            <v:rect style="position:absolute;left:2220;top:543;width:6122;height:3996" filled="true" fillcolor="#fac090" stroked="false">
              <v:fill type="solid"/>
            </v:rect>
            <v:line style="position:absolute" from="8026,4144" to="8340,4144" stroked="true" strokeweight=".06pt" strokecolor="#7f7f7f">
              <v:stroke dashstyle="solid"/>
            </v:line>
            <v:line style="position:absolute" from="7008,4144" to="7625,4144" stroked="true" strokeweight=".06pt" strokecolor="#7f7f7f">
              <v:stroke dashstyle="solid"/>
            </v:line>
            <v:line style="position:absolute" from="5990,4144" to="6607,4144" stroked="true" strokeweight=".06pt" strokecolor="#7f7f7f">
              <v:stroke dashstyle="solid"/>
            </v:line>
            <v:line style="position:absolute" from="4973,4144" to="5588,4144" stroked="true" strokeweight=".06pt" strokecolor="#7f7f7f">
              <v:stroke dashstyle="solid"/>
            </v:line>
            <v:line style="position:absolute" from="3941,4144" to="4556,4144" stroked="true" strokeweight=".06pt" strokecolor="#7f7f7f">
              <v:stroke dashstyle="solid"/>
            </v:line>
            <v:line style="position:absolute" from="2922,4144" to="3539,4144" stroked="true" strokeweight=".06pt" strokecolor="#7f7f7f">
              <v:stroke dashstyle="solid"/>
            </v:line>
            <v:line style="position:absolute" from="2219,4144" to="2521,4144" stroked="true" strokeweight=".06pt" strokecolor="#7f7f7f">
              <v:stroke dashstyle="solid"/>
            </v:line>
            <v:line style="position:absolute" from="8026,3733" to="8340,3733" stroked="true" strokeweight=".06pt" strokecolor="#7f7f7f">
              <v:stroke dashstyle="solid"/>
            </v:line>
            <v:line style="position:absolute" from="7008,3733" to="7625,3733" stroked="true" strokeweight=".06pt" strokecolor="#7f7f7f">
              <v:stroke dashstyle="solid"/>
            </v:line>
            <v:line style="position:absolute" from="5990,3733" to="6607,3733" stroked="true" strokeweight=".06pt" strokecolor="#7f7f7f">
              <v:stroke dashstyle="solid"/>
            </v:line>
            <v:line style="position:absolute" from="4973,3733" to="5588,3733" stroked="true" strokeweight=".06pt" strokecolor="#7f7f7f">
              <v:stroke dashstyle="solid"/>
            </v:line>
            <v:line style="position:absolute" from="3941,3733" to="4556,3733" stroked="true" strokeweight=".06pt" strokecolor="#7f7f7f">
              <v:stroke dashstyle="solid"/>
            </v:line>
            <v:line style="position:absolute" from="2922,3733" to="3539,3733" stroked="true" strokeweight=".06pt" strokecolor="#7f7f7f">
              <v:stroke dashstyle="solid"/>
            </v:line>
            <v:line style="position:absolute" from="2219,3733" to="2521,3733" stroked="true" strokeweight=".06pt" strokecolor="#7f7f7f">
              <v:stroke dashstyle="solid"/>
            </v:line>
            <v:line style="position:absolute" from="8026,3339" to="8340,3339" stroked="true" strokeweight=".06pt" strokecolor="#7f7f7f">
              <v:stroke dashstyle="solid"/>
            </v:line>
            <v:line style="position:absolute" from="7008,3339" to="7625,3339" stroked="true" strokeweight=".06pt" strokecolor="#7f7f7f">
              <v:stroke dashstyle="solid"/>
            </v:line>
            <v:line style="position:absolute" from="5990,3339" to="6607,3339" stroked="true" strokeweight=".06pt" strokecolor="#7f7f7f">
              <v:stroke dashstyle="solid"/>
            </v:line>
            <v:line style="position:absolute" from="4973,3339" to="5588,3339" stroked="true" strokeweight=".06pt" strokecolor="#7f7f7f">
              <v:stroke dashstyle="solid"/>
            </v:line>
            <v:line style="position:absolute" from="3941,3339" to="4556,3339" stroked="true" strokeweight=".06pt" strokecolor="#7f7f7f">
              <v:stroke dashstyle="solid"/>
            </v:line>
            <v:line style="position:absolute" from="2922,3339" to="3539,3339" stroked="true" strokeweight=".06pt" strokecolor="#7f7f7f">
              <v:stroke dashstyle="solid"/>
            </v:line>
            <v:line style="position:absolute" from="2219,3339" to="2521,3339" stroked="true" strokeweight=".06pt" strokecolor="#7f7f7f">
              <v:stroke dashstyle="solid"/>
            </v:line>
            <v:line style="position:absolute" from="8026,2944" to="8340,2944" stroked="true" strokeweight=".06pt" strokecolor="#7f7f7f">
              <v:stroke dashstyle="solid"/>
            </v:line>
            <v:line style="position:absolute" from="7008,2944" to="7625,2944" stroked="true" strokeweight=".06pt" strokecolor="#7f7f7f">
              <v:stroke dashstyle="solid"/>
            </v:line>
            <v:line style="position:absolute" from="5990,2944" to="6607,2944" stroked="true" strokeweight=".06pt" strokecolor="#7f7f7f">
              <v:stroke dashstyle="solid"/>
            </v:line>
            <v:line style="position:absolute" from="4973,2944" to="5588,2944" stroked="true" strokeweight=".06pt" strokecolor="#7f7f7f">
              <v:stroke dashstyle="solid"/>
            </v:line>
            <v:line style="position:absolute" from="3941,2944" to="4556,2944" stroked="true" strokeweight=".06pt" strokecolor="#7f7f7f">
              <v:stroke dashstyle="solid"/>
            </v:line>
            <v:line style="position:absolute" from="2922,2944" to="3539,2944" stroked="true" strokeweight=".06pt" strokecolor="#7f7f7f">
              <v:stroke dashstyle="solid"/>
            </v:line>
            <v:line style="position:absolute" from="2219,2944" to="2521,2944" stroked="true" strokeweight=".06pt" strokecolor="#7f7f7f">
              <v:stroke dashstyle="solid"/>
            </v:line>
            <v:line style="position:absolute" from="8026,2549" to="8340,2549" stroked="true" strokeweight=".06pt" strokecolor="#7f7f7f">
              <v:stroke dashstyle="solid"/>
            </v:line>
            <v:line style="position:absolute" from="7008,2549" to="7625,2549" stroked="true" strokeweight=".06pt" strokecolor="#7f7f7f">
              <v:stroke dashstyle="solid"/>
            </v:line>
            <v:line style="position:absolute" from="5990,2549" to="6607,2549" stroked="true" strokeweight=".06pt" strokecolor="#7f7f7f">
              <v:stroke dashstyle="solid"/>
            </v:line>
            <v:line style="position:absolute" from="4973,2549" to="5588,2549" stroked="true" strokeweight=".06pt" strokecolor="#7f7f7f">
              <v:stroke dashstyle="solid"/>
            </v:line>
            <v:line style="position:absolute" from="3941,2549" to="4556,2549" stroked="true" strokeweight=".06pt" strokecolor="#7f7f7f">
              <v:stroke dashstyle="solid"/>
            </v:line>
            <v:line style="position:absolute" from="2219,2549" to="3539,2549" stroked="true" strokeweight=".06pt" strokecolor="#7f7f7f">
              <v:stroke dashstyle="solid"/>
            </v:line>
            <v:line style="position:absolute" from="8026,2137" to="8340,2137" stroked="true" strokeweight=".06pt" strokecolor="#7f7f7f">
              <v:stroke dashstyle="solid"/>
            </v:line>
            <v:line style="position:absolute" from="7008,2137" to="7625,2137" stroked="true" strokeweight=".06pt" strokecolor="#7f7f7f">
              <v:stroke dashstyle="solid"/>
            </v:line>
            <v:line style="position:absolute" from="5990,2137" to="6607,2137" stroked="true" strokeweight=".06pt" strokecolor="#7f7f7f">
              <v:stroke dashstyle="solid"/>
            </v:line>
            <v:line style="position:absolute" from="4973,2137" to="5588,2137" stroked="true" strokeweight=".06pt" strokecolor="#7f7f7f">
              <v:stroke dashstyle="solid"/>
            </v:line>
            <v:line style="position:absolute" from="2219,2137" to="4556,2137" stroked="true" strokeweight=".06pt" strokecolor="#7f7f7f">
              <v:stroke dashstyle="solid"/>
            </v:line>
            <v:line style="position:absolute" from="8026,1743" to="8340,1743" stroked="true" strokeweight=".06pt" strokecolor="#7f7f7f">
              <v:stroke dashstyle="solid"/>
            </v:line>
            <v:line style="position:absolute" from="7008,1743" to="7625,1743" stroked="true" strokeweight=".06pt" strokecolor="#7f7f7f">
              <v:stroke dashstyle="solid"/>
            </v:line>
            <v:line style="position:absolute" from="5990,1743" to="6607,1743" stroked="true" strokeweight=".06pt" strokecolor="#7f7f7f">
              <v:stroke dashstyle="solid"/>
            </v:line>
            <v:line style="position:absolute" from="2219,1743" to="5588,1743" stroked="true" strokeweight=".06pt" strokecolor="#7f7f7f">
              <v:stroke dashstyle="solid"/>
            </v:line>
            <v:line style="position:absolute" from="8026,1349" to="8340,1349" stroked="true" strokeweight=".06pt" strokecolor="#7f7f7f">
              <v:stroke dashstyle="solid"/>
            </v:line>
            <v:line style="position:absolute" from="7008,1349" to="7625,1349" stroked="true" strokeweight=".06pt" strokecolor="#7f7f7f">
              <v:stroke dashstyle="solid"/>
            </v:line>
            <v:line style="position:absolute" from="4828,1349" to="6607,1349" stroked="true" strokeweight=".06pt" strokecolor="#7f7f7f">
              <v:stroke dashstyle="solid"/>
            </v:line>
            <v:line style="position:absolute" from="2219,1349" to="4699,1349" stroked="true" strokeweight=".06pt" strokecolor="#7f7f7f">
              <v:stroke dashstyle="solid"/>
            </v:line>
            <v:line style="position:absolute" from="8026,937" to="8340,937" stroked="true" strokeweight=".06pt" strokecolor="#7f7f7f">
              <v:stroke dashstyle="solid"/>
            </v:line>
            <v:line style="position:absolute" from="3810,937" to="7625,937" stroked="true" strokeweight=".06pt" strokecolor="#7f7f7f">
              <v:stroke dashstyle="solid"/>
            </v:line>
            <v:line style="position:absolute" from="2219,937" to="3682,937" stroked="true" strokeweight=".06pt" strokecolor="#7f7f7f">
              <v:stroke dashstyle="solid"/>
            </v:line>
            <v:line style="position:absolute" from="2219,543" to="8340,543" stroked="true" strokeweight=".06pt" strokecolor="#7f7f7f">
              <v:stroke dashstyle="solid"/>
            </v:line>
            <v:rect style="position:absolute;left:2521;top:2566;width:401;height:1973" filled="true" fillcolor="#c00000" stroked="false">
              <v:fill type="solid"/>
            </v:rect>
            <v:rect style="position:absolute;left:3538;top:2204;width:402;height:2336" filled="true" fillcolor="#c00000" stroked="false">
              <v:fill type="solid"/>
            </v:rect>
            <v:rect style="position:absolute;left:4556;top:1826;width:417;height:2714" filled="true" fillcolor="#c00000" stroked="false">
              <v:fill type="solid"/>
            </v:rect>
            <v:rect style="position:absolute;left:5588;top:1431;width:402;height:3108" filled="true" fillcolor="#c00000" stroked="false">
              <v:fill type="solid"/>
            </v:rect>
            <v:rect style="position:absolute;left:6607;top:1152;width:401;height:3388" filled="true" fillcolor="#c00000" stroked="false">
              <v:fill type="solid"/>
            </v:rect>
            <v:rect style="position:absolute;left:7624;top:790;width:401;height:3749" filled="true" fillcolor="#c00000" stroked="false">
              <v:fill type="solid"/>
            </v:rect>
            <v:line style="position:absolute" from="2219,543" to="2219,4539" stroked="true" strokeweight=".06pt" strokecolor="#7f7f7f">
              <v:stroke dashstyle="solid"/>
            </v:line>
            <v:line style="position:absolute" from="2161,4539" to="2219,4539" stroked="true" strokeweight=".06pt" strokecolor="#7f7f7f">
              <v:stroke dashstyle="solid"/>
            </v:line>
            <v:line style="position:absolute" from="2161,4144" to="2219,4144" stroked="true" strokeweight=".06pt" strokecolor="#7f7f7f">
              <v:stroke dashstyle="solid"/>
            </v:line>
            <v:line style="position:absolute" from="2161,3733" to="2219,3733" stroked="true" strokeweight=".06pt" strokecolor="#7f7f7f">
              <v:stroke dashstyle="solid"/>
            </v:line>
            <v:line style="position:absolute" from="2161,3339" to="2219,3339" stroked="true" strokeweight=".06pt" strokecolor="#7f7f7f">
              <v:stroke dashstyle="solid"/>
            </v:line>
            <v:line style="position:absolute" from="2161,2944" to="2219,2944" stroked="true" strokeweight=".06pt" strokecolor="#7f7f7f">
              <v:stroke dashstyle="solid"/>
            </v:line>
            <v:line style="position:absolute" from="2161,2549" to="2219,2549" stroked="true" strokeweight=".06pt" strokecolor="#7f7f7f">
              <v:stroke dashstyle="solid"/>
            </v:line>
            <v:line style="position:absolute" from="2161,2137" to="2219,2137" stroked="true" strokeweight=".06pt" strokecolor="#7f7f7f">
              <v:stroke dashstyle="solid"/>
            </v:line>
            <v:line style="position:absolute" from="2161,1743" to="2219,1743" stroked="true" strokeweight=".06pt" strokecolor="#7f7f7f">
              <v:stroke dashstyle="solid"/>
            </v:line>
            <v:line style="position:absolute" from="2161,1349" to="2219,1349" stroked="true" strokeweight=".06pt" strokecolor="#7f7f7f">
              <v:stroke dashstyle="solid"/>
            </v:line>
            <v:line style="position:absolute" from="2161,937" to="2219,937" stroked="true" strokeweight=".06pt" strokecolor="#7f7f7f">
              <v:stroke dashstyle="solid"/>
            </v:line>
            <v:line style="position:absolute" from="2161,543" to="2219,543" stroked="true" strokeweight=".06pt" strokecolor="#7f7f7f">
              <v:stroke dashstyle="solid"/>
            </v:line>
            <v:line style="position:absolute" from="2219,4539" to="8340,4539" stroked="true" strokeweight=".06pt" strokecolor="#7f7f7f">
              <v:stroke dashstyle="solid"/>
            </v:line>
            <v:line style="position:absolute" from="2219,4605" to="2219,4539" stroked="true" strokeweight=".06pt" strokecolor="#7f7f7f">
              <v:stroke dashstyle="solid"/>
            </v:line>
            <v:line style="position:absolute" from="3236,4605" to="3236,4539" stroked="true" strokeweight=".06pt" strokecolor="#7f7f7f">
              <v:stroke dashstyle="solid"/>
            </v:line>
            <v:line style="position:absolute" from="4254,4605" to="4254,4539" stroked="true" strokeweight=".06pt" strokecolor="#7f7f7f">
              <v:stroke dashstyle="solid"/>
            </v:line>
            <v:line style="position:absolute" from="5287,4605" to="5287,4539" stroked="true" strokeweight=".06pt" strokecolor="#7f7f7f">
              <v:stroke dashstyle="solid"/>
            </v:line>
            <v:line style="position:absolute" from="6305,4605" to="6305,4539" stroked="true" strokeweight=".06pt" strokecolor="#7f7f7f">
              <v:stroke dashstyle="solid"/>
            </v:line>
            <v:line style="position:absolute" from="7322,4605" to="7322,4539" stroked="true" strokeweight=".06pt" strokecolor="#7f7f7f">
              <v:stroke dashstyle="solid"/>
            </v:line>
            <v:line style="position:absolute" from="8340,4605" to="8340,4539" stroked="true" strokeweight=".06pt" strokecolor="#7f7f7f">
              <v:stroke dashstyle="solid"/>
            </v:line>
            <v:shape style="position:absolute;left:8340;top:542;width:58;height:3996" coordorigin="8340,543" coordsize="58,3996" path="m8340,543l8340,4539,8398,4539e" filled="false" stroked="true" strokeweight=".06pt" strokecolor="#7f7f7f">
              <v:path arrowok="t"/>
              <v:stroke dashstyle="solid"/>
            </v:shape>
            <v:line style="position:absolute" from="8340,4144" to="8398,4144" stroked="true" strokeweight=".06pt" strokecolor="#7f7f7f">
              <v:stroke dashstyle="solid"/>
            </v:line>
            <v:line style="position:absolute" from="8340,3733" to="8398,3733" stroked="true" strokeweight=".06pt" strokecolor="#7f7f7f">
              <v:stroke dashstyle="solid"/>
            </v:line>
            <v:line style="position:absolute" from="8340,3339" to="8398,3339" stroked="true" strokeweight=".06pt" strokecolor="#7f7f7f">
              <v:stroke dashstyle="solid"/>
            </v:line>
            <v:line style="position:absolute" from="8340,2944" to="8398,2944" stroked="true" strokeweight=".06pt" strokecolor="#7f7f7f">
              <v:stroke dashstyle="solid"/>
            </v:line>
            <v:line style="position:absolute" from="8340,2549" to="8398,2549" stroked="true" strokeweight=".06pt" strokecolor="#7f7f7f">
              <v:stroke dashstyle="solid"/>
            </v:line>
            <v:line style="position:absolute" from="8340,2137" to="8398,2137" stroked="true" strokeweight=".06pt" strokecolor="#7f7f7f">
              <v:stroke dashstyle="solid"/>
            </v:line>
            <v:line style="position:absolute" from="8340,1743" to="8398,1743" stroked="true" strokeweight=".06pt" strokecolor="#7f7f7f">
              <v:stroke dashstyle="solid"/>
            </v:line>
            <v:line style="position:absolute" from="8340,1349" to="8398,1349" stroked="true" strokeweight=".06pt" strokecolor="#7f7f7f">
              <v:stroke dashstyle="solid"/>
            </v:line>
            <v:line style="position:absolute" from="8340,937" to="8398,937" stroked="true" strokeweight=".06pt" strokecolor="#7f7f7f">
              <v:stroke dashstyle="solid"/>
            </v:line>
            <v:line style="position:absolute" from="8340,543" to="8398,543" stroked="true" strokeweight=".06pt" strokecolor="#7f7f7f">
              <v:stroke dashstyle="solid"/>
            </v:line>
            <v:shape style="position:absolute;left:2734;top:821;width:5090;height:1843" coordorigin="2735,822" coordsize="5090,1843" path="m2735,822l3752,969,4770,1298,5789,1628,6806,2664,7824,2252e" filled="false" stroked="true" strokeweight="1.619699pt" strokecolor="#9a3365">
              <v:path arrowok="t"/>
              <v:stroke dashstyle="solid"/>
            </v:shape>
            <v:rect style="position:absolute;left:2662;top:740;width:130;height:148" filled="true" fillcolor="#000000" stroked="false">
              <v:fill type="solid"/>
            </v:rect>
            <v:rect style="position:absolute;left:2662;top:740;width:130;height:148" filled="false" stroked="true" strokeweight=".762996pt" strokecolor="#9a3365">
              <v:stroke dashstyle="solid"/>
            </v:rect>
            <v:rect style="position:absolute;left:3681;top:887;width:129;height:148" filled="true" fillcolor="#000000" stroked="false">
              <v:fill type="solid"/>
            </v:rect>
            <v:rect style="position:absolute;left:3681;top:887;width:129;height:148" filled="false" stroked="true" strokeweight=".762514pt" strokecolor="#9a3365">
              <v:stroke dashstyle="solid"/>
            </v:rect>
            <v:rect style="position:absolute;left:4699;top:1216;width:129;height:148" filled="true" fillcolor="#000000" stroked="false">
              <v:fill type="solid"/>
            </v:rect>
            <v:rect style="position:absolute;left:4699;top:1216;width:129;height:148" filled="false" stroked="true" strokeweight=".762514pt" strokecolor="#9a3365">
              <v:stroke dashstyle="solid"/>
            </v:rect>
            <v:rect style="position:absolute;left:5716;top:1545;width:129;height:148" filled="true" fillcolor="#000000" stroked="false">
              <v:fill type="solid"/>
            </v:rect>
            <v:rect style="position:absolute;left:5716;top:1545;width:129;height:148" filled="false" stroked="true" strokeweight=".762514pt" strokecolor="#9a3365">
              <v:stroke dashstyle="solid"/>
            </v:rect>
            <v:rect style="position:absolute;left:6734;top:2581;width:130;height:149" filled="true" fillcolor="#000000" stroked="false">
              <v:fill type="solid"/>
            </v:rect>
            <v:rect style="position:absolute;left:6734;top:2581;width:130;height:149" filled="false" stroked="true" strokeweight=".762576pt" strokecolor="#9a3365">
              <v:stroke dashstyle="solid"/>
            </v:rect>
            <v:rect style="position:absolute;left:7751;top:2170;width:130;height:148" filled="true" fillcolor="#000000" stroked="false">
              <v:fill type="solid"/>
            </v:rect>
            <v:rect style="position:absolute;left:7751;top:2170;width:130;height:148" filled="false" stroked="true" strokeweight=".762996pt" strokecolor="#9a3365">
              <v:stroke dashstyle="solid"/>
            </v:rect>
            <v:rect style="position:absolute;left:8656;top:2566;width:374;height:99" filled="true" fillcolor="#c00000" stroked="false">
              <v:fill type="solid"/>
            </v:rect>
            <v:line style="position:absolute" from="8656,2845" to="9043,2845" stroked="true" strokeweight="1.644138pt" strokecolor="#9a3365">
              <v:stroke dashstyle="solid"/>
            </v:line>
            <v:line style="position:absolute" from="8834,2795" to="8834,2877" stroked="true" strokeweight="3.599968pt" strokecolor="#000000">
              <v:stroke dashstyle="solid"/>
            </v:line>
            <v:rect style="position:absolute;left:8798;top:2794;width:72;height:83" filled="false" stroked="true" strokeweight=".762493pt" strokecolor="#9a3365">
              <v:stroke dashstyle="solid"/>
            </v:rect>
            <v:rect style="position:absolute;left:1602;top:378;width:8688;height:4671" filled="false" stroked="true" strokeweight=".06pt" strokecolor="#65659a">
              <v:stroke dashstyle="solid"/>
            </v:rect>
            <v:shape style="position:absolute;left:1875;top:443;width:220;height:609" type="#_x0000_t202" filled="false" stroked="false">
              <v:textbox inset="0,0,0,0">
                <w:txbxContent>
                  <w:p>
                    <w:pPr>
                      <w:spacing w:line="213" w:lineRule="exact" w:before="0"/>
                      <w:ind w:left="0" w:right="0" w:firstLine="0"/>
                      <w:jc w:val="left"/>
                      <w:rPr>
                        <w:rFonts w:ascii="宋体"/>
                        <w:sz w:val="21"/>
                      </w:rPr>
                    </w:pPr>
                    <w:r>
                      <w:rPr>
                        <w:rFonts w:ascii="宋体"/>
                        <w:w w:val="95"/>
                        <w:sz w:val="21"/>
                      </w:rPr>
                      <w:t>50</w:t>
                    </w:r>
                  </w:p>
                  <w:p>
                    <w:pPr>
                      <w:spacing w:before="120"/>
                      <w:ind w:left="0" w:right="0" w:firstLine="0"/>
                      <w:jc w:val="left"/>
                      <w:rPr>
                        <w:rFonts w:ascii="宋体"/>
                        <w:sz w:val="21"/>
                      </w:rPr>
                    </w:pPr>
                    <w:r>
                      <w:rPr>
                        <w:rFonts w:ascii="宋体"/>
                        <w:w w:val="95"/>
                        <w:sz w:val="21"/>
                      </w:rPr>
                      <w:t>45</w:t>
                    </w:r>
                  </w:p>
                </w:txbxContent>
              </v:textbox>
              <w10:wrap type="none"/>
            </v:shape>
            <v:shape style="position:absolute;left:7594;top:493;width:458;height:214" type="#_x0000_t202" filled="false" stroked="false">
              <v:textbox inset="0,0,0,0">
                <w:txbxContent>
                  <w:p>
                    <w:pPr>
                      <w:spacing w:line="213" w:lineRule="exact" w:before="0"/>
                      <w:ind w:left="0" w:right="0" w:firstLine="0"/>
                      <w:jc w:val="left"/>
                      <w:rPr>
                        <w:rFonts w:ascii="宋体"/>
                        <w:b/>
                        <w:sz w:val="21"/>
                      </w:rPr>
                    </w:pPr>
                    <w:r>
                      <w:rPr>
                        <w:rFonts w:ascii="宋体"/>
                        <w:b/>
                        <w:spacing w:val="13"/>
                        <w:w w:val="90"/>
                        <w:sz w:val="21"/>
                      </w:rPr>
                      <w:t>46.</w:t>
                    </w:r>
                    <w:r>
                      <w:rPr>
                        <w:rFonts w:ascii="宋体"/>
                        <w:b/>
                        <w:spacing w:val="-82"/>
                        <w:w w:val="90"/>
                        <w:sz w:val="21"/>
                      </w:rPr>
                      <w:t> </w:t>
                    </w:r>
                    <w:r>
                      <w:rPr>
                        <w:rFonts w:ascii="宋体"/>
                        <w:b/>
                        <w:w w:val="90"/>
                        <w:sz w:val="21"/>
                      </w:rPr>
                      <w:t>9</w:t>
                    </w:r>
                  </w:p>
                </w:txbxContent>
              </v:textbox>
              <w10:wrap type="none"/>
            </v:shape>
            <v:shape style="position:absolute;left:2878;top:723;width:423;height:214" type="#_x0000_t202" filled="false" stroked="false">
              <v:textbox inset="0,0,0,0">
                <w:txbxContent>
                  <w:p>
                    <w:pPr>
                      <w:spacing w:line="213" w:lineRule="exact" w:before="0"/>
                      <w:ind w:left="0" w:right="0" w:firstLine="0"/>
                      <w:jc w:val="left"/>
                      <w:rPr>
                        <w:rFonts w:ascii="宋体"/>
                        <w:sz w:val="21"/>
                      </w:rPr>
                    </w:pPr>
                    <w:r>
                      <w:rPr>
                        <w:rFonts w:ascii="宋体"/>
                        <w:w w:val="90"/>
                        <w:sz w:val="21"/>
                      </w:rPr>
                      <w:t>18.6</w:t>
                    </w:r>
                  </w:p>
                </w:txbxContent>
              </v:textbox>
              <w10:wrap type="none"/>
            </v:shape>
            <v:shape style="position:absolute;left:3896;top:872;width:423;height:214" type="#_x0000_t202" filled="false" stroked="false">
              <v:textbox inset="0,0,0,0">
                <w:txbxContent>
                  <w:p>
                    <w:pPr>
                      <w:spacing w:line="213" w:lineRule="exact" w:before="0"/>
                      <w:ind w:left="0" w:right="0" w:firstLine="0"/>
                      <w:jc w:val="left"/>
                      <w:rPr>
                        <w:rFonts w:ascii="宋体"/>
                        <w:sz w:val="21"/>
                      </w:rPr>
                    </w:pPr>
                    <w:r>
                      <w:rPr>
                        <w:rFonts w:ascii="宋体"/>
                        <w:w w:val="90"/>
                        <w:sz w:val="21"/>
                      </w:rPr>
                      <w:t>17.9</w:t>
                    </w:r>
                  </w:p>
                </w:txbxContent>
              </v:textbox>
              <w10:wrap type="none"/>
            </v:shape>
            <v:shape style="position:absolute;left:6519;top:855;width:595;height:214" type="#_x0000_t202" filled="false" stroked="false">
              <v:textbox inset="0,0,0,0">
                <w:txbxContent>
                  <w:p>
                    <w:pPr>
                      <w:spacing w:line="213" w:lineRule="exact" w:before="0"/>
                      <w:ind w:left="0" w:right="0" w:firstLine="0"/>
                      <w:jc w:val="left"/>
                      <w:rPr>
                        <w:rFonts w:ascii="宋体"/>
                        <w:b/>
                        <w:sz w:val="21"/>
                      </w:rPr>
                    </w:pPr>
                    <w:r>
                      <w:rPr>
                        <w:rFonts w:ascii="宋体"/>
                        <w:b/>
                        <w:spacing w:val="13"/>
                        <w:w w:val="90"/>
                        <w:sz w:val="21"/>
                      </w:rPr>
                      <w:t>42.</w:t>
                    </w:r>
                    <w:r>
                      <w:rPr>
                        <w:rFonts w:ascii="宋体"/>
                        <w:b/>
                        <w:spacing w:val="-82"/>
                        <w:w w:val="90"/>
                        <w:sz w:val="21"/>
                      </w:rPr>
                      <w:t> </w:t>
                    </w:r>
                    <w:r>
                      <w:rPr>
                        <w:rFonts w:ascii="宋体"/>
                        <w:b/>
                        <w:spacing w:val="10"/>
                        <w:w w:val="90"/>
                        <w:sz w:val="21"/>
                      </w:rPr>
                      <w:t>47</w:t>
                    </w:r>
                    <w:r>
                      <w:rPr>
                        <w:rFonts w:ascii="宋体"/>
                        <w:b/>
                        <w:spacing w:val="-84"/>
                        <w:sz w:val="21"/>
                      </w:rPr>
                      <w:t> </w:t>
                    </w:r>
                  </w:p>
                </w:txbxContent>
              </v:textbox>
              <w10:wrap type="none"/>
            </v:shape>
            <v:shape style="position:absolute;left:8484;top:443;width:222;height:609" type="#_x0000_t202" filled="false" stroked="false">
              <v:textbox inset="0,0,0,0">
                <w:txbxContent>
                  <w:p>
                    <w:pPr>
                      <w:spacing w:line="213" w:lineRule="exact" w:before="0"/>
                      <w:ind w:left="0" w:right="0" w:firstLine="0"/>
                      <w:jc w:val="left"/>
                      <w:rPr>
                        <w:rFonts w:ascii="宋体"/>
                        <w:sz w:val="21"/>
                      </w:rPr>
                    </w:pPr>
                    <w:r>
                      <w:rPr>
                        <w:rFonts w:ascii="宋体"/>
                        <w:w w:val="95"/>
                        <w:sz w:val="21"/>
                      </w:rPr>
                      <w:t>20</w:t>
                    </w:r>
                  </w:p>
                  <w:p>
                    <w:pPr>
                      <w:spacing w:before="120"/>
                      <w:ind w:left="0" w:right="0" w:firstLine="0"/>
                      <w:jc w:val="left"/>
                      <w:rPr>
                        <w:rFonts w:ascii="宋体"/>
                        <w:sz w:val="21"/>
                      </w:rPr>
                    </w:pPr>
                    <w:r>
                      <w:rPr>
                        <w:rFonts w:ascii="宋体"/>
                        <w:w w:val="95"/>
                        <w:sz w:val="21"/>
                      </w:rPr>
                      <w:t>18</w:t>
                    </w:r>
                  </w:p>
                </w:txbxContent>
              </v:textbox>
              <w10:wrap type="none"/>
            </v:shape>
            <v:shape style="position:absolute;left:1875;top:1250;width:220;height:1004" type="#_x0000_t202" filled="false" stroked="false">
              <v:textbox inset="0,0,0,0">
                <w:txbxContent>
                  <w:p>
                    <w:pPr>
                      <w:spacing w:line="213" w:lineRule="exact" w:before="0"/>
                      <w:ind w:left="0" w:right="0" w:firstLine="0"/>
                      <w:jc w:val="left"/>
                      <w:rPr>
                        <w:rFonts w:ascii="宋体"/>
                        <w:sz w:val="21"/>
                      </w:rPr>
                    </w:pPr>
                    <w:r>
                      <w:rPr>
                        <w:rFonts w:ascii="宋体"/>
                        <w:w w:val="95"/>
                        <w:sz w:val="21"/>
                      </w:rPr>
                      <w:t>40</w:t>
                    </w:r>
                  </w:p>
                  <w:p>
                    <w:pPr>
                      <w:spacing w:before="120"/>
                      <w:ind w:left="0" w:right="0" w:firstLine="0"/>
                      <w:jc w:val="left"/>
                      <w:rPr>
                        <w:rFonts w:ascii="宋体"/>
                        <w:sz w:val="21"/>
                      </w:rPr>
                    </w:pPr>
                    <w:r>
                      <w:rPr>
                        <w:rFonts w:ascii="宋体"/>
                        <w:w w:val="95"/>
                        <w:sz w:val="21"/>
                      </w:rPr>
                      <w:t>35</w:t>
                    </w:r>
                  </w:p>
                  <w:p>
                    <w:pPr>
                      <w:spacing w:before="120"/>
                      <w:ind w:left="0" w:right="0" w:firstLine="0"/>
                      <w:jc w:val="left"/>
                      <w:rPr>
                        <w:rFonts w:ascii="宋体"/>
                        <w:sz w:val="21"/>
                      </w:rPr>
                    </w:pPr>
                    <w:r>
                      <w:rPr>
                        <w:rFonts w:ascii="宋体"/>
                        <w:w w:val="95"/>
                        <w:sz w:val="21"/>
                      </w:rPr>
                      <w:t>30</w:t>
                    </w:r>
                  </w:p>
                </w:txbxContent>
              </v:textbox>
              <w10:wrap type="none"/>
            </v:shape>
            <v:shape style="position:absolute;left:4469;top:1201;width:859;height:526" type="#_x0000_t202" filled="false" stroked="false">
              <v:textbox inset="0,0,0,0">
                <w:txbxContent>
                  <w:p>
                    <w:pPr>
                      <w:spacing w:line="213" w:lineRule="exact" w:before="0"/>
                      <w:ind w:left="443" w:right="0" w:firstLine="0"/>
                      <w:jc w:val="left"/>
                      <w:rPr>
                        <w:rFonts w:ascii="宋体"/>
                        <w:sz w:val="21"/>
                      </w:rPr>
                    </w:pPr>
                    <w:r>
                      <w:rPr>
                        <w:rFonts w:ascii="宋体"/>
                        <w:w w:val="90"/>
                        <w:sz w:val="21"/>
                      </w:rPr>
                      <w:t>16.2</w:t>
                    </w:r>
                  </w:p>
                  <w:p>
                    <w:pPr>
                      <w:spacing w:before="37"/>
                      <w:ind w:left="0" w:right="0" w:firstLine="0"/>
                      <w:jc w:val="left"/>
                      <w:rPr>
                        <w:rFonts w:ascii="宋体"/>
                        <w:b/>
                        <w:sz w:val="21"/>
                      </w:rPr>
                    </w:pPr>
                    <w:r>
                      <w:rPr>
                        <w:rFonts w:ascii="宋体"/>
                        <w:b/>
                        <w:spacing w:val="10"/>
                        <w:w w:val="90"/>
                        <w:sz w:val="21"/>
                      </w:rPr>
                      <w:t>33</w:t>
                    </w:r>
                    <w:r>
                      <w:rPr>
                        <w:rFonts w:ascii="宋体"/>
                        <w:b/>
                        <w:spacing w:val="-79"/>
                        <w:w w:val="90"/>
                        <w:sz w:val="21"/>
                      </w:rPr>
                      <w:t> </w:t>
                    </w:r>
                    <w:r>
                      <w:rPr>
                        <w:rFonts w:ascii="宋体"/>
                        <w:b/>
                        <w:spacing w:val="10"/>
                        <w:w w:val="90"/>
                        <w:sz w:val="21"/>
                      </w:rPr>
                      <w:t>.8</w:t>
                    </w:r>
                    <w:r>
                      <w:rPr>
                        <w:rFonts w:ascii="宋体"/>
                        <w:b/>
                        <w:spacing w:val="-79"/>
                        <w:w w:val="90"/>
                        <w:sz w:val="21"/>
                      </w:rPr>
                      <w:t> </w:t>
                    </w:r>
                    <w:r>
                      <w:rPr>
                        <w:rFonts w:ascii="宋体"/>
                        <w:b/>
                        <w:w w:val="90"/>
                        <w:sz w:val="21"/>
                      </w:rPr>
                      <w:t>9</w:t>
                    </w:r>
                  </w:p>
                </w:txbxContent>
              </v:textbox>
              <w10:wrap type="none"/>
            </v:shape>
            <v:shape style="position:absolute;left:5501;top:1135;width:853;height:609" type="#_x0000_t202" filled="false" stroked="false">
              <v:textbox inset="0,0,0,0">
                <w:txbxContent>
                  <w:p>
                    <w:pPr>
                      <w:spacing w:line="213" w:lineRule="exact" w:before="0"/>
                      <w:ind w:left="0" w:right="0" w:firstLine="0"/>
                      <w:jc w:val="left"/>
                      <w:rPr>
                        <w:rFonts w:ascii="宋体"/>
                        <w:b/>
                        <w:sz w:val="21"/>
                      </w:rPr>
                    </w:pPr>
                    <w:r>
                      <w:rPr>
                        <w:rFonts w:ascii="宋体"/>
                        <w:b/>
                        <w:spacing w:val="10"/>
                        <w:w w:val="90"/>
                        <w:sz w:val="21"/>
                      </w:rPr>
                      <w:t>38</w:t>
                    </w:r>
                    <w:r>
                      <w:rPr>
                        <w:rFonts w:ascii="宋体"/>
                        <w:b/>
                        <w:spacing w:val="-82"/>
                        <w:w w:val="90"/>
                        <w:sz w:val="21"/>
                      </w:rPr>
                      <w:t> </w:t>
                    </w:r>
                    <w:r>
                      <w:rPr>
                        <w:rFonts w:ascii="宋体"/>
                        <w:b/>
                        <w:spacing w:val="13"/>
                        <w:w w:val="90"/>
                        <w:sz w:val="21"/>
                      </w:rPr>
                      <w:t>.83</w:t>
                    </w:r>
                    <w:r>
                      <w:rPr>
                        <w:rFonts w:ascii="宋体"/>
                        <w:b/>
                        <w:spacing w:val="-84"/>
                        <w:sz w:val="21"/>
                      </w:rPr>
                      <w:t> </w:t>
                    </w:r>
                  </w:p>
                  <w:p>
                    <w:pPr>
                      <w:spacing w:before="120"/>
                      <w:ind w:left="430" w:right="0" w:firstLine="0"/>
                      <w:jc w:val="left"/>
                      <w:rPr>
                        <w:rFonts w:ascii="宋体"/>
                        <w:sz w:val="21"/>
                      </w:rPr>
                    </w:pPr>
                    <w:r>
                      <w:rPr>
                        <w:rFonts w:ascii="宋体"/>
                        <w:w w:val="90"/>
                        <w:sz w:val="21"/>
                      </w:rPr>
                      <w:t>14.6</w:t>
                    </w:r>
                  </w:p>
                </w:txbxContent>
              </v:textbox>
              <w10:wrap type="none"/>
            </v:shape>
            <v:shape style="position:absolute;left:8484;top:1250;width:222;height:609" type="#_x0000_t202" filled="false" stroked="false">
              <v:textbox inset="0,0,0,0">
                <w:txbxContent>
                  <w:p>
                    <w:pPr>
                      <w:spacing w:line="213" w:lineRule="exact" w:before="0"/>
                      <w:ind w:left="0" w:right="0" w:firstLine="0"/>
                      <w:jc w:val="left"/>
                      <w:rPr>
                        <w:rFonts w:ascii="宋体"/>
                        <w:sz w:val="21"/>
                      </w:rPr>
                    </w:pPr>
                    <w:r>
                      <w:rPr>
                        <w:rFonts w:ascii="宋体"/>
                        <w:w w:val="95"/>
                        <w:sz w:val="21"/>
                      </w:rPr>
                      <w:t>16</w:t>
                    </w:r>
                  </w:p>
                  <w:p>
                    <w:pPr>
                      <w:spacing w:before="120"/>
                      <w:ind w:left="0" w:right="0" w:firstLine="0"/>
                      <w:jc w:val="left"/>
                      <w:rPr>
                        <w:rFonts w:ascii="宋体"/>
                        <w:sz w:val="21"/>
                      </w:rPr>
                    </w:pPr>
                    <w:r>
                      <w:rPr>
                        <w:rFonts w:ascii="宋体"/>
                        <w:w w:val="95"/>
                        <w:sz w:val="21"/>
                      </w:rPr>
                      <w:t>14</w:t>
                    </w:r>
                  </w:p>
                </w:txbxContent>
              </v:textbox>
              <w10:wrap type="none"/>
            </v:shape>
            <v:shape style="position:absolute;left:3452;top:1907;width:572;height:214" type="#_x0000_t202" filled="false" stroked="false">
              <v:textbox inset="0,0,0,0">
                <w:txbxContent>
                  <w:p>
                    <w:pPr>
                      <w:spacing w:line="213" w:lineRule="exact" w:before="0"/>
                      <w:ind w:left="0" w:right="0" w:firstLine="0"/>
                      <w:jc w:val="left"/>
                      <w:rPr>
                        <w:rFonts w:ascii="宋体"/>
                        <w:b/>
                        <w:sz w:val="21"/>
                      </w:rPr>
                    </w:pPr>
                    <w:r>
                      <w:rPr>
                        <w:rFonts w:ascii="宋体"/>
                        <w:b/>
                        <w:w w:val="90"/>
                        <w:sz w:val="21"/>
                      </w:rPr>
                      <w:t>2</w:t>
                    </w:r>
                    <w:r>
                      <w:rPr>
                        <w:rFonts w:ascii="宋体"/>
                        <w:b/>
                        <w:spacing w:val="-80"/>
                        <w:w w:val="90"/>
                        <w:sz w:val="21"/>
                      </w:rPr>
                      <w:t> </w:t>
                    </w:r>
                    <w:r>
                      <w:rPr>
                        <w:rFonts w:ascii="宋体"/>
                        <w:b/>
                        <w:spacing w:val="13"/>
                        <w:w w:val="90"/>
                        <w:sz w:val="21"/>
                      </w:rPr>
                      <w:t>9.1</w:t>
                    </w:r>
                    <w:r>
                      <w:rPr>
                        <w:rFonts w:ascii="宋体"/>
                        <w:b/>
                        <w:spacing w:val="-80"/>
                        <w:w w:val="90"/>
                        <w:sz w:val="21"/>
                      </w:rPr>
                      <w:t> </w:t>
                    </w:r>
                    <w:r>
                      <w:rPr>
                        <w:rFonts w:ascii="宋体"/>
                        <w:b/>
                        <w:w w:val="90"/>
                        <w:sz w:val="21"/>
                      </w:rPr>
                      <w:t>6</w:t>
                    </w:r>
                  </w:p>
                </w:txbxContent>
              </v:textbox>
              <w10:wrap type="none"/>
            </v:shape>
            <v:shape style="position:absolute;left:8484;top:2039;width:222;height:214" type="#_x0000_t202" filled="false" stroked="false">
              <v:textbox inset="0,0,0,0">
                <w:txbxContent>
                  <w:p>
                    <w:pPr>
                      <w:spacing w:line="213" w:lineRule="exact" w:before="0"/>
                      <w:ind w:left="0" w:right="0" w:firstLine="0"/>
                      <w:jc w:val="left"/>
                      <w:rPr>
                        <w:rFonts w:ascii="宋体"/>
                        <w:sz w:val="21"/>
                      </w:rPr>
                    </w:pPr>
                    <w:r>
                      <w:rPr>
                        <w:rFonts w:ascii="宋体"/>
                        <w:w w:val="95"/>
                        <w:sz w:val="21"/>
                      </w:rPr>
                      <w:t>12</w:t>
                    </w:r>
                  </w:p>
                </w:txbxContent>
              </v:textbox>
              <w10:wrap type="none"/>
            </v:shape>
            <v:shape style="position:absolute;left:2434;top:2269;width:572;height:214" type="#_x0000_t202" filled="false" stroked="false">
              <v:textbox inset="0,0,0,0">
                <w:txbxContent>
                  <w:p>
                    <w:pPr>
                      <w:spacing w:line="213" w:lineRule="exact" w:before="0"/>
                      <w:ind w:left="0" w:right="0" w:firstLine="0"/>
                      <w:jc w:val="left"/>
                      <w:rPr>
                        <w:rFonts w:ascii="宋体"/>
                        <w:b/>
                        <w:sz w:val="21"/>
                      </w:rPr>
                    </w:pPr>
                    <w:r>
                      <w:rPr>
                        <w:rFonts w:ascii="宋体"/>
                        <w:b/>
                        <w:spacing w:val="10"/>
                        <w:w w:val="90"/>
                        <w:sz w:val="21"/>
                      </w:rPr>
                      <w:t>24</w:t>
                    </w:r>
                    <w:r>
                      <w:rPr>
                        <w:rFonts w:ascii="宋体"/>
                        <w:b/>
                        <w:spacing w:val="-79"/>
                        <w:w w:val="90"/>
                        <w:sz w:val="21"/>
                      </w:rPr>
                      <w:t> </w:t>
                    </w:r>
                    <w:r>
                      <w:rPr>
                        <w:rFonts w:ascii="宋体"/>
                        <w:b/>
                        <w:spacing w:val="10"/>
                        <w:w w:val="90"/>
                        <w:sz w:val="21"/>
                      </w:rPr>
                      <w:t>.7</w:t>
                    </w:r>
                    <w:r>
                      <w:rPr>
                        <w:rFonts w:ascii="宋体"/>
                        <w:b/>
                        <w:spacing w:val="-79"/>
                        <w:w w:val="90"/>
                        <w:sz w:val="21"/>
                      </w:rPr>
                      <w:t> </w:t>
                    </w:r>
                    <w:r>
                      <w:rPr>
                        <w:rFonts w:ascii="宋体"/>
                        <w:b/>
                        <w:w w:val="90"/>
                        <w:sz w:val="21"/>
                      </w:rPr>
                      <w:t>4</w:t>
                    </w:r>
                  </w:p>
                </w:txbxContent>
              </v:textbox>
              <w10:wrap type="none"/>
            </v:shape>
            <v:shape style="position:absolute;left:7967;top:2155;width:423;height:214" type="#_x0000_t202" filled="false" stroked="false">
              <v:textbox inset="0,0,0,0">
                <w:txbxContent>
                  <w:p>
                    <w:pPr>
                      <w:spacing w:line="213" w:lineRule="exact" w:before="0"/>
                      <w:ind w:left="0" w:right="0" w:firstLine="0"/>
                      <w:jc w:val="left"/>
                      <w:rPr>
                        <w:rFonts w:ascii="宋体"/>
                        <w:sz w:val="21"/>
                      </w:rPr>
                    </w:pPr>
                    <w:r>
                      <w:rPr>
                        <w:rFonts w:ascii="宋体"/>
                        <w:w w:val="90"/>
                        <w:sz w:val="21"/>
                      </w:rPr>
                      <w:t>11.4</w:t>
                    </w:r>
                  </w:p>
                </w:txbxContent>
              </v:textbox>
              <w10:wrap type="none"/>
            </v:shape>
            <v:shape style="position:absolute;left:1875;top:2450;width:220;height:1004" type="#_x0000_t202" filled="false" stroked="false">
              <v:textbox inset="0,0,0,0">
                <w:txbxContent>
                  <w:p>
                    <w:pPr>
                      <w:spacing w:line="213" w:lineRule="exact" w:before="0"/>
                      <w:ind w:left="0" w:right="0" w:firstLine="0"/>
                      <w:jc w:val="left"/>
                      <w:rPr>
                        <w:rFonts w:ascii="宋体"/>
                        <w:sz w:val="21"/>
                      </w:rPr>
                    </w:pPr>
                    <w:r>
                      <w:rPr>
                        <w:rFonts w:ascii="宋体"/>
                        <w:w w:val="95"/>
                        <w:sz w:val="21"/>
                      </w:rPr>
                      <w:t>25</w:t>
                    </w:r>
                  </w:p>
                  <w:p>
                    <w:pPr>
                      <w:spacing w:before="120"/>
                      <w:ind w:left="0" w:right="0" w:firstLine="0"/>
                      <w:jc w:val="left"/>
                      <w:rPr>
                        <w:rFonts w:ascii="宋体"/>
                        <w:sz w:val="21"/>
                      </w:rPr>
                    </w:pPr>
                    <w:r>
                      <w:rPr>
                        <w:rFonts w:ascii="宋体"/>
                        <w:w w:val="95"/>
                        <w:sz w:val="21"/>
                      </w:rPr>
                      <w:t>20</w:t>
                    </w:r>
                  </w:p>
                  <w:p>
                    <w:pPr>
                      <w:spacing w:before="120"/>
                      <w:ind w:left="0" w:right="0" w:firstLine="0"/>
                      <w:jc w:val="left"/>
                      <w:rPr>
                        <w:rFonts w:ascii="宋体"/>
                        <w:sz w:val="21"/>
                      </w:rPr>
                    </w:pPr>
                    <w:r>
                      <w:rPr>
                        <w:rFonts w:ascii="宋体"/>
                        <w:w w:val="95"/>
                        <w:sz w:val="21"/>
                      </w:rPr>
                      <w:t>15</w:t>
                    </w:r>
                  </w:p>
                </w:txbxContent>
              </v:textbox>
              <w10:wrap type="none"/>
            </v:shape>
            <v:shape style="position:absolute;left:6950;top:2565;width:314;height:214" type="#_x0000_t202" filled="false" stroked="false">
              <v:textbox inset="0,0,0,0">
                <w:txbxContent>
                  <w:p>
                    <w:pPr>
                      <w:spacing w:line="213" w:lineRule="exact" w:before="0"/>
                      <w:ind w:left="0" w:right="0" w:firstLine="0"/>
                      <w:jc w:val="left"/>
                      <w:rPr>
                        <w:rFonts w:ascii="宋体"/>
                        <w:sz w:val="21"/>
                      </w:rPr>
                    </w:pPr>
                    <w:r>
                      <w:rPr>
                        <w:rFonts w:ascii="宋体"/>
                        <w:w w:val="90"/>
                        <w:sz w:val="21"/>
                      </w:rPr>
                      <w:t>9.4</w:t>
                    </w:r>
                  </w:p>
                </w:txbxContent>
              </v:textbox>
              <w10:wrap type="none"/>
            </v:shape>
            <v:shape style="position:absolute;left:8484;top:2450;width:222;height:1004" type="#_x0000_t202" filled="false" stroked="false">
              <v:textbox inset="0,0,0,0">
                <w:txbxContent>
                  <w:p>
                    <w:pPr>
                      <w:spacing w:line="213" w:lineRule="exact" w:before="0"/>
                      <w:ind w:left="0" w:right="0" w:firstLine="0"/>
                      <w:jc w:val="left"/>
                      <w:rPr>
                        <w:rFonts w:ascii="宋体"/>
                        <w:sz w:val="21"/>
                      </w:rPr>
                    </w:pPr>
                    <w:r>
                      <w:rPr>
                        <w:rFonts w:ascii="宋体"/>
                        <w:w w:val="95"/>
                        <w:sz w:val="21"/>
                      </w:rPr>
                      <w:t>10</w:t>
                    </w:r>
                  </w:p>
                  <w:p>
                    <w:pPr>
                      <w:spacing w:before="120"/>
                      <w:ind w:left="0" w:right="0" w:firstLine="0"/>
                      <w:jc w:val="left"/>
                      <w:rPr>
                        <w:rFonts w:ascii="宋体"/>
                        <w:sz w:val="21"/>
                      </w:rPr>
                    </w:pPr>
                    <w:r>
                      <w:rPr>
                        <w:rFonts w:ascii="宋体"/>
                        <w:w w:val="88"/>
                        <w:sz w:val="21"/>
                      </w:rPr>
                      <w:t>8</w:t>
                    </w:r>
                  </w:p>
                  <w:p>
                    <w:pPr>
                      <w:spacing w:before="120"/>
                      <w:ind w:left="0" w:right="0" w:firstLine="0"/>
                      <w:jc w:val="left"/>
                      <w:rPr>
                        <w:rFonts w:ascii="宋体"/>
                        <w:sz w:val="21"/>
                      </w:rPr>
                    </w:pPr>
                    <w:r>
                      <w:rPr>
                        <w:rFonts w:ascii="宋体"/>
                        <w:w w:val="88"/>
                        <w:sz w:val="21"/>
                      </w:rPr>
                      <w:t>6</w:t>
                    </w:r>
                  </w:p>
                </w:txbxContent>
              </v:textbox>
              <w10:wrap type="none"/>
            </v:shape>
            <v:shape style="position:absolute;left:9086;top:2533;width:1123;height:412" type="#_x0000_t202" filled="false" stroked="false">
              <v:textbox inset="0,0,0,0">
                <w:txbxContent>
                  <w:p>
                    <w:pPr>
                      <w:spacing w:line="178" w:lineRule="exact" w:before="0"/>
                      <w:ind w:left="0" w:right="0" w:firstLine="0"/>
                      <w:jc w:val="left"/>
                      <w:rPr>
                        <w:rFonts w:ascii="宋体" w:eastAsia="宋体" w:hint="eastAsia"/>
                        <w:sz w:val="18"/>
                      </w:rPr>
                    </w:pPr>
                    <w:r>
                      <w:rPr>
                        <w:rFonts w:ascii="宋体" w:eastAsia="宋体" w:hint="eastAsia"/>
                        <w:w w:val="85"/>
                        <w:sz w:val="18"/>
                      </w:rPr>
                      <w:t>绝对值（亿元）</w:t>
                    </w:r>
                  </w:p>
                  <w:p>
                    <w:pPr>
                      <w:spacing w:line="233" w:lineRule="exact" w:before="0"/>
                      <w:ind w:left="0" w:right="0" w:firstLine="0"/>
                      <w:jc w:val="left"/>
                      <w:rPr>
                        <w:rFonts w:ascii="宋体" w:eastAsia="宋体" w:hint="eastAsia"/>
                        <w:sz w:val="18"/>
                      </w:rPr>
                    </w:pPr>
                    <w:r>
                      <w:rPr>
                        <w:rFonts w:ascii="宋体" w:eastAsia="宋体" w:hint="eastAsia"/>
                        <w:w w:val="85"/>
                        <w:sz w:val="18"/>
                      </w:rPr>
                      <w:t>增速（%）</w:t>
                    </w:r>
                  </w:p>
                </w:txbxContent>
              </v:textbox>
              <w10:wrap type="none"/>
            </v:shape>
            <v:shape style="position:absolute;left:1875;top:3634;width:220;height:214" type="#_x0000_t202" filled="false" stroked="false">
              <v:textbox inset="0,0,0,0">
                <w:txbxContent>
                  <w:p>
                    <w:pPr>
                      <w:spacing w:line="213" w:lineRule="exact" w:before="0"/>
                      <w:ind w:left="0" w:right="0" w:firstLine="0"/>
                      <w:jc w:val="left"/>
                      <w:rPr>
                        <w:rFonts w:ascii="宋体"/>
                        <w:sz w:val="21"/>
                      </w:rPr>
                    </w:pPr>
                    <w:r>
                      <w:rPr>
                        <w:rFonts w:ascii="宋体"/>
                        <w:w w:val="95"/>
                        <w:sz w:val="21"/>
                      </w:rPr>
                      <w:t>10</w:t>
                    </w:r>
                  </w:p>
                </w:txbxContent>
              </v:textbox>
              <w10:wrap type="none"/>
            </v:shape>
            <v:shape style="position:absolute;left:8484;top:3634;width:114;height:214" type="#_x0000_t202" filled="false" stroked="false">
              <v:textbox inset="0,0,0,0">
                <w:txbxContent>
                  <w:p>
                    <w:pPr>
                      <w:spacing w:line="213" w:lineRule="exact" w:before="0"/>
                      <w:ind w:left="0" w:right="0" w:firstLine="0"/>
                      <w:jc w:val="left"/>
                      <w:rPr>
                        <w:rFonts w:ascii="宋体"/>
                        <w:sz w:val="21"/>
                      </w:rPr>
                    </w:pPr>
                    <w:r>
                      <w:rPr>
                        <w:rFonts w:ascii="宋体"/>
                        <w:w w:val="88"/>
                        <w:sz w:val="21"/>
                      </w:rPr>
                      <w:t>4</w:t>
                    </w:r>
                  </w:p>
                </w:txbxContent>
              </v:textbox>
              <w10:wrap type="none"/>
            </v:shape>
            <v:shape style="position:absolute;left:1975;top:4045;width:114;height:609" type="#_x0000_t202" filled="false" stroked="false">
              <v:textbox inset="0,0,0,0">
                <w:txbxContent>
                  <w:p>
                    <w:pPr>
                      <w:spacing w:line="213" w:lineRule="exact" w:before="0"/>
                      <w:ind w:left="0" w:right="0" w:firstLine="0"/>
                      <w:jc w:val="left"/>
                      <w:rPr>
                        <w:rFonts w:ascii="宋体"/>
                        <w:sz w:val="21"/>
                      </w:rPr>
                    </w:pPr>
                    <w:r>
                      <w:rPr>
                        <w:rFonts w:ascii="宋体"/>
                        <w:w w:val="88"/>
                        <w:sz w:val="21"/>
                      </w:rPr>
                      <w:t>5</w:t>
                    </w:r>
                  </w:p>
                  <w:p>
                    <w:pPr>
                      <w:spacing w:before="120"/>
                      <w:ind w:left="0" w:right="0" w:firstLine="0"/>
                      <w:jc w:val="left"/>
                      <w:rPr>
                        <w:rFonts w:ascii="宋体"/>
                        <w:sz w:val="21"/>
                      </w:rPr>
                    </w:pPr>
                    <w:r>
                      <w:rPr>
                        <w:rFonts w:ascii="宋体"/>
                        <w:w w:val="88"/>
                        <w:sz w:val="21"/>
                      </w:rPr>
                      <w:t>0</w:t>
                    </w:r>
                  </w:p>
                </w:txbxContent>
              </v:textbox>
              <w10:wrap type="none"/>
            </v:shape>
            <v:shape style="position:absolute;left:8484;top:4045;width:114;height:609" type="#_x0000_t202" filled="false" stroked="false">
              <v:textbox inset="0,0,0,0">
                <w:txbxContent>
                  <w:p>
                    <w:pPr>
                      <w:spacing w:line="213" w:lineRule="exact" w:before="0"/>
                      <w:ind w:left="0" w:right="0" w:firstLine="0"/>
                      <w:jc w:val="left"/>
                      <w:rPr>
                        <w:rFonts w:ascii="宋体"/>
                        <w:sz w:val="21"/>
                      </w:rPr>
                    </w:pPr>
                    <w:r>
                      <w:rPr>
                        <w:rFonts w:ascii="宋体"/>
                        <w:w w:val="88"/>
                        <w:sz w:val="21"/>
                      </w:rPr>
                      <w:t>2</w:t>
                    </w:r>
                  </w:p>
                  <w:p>
                    <w:pPr>
                      <w:spacing w:before="120"/>
                      <w:ind w:left="0" w:right="0" w:firstLine="0"/>
                      <w:jc w:val="left"/>
                      <w:rPr>
                        <w:rFonts w:ascii="宋体"/>
                        <w:sz w:val="21"/>
                      </w:rPr>
                    </w:pPr>
                    <w:r>
                      <w:rPr>
                        <w:rFonts w:ascii="宋体"/>
                        <w:w w:val="88"/>
                        <w:sz w:val="21"/>
                      </w:rPr>
                      <w:t>0</w:t>
                    </w:r>
                  </w:p>
                </w:txbxContent>
              </v:textbox>
              <w10:wrap type="none"/>
            </v:shape>
            <v:shape style="position:absolute;left:2534;top:4736;width:5504;height:214" type="#_x0000_t202" filled="false" stroked="false">
              <v:textbox inset="0,0,0,0">
                <w:txbxContent>
                  <w:p>
                    <w:pPr>
                      <w:tabs>
                        <w:tab w:pos="1018" w:val="left" w:leader="none"/>
                        <w:tab w:pos="2036" w:val="left" w:leader="none"/>
                        <w:tab w:pos="3053" w:val="left" w:leader="none"/>
                        <w:tab w:pos="4071" w:val="left" w:leader="none"/>
                        <w:tab w:pos="5089" w:val="left" w:leader="none"/>
                      </w:tabs>
                      <w:spacing w:line="213" w:lineRule="exact" w:before="0"/>
                      <w:ind w:left="0" w:right="0" w:firstLine="0"/>
                      <w:jc w:val="left"/>
                      <w:rPr>
                        <w:rFonts w:ascii="宋体"/>
                        <w:sz w:val="21"/>
                      </w:rPr>
                    </w:pPr>
                    <w:r>
                      <w:rPr>
                        <w:rFonts w:ascii="宋体"/>
                        <w:spacing w:val="3"/>
                        <w:sz w:val="21"/>
                      </w:rPr>
                      <w:t>2010</w:t>
                      <w:tab/>
                      <w:t>2011</w:t>
                      <w:tab/>
                      <w:t>2012</w:t>
                      <w:tab/>
                      <w:t>2013</w:t>
                      <w:tab/>
                      <w:t>2014</w:t>
                      <w:tab/>
                    </w:r>
                    <w:r>
                      <w:rPr>
                        <w:rFonts w:ascii="宋体"/>
                        <w:spacing w:val="3"/>
                        <w:w w:val="90"/>
                        <w:sz w:val="21"/>
                      </w:rPr>
                      <w:t>2015</w:t>
                    </w:r>
                  </w:p>
                </w:txbxContent>
              </v:textbox>
              <w10:wrap type="none"/>
            </v:shape>
            <w10:wrap type="topAndBottom"/>
          </v:group>
        </w:pict>
      </w:r>
    </w:p>
    <w:p>
      <w:pPr>
        <w:pStyle w:val="BodyText"/>
        <w:spacing w:before="10"/>
        <w:ind w:left="0"/>
        <w:rPr>
          <w:sz w:val="38"/>
        </w:rPr>
      </w:pPr>
    </w:p>
    <w:p>
      <w:pPr>
        <w:spacing w:line="343" w:lineRule="auto" w:before="1"/>
        <w:ind w:left="151" w:right="125" w:firstLine="630"/>
        <w:jc w:val="left"/>
        <w:rPr>
          <w:sz w:val="32"/>
        </w:rPr>
      </w:pPr>
      <w:r>
        <w:rPr>
          <w:b/>
          <w:spacing w:val="-13"/>
          <w:w w:val="95"/>
          <w:sz w:val="32"/>
        </w:rPr>
        <w:t>二、城乡建设呈现新面貌。</w:t>
      </w:r>
      <w:r>
        <w:rPr>
          <w:w w:val="95"/>
          <w:sz w:val="32"/>
        </w:rPr>
        <w:t>集水陆空为一体的综合立体交通 </w:t>
      </w:r>
      <w:r>
        <w:rPr>
          <w:spacing w:val="-11"/>
          <w:sz w:val="32"/>
        </w:rPr>
        <w:t>网络初步形成。乐宜高速、进港大道建成通车，成贵铁路、国道</w:t>
      </w:r>
    </w:p>
    <w:p>
      <w:pPr>
        <w:pStyle w:val="BodyText"/>
        <w:spacing w:line="343" w:lineRule="auto" w:before="43"/>
        <w:ind w:left="151" w:right="144" w:hanging="4"/>
        <w:jc w:val="center"/>
      </w:pPr>
      <w:r>
        <w:rPr/>
        <w:t>213</w:t>
      </w:r>
      <w:r>
        <w:rPr>
          <w:spacing w:val="-43"/>
        </w:rPr>
        <w:t> 省道 </w:t>
      </w:r>
      <w:r>
        <w:rPr/>
        <w:t>104</w:t>
      </w:r>
      <w:r>
        <w:rPr>
          <w:spacing w:val="-12"/>
        </w:rPr>
        <w:t> 线五通桥城区过境公路加快建设，乐山机场、岷江</w:t>
      </w:r>
      <w:r>
        <w:rPr>
          <w:spacing w:val="-11"/>
        </w:rPr>
        <w:t>航电老木孔、东风岩梯级开发加快推进。城市骨架快速拓展，城</w:t>
      </w:r>
    </w:p>
    <w:p>
      <w:pPr>
        <w:spacing w:after="0" w:line="343" w:lineRule="auto"/>
        <w:jc w:val="center"/>
        <w:sectPr>
          <w:pgSz w:w="11910" w:h="16840"/>
          <w:pgMar w:header="0" w:footer="998" w:top="1080" w:bottom="1180" w:left="1380" w:right="1380"/>
        </w:sectPr>
      </w:pPr>
    </w:p>
    <w:p>
      <w:pPr>
        <w:pStyle w:val="BodyText"/>
        <w:spacing w:line="405" w:lineRule="exact"/>
        <w:jc w:val="both"/>
      </w:pPr>
      <w:r>
        <w:rPr/>
        <w:t>市功能不断完善，城镇化建设稳步推进。城区面积拓展到 16.7</w:t>
      </w:r>
    </w:p>
    <w:p>
      <w:pPr>
        <w:pStyle w:val="BodyText"/>
        <w:spacing w:line="343" w:lineRule="auto" w:before="181"/>
        <w:ind w:right="265"/>
        <w:jc w:val="both"/>
      </w:pPr>
      <w:r>
        <w:rPr>
          <w:spacing w:val="-10"/>
        </w:rPr>
        <w:t>平方公里，城镇化率提高到 </w:t>
      </w:r>
      <w:r>
        <w:rPr>
          <w:spacing w:val="-3"/>
        </w:rPr>
        <w:t>53.1%</w:t>
      </w:r>
      <w:r>
        <w:rPr>
          <w:spacing w:val="-5"/>
        </w:rPr>
        <w:t>，金山镇、西坝镇列入全国重</w:t>
      </w:r>
      <w:r>
        <w:rPr>
          <w:spacing w:val="-12"/>
        </w:rPr>
        <w:t>点镇建设。相继完成四望关大桥改造、污水处理二厂等一批重大基础设施项目，301</w:t>
      </w:r>
      <w:r>
        <w:rPr>
          <w:spacing w:val="-11"/>
        </w:rPr>
        <w:t> 城际公交线路、</w:t>
      </w:r>
      <w:r>
        <w:rPr/>
        <w:t>104</w:t>
      </w:r>
      <w:r>
        <w:rPr>
          <w:spacing w:val="-9"/>
        </w:rPr>
        <w:t> 公交线开通运行。新村</w:t>
      </w:r>
      <w:r>
        <w:rPr>
          <w:spacing w:val="-13"/>
        </w:rPr>
        <w:t>建设有序推进，刘家山、翻身、青龙等美丽新村建设取得阶段性成果。</w:t>
      </w:r>
    </w:p>
    <w:p>
      <w:pPr>
        <w:pStyle w:val="BodyText"/>
        <w:spacing w:line="343" w:lineRule="auto" w:before="43"/>
        <w:ind w:right="98" w:firstLine="630"/>
      </w:pPr>
      <w:r>
        <w:rPr>
          <w:b/>
          <w:spacing w:val="-27"/>
          <w:w w:val="95"/>
        </w:rPr>
        <w:t>三、改革开放取得新突破。</w:t>
      </w:r>
      <w:r>
        <w:rPr>
          <w:w w:val="95"/>
        </w:rPr>
        <w:t>十个改革小组专项工作扎实推进， </w:t>
      </w:r>
      <w:r>
        <w:rPr/>
        <w:t>各项改革任务和举措落地，20 余项专项改革方案出台并实施。</w:t>
      </w:r>
      <w:r>
        <w:rPr>
          <w:spacing w:val="-7"/>
        </w:rPr>
        <w:t>新一轮政府机构改革全面完成，社会管理体制改革深入推进，公</w:t>
      </w:r>
      <w:r>
        <w:rPr>
          <w:spacing w:val="-14"/>
        </w:rPr>
        <w:t>共财政体系不断完善，农村综合配套改革扎实推进，医药卫生体</w:t>
      </w:r>
      <w:r>
        <w:rPr>
          <w:spacing w:val="-16"/>
        </w:rPr>
        <w:t>制改革初见成效，科教文化体制改革不断深化，商事制度改革全</w:t>
      </w:r>
      <w:r>
        <w:rPr>
          <w:spacing w:val="-2"/>
        </w:rPr>
        <w:t>面提速，企业改革加快推进。招商引资和项目建设实现新突破。</w:t>
      </w:r>
    </w:p>
    <w:p>
      <w:pPr>
        <w:pStyle w:val="BodyText"/>
        <w:spacing w:before="43"/>
        <w:jc w:val="both"/>
      </w:pPr>
      <w:r>
        <w:rPr/>
        <w:t>5</w:t>
      </w:r>
      <w:r>
        <w:rPr>
          <w:spacing w:val="-14"/>
        </w:rPr>
        <w:t> 年累计引进项目 </w:t>
      </w:r>
      <w:r>
        <w:rPr/>
        <w:t>50</w:t>
      </w:r>
      <w:r>
        <w:rPr>
          <w:spacing w:val="-14"/>
        </w:rPr>
        <w:t> 个，到位市外内资 </w:t>
      </w:r>
      <w:r>
        <w:rPr/>
        <w:t>438</w:t>
      </w:r>
      <w:r>
        <w:rPr>
          <w:spacing w:val="-8"/>
        </w:rPr>
        <w:t> 亿元，其中到位省</w:t>
      </w:r>
    </w:p>
    <w:p>
      <w:pPr>
        <w:pStyle w:val="BodyText"/>
        <w:spacing w:before="181"/>
        <w:jc w:val="both"/>
      </w:pPr>
      <w:r>
        <w:rPr/>
        <w:t>外内资 360 亿元。进出口总额累计达 20 亿美元。</w:t>
      </w:r>
    </w:p>
    <w:p>
      <w:pPr>
        <w:pStyle w:val="BodyText"/>
        <w:spacing w:line="343" w:lineRule="auto" w:before="181"/>
        <w:ind w:right="150" w:firstLine="630"/>
        <w:jc w:val="both"/>
      </w:pPr>
      <w:r>
        <w:rPr>
          <w:b/>
          <w:spacing w:val="-9"/>
        </w:rPr>
        <w:t>四、生态文明迈出新步伐。</w:t>
      </w:r>
      <w:r>
        <w:rPr>
          <w:spacing w:val="-8"/>
        </w:rPr>
        <w:t>坚持生态优先，出台《关于加强</w:t>
      </w:r>
      <w:r>
        <w:rPr>
          <w:spacing w:val="-19"/>
        </w:rPr>
        <w:t>生态文明建设的决定》。巩固退耕还林成果 </w:t>
      </w:r>
      <w:r>
        <w:rPr/>
        <w:t>3.8</w:t>
      </w:r>
      <w:r>
        <w:rPr>
          <w:spacing w:val="-10"/>
        </w:rPr>
        <w:t> 万亩，全区森林</w:t>
      </w:r>
      <w:r>
        <w:rPr>
          <w:spacing w:val="-21"/>
        </w:rPr>
        <w:t>覆盖率达 </w:t>
      </w:r>
      <w:r>
        <w:rPr/>
        <w:t>35.73％，</w:t>
      </w:r>
      <w:r>
        <w:rPr>
          <w:spacing w:val="-8"/>
        </w:rPr>
        <w:t>城市建成区绿地率 </w:t>
      </w:r>
      <w:r>
        <w:rPr/>
        <w:t>33.8%，人均公园绿地面</w:t>
      </w:r>
      <w:r>
        <w:rPr>
          <w:spacing w:val="-42"/>
        </w:rPr>
        <w:t>积 </w:t>
      </w:r>
      <w:r>
        <w:rPr/>
        <w:t>9</w:t>
      </w:r>
      <w:r>
        <w:rPr>
          <w:spacing w:val="-16"/>
        </w:rPr>
        <w:t> 平方米。循环经济持续发展，产业链不断延伸，以循环经济为主导的生态产业体系不断完善，2012</w:t>
      </w:r>
      <w:r>
        <w:rPr/>
        <w:t> 年成为乐山市唯一省级</w:t>
      </w:r>
      <w:r>
        <w:rPr>
          <w:spacing w:val="-11"/>
        </w:rPr>
        <w:t>循环经济示范区，福华、永祥成为全省循环经济示范企业。节能</w:t>
      </w:r>
      <w:r>
        <w:rPr>
          <w:spacing w:val="-20"/>
        </w:rPr>
        <w:t>减排工作扎实有效。“十二五”期间共淘汰落后产能企业 </w:t>
      </w:r>
      <w:r>
        <w:rPr/>
        <w:t>13</w:t>
      </w:r>
      <w:r>
        <w:rPr>
          <w:spacing w:val="-30"/>
        </w:rPr>
        <w:t> 户，</w:t>
      </w:r>
    </w:p>
    <w:p>
      <w:pPr>
        <w:pStyle w:val="BodyText"/>
        <w:spacing w:line="343" w:lineRule="auto" w:before="43"/>
        <w:ind w:right="139"/>
      </w:pPr>
      <w:r>
        <w:rPr>
          <w:spacing w:val="-12"/>
        </w:rPr>
        <w:t>关闭小企业 </w:t>
      </w:r>
      <w:r>
        <w:rPr/>
        <w:t>3</w:t>
      </w:r>
      <w:r>
        <w:rPr>
          <w:spacing w:val="-15"/>
        </w:rPr>
        <w:t> 家，实施节能技改项目 </w:t>
      </w:r>
      <w:r>
        <w:rPr/>
        <w:t>25</w:t>
      </w:r>
      <w:r>
        <w:rPr>
          <w:spacing w:val="-9"/>
        </w:rPr>
        <w:t> 个，万元地区生产总值</w:t>
      </w:r>
      <w:r>
        <w:rPr>
          <w:spacing w:val="-18"/>
        </w:rPr>
        <w:t>综合能耗累计下降 </w:t>
      </w:r>
      <w:r>
        <w:rPr>
          <w:spacing w:val="-30"/>
        </w:rPr>
        <w:t>17%</w:t>
      </w:r>
      <w:r>
        <w:rPr>
          <w:spacing w:val="-11"/>
        </w:rPr>
        <w:t>，万元工业增加值综合能耗累计下降 </w:t>
      </w:r>
      <w:r>
        <w:rPr/>
        <w:t>20%。</w:t>
      </w:r>
    </w:p>
    <w:p>
      <w:pPr>
        <w:spacing w:after="0" w:line="343" w:lineRule="auto"/>
        <w:sectPr>
          <w:pgSz w:w="11910" w:h="16840"/>
          <w:pgMar w:header="0" w:footer="998" w:top="1560" w:bottom="1180" w:left="1420" w:right="1260"/>
        </w:sectPr>
      </w:pPr>
    </w:p>
    <w:p>
      <w:pPr>
        <w:pStyle w:val="BodyText"/>
        <w:spacing w:line="20" w:lineRule="exact"/>
        <w:ind w:left="113"/>
        <w:rPr>
          <w:sz w:val="2"/>
        </w:rPr>
      </w:pPr>
      <w:r>
        <w:rPr>
          <w:sz w:val="2"/>
        </w:rPr>
        <w:pict>
          <v:group style="width:445.95pt;height:.75pt;mso-position-horizontal-relative:char;mso-position-vertical-relative:line" coordorigin="0,0" coordsize="8919,15">
            <v:line style="position:absolute" from="8,8" to="8912,8" stroked="true" strokeweight=".71997pt" strokecolor="#000000">
              <v:stroke dashstyle="solid"/>
            </v:line>
          </v:group>
        </w:pict>
      </w:r>
      <w:r>
        <w:rPr>
          <w:sz w:val="2"/>
        </w:rPr>
      </w:r>
    </w:p>
    <w:p>
      <w:pPr>
        <w:pStyle w:val="BodyText"/>
        <w:ind w:left="0"/>
        <w:rPr>
          <w:sz w:val="20"/>
        </w:rPr>
      </w:pPr>
    </w:p>
    <w:p>
      <w:pPr>
        <w:pStyle w:val="BodyText"/>
        <w:spacing w:before="12"/>
        <w:ind w:left="0"/>
        <w:rPr>
          <w:sz w:val="13"/>
        </w:rPr>
      </w:pPr>
    </w:p>
    <w:p>
      <w:pPr>
        <w:pStyle w:val="BodyText"/>
        <w:spacing w:line="343" w:lineRule="auto" w:before="2"/>
        <w:ind w:left="151" w:right="225" w:firstLine="630"/>
        <w:jc w:val="both"/>
      </w:pPr>
      <w:r>
        <w:rPr>
          <w:b/>
          <w:spacing w:val="-10"/>
        </w:rPr>
        <w:t>五、人民生活得到新改善。</w:t>
      </w:r>
      <w:r>
        <w:rPr>
          <w:spacing w:val="-4"/>
        </w:rPr>
        <w:t>城乡居民收入持续较快增长。城</w:t>
      </w:r>
      <w:r>
        <w:rPr>
          <w:spacing w:val="-11"/>
        </w:rPr>
        <w:t>镇居民人均可支配收入达到 </w:t>
      </w:r>
      <w:r>
        <w:rPr/>
        <w:t>26649</w:t>
      </w:r>
      <w:r>
        <w:rPr>
          <w:spacing w:val="-26"/>
        </w:rPr>
        <w:t> 元，年均增长 </w:t>
      </w:r>
      <w:r>
        <w:rPr>
          <w:spacing w:val="-4"/>
        </w:rPr>
        <w:t>11.9%</w:t>
      </w:r>
      <w:r>
        <w:rPr>
          <w:spacing w:val="-2"/>
        </w:rPr>
        <w:t>；农村居</w:t>
      </w:r>
      <w:r>
        <w:rPr>
          <w:spacing w:val="-10"/>
        </w:rPr>
        <w:t>民人均可支配收入达到 </w:t>
      </w:r>
      <w:r>
        <w:rPr/>
        <w:t>11420</w:t>
      </w:r>
      <w:r>
        <w:rPr>
          <w:spacing w:val="-26"/>
        </w:rPr>
        <w:t> 元，年均增长 </w:t>
      </w:r>
      <w:r>
        <w:rPr/>
        <w:t>13.6%</w:t>
      </w:r>
      <w:r>
        <w:rPr>
          <w:spacing w:val="-5"/>
        </w:rPr>
        <w:t>。城乡居民储</w:t>
      </w:r>
      <w:r>
        <w:rPr>
          <w:spacing w:val="-14"/>
        </w:rPr>
        <w:t>蓄存款余额达到 </w:t>
      </w:r>
      <w:r>
        <w:rPr/>
        <w:t>89.28</w:t>
      </w:r>
      <w:r>
        <w:rPr>
          <w:spacing w:val="-26"/>
        </w:rPr>
        <w:t> 亿元，比 </w:t>
      </w:r>
      <w:r>
        <w:rPr/>
        <w:t>2010</w:t>
      </w:r>
      <w:r>
        <w:rPr>
          <w:spacing w:val="-39"/>
        </w:rPr>
        <w:t> 增加 </w:t>
      </w:r>
      <w:r>
        <w:rPr/>
        <w:t>48.55</w:t>
      </w:r>
      <w:r>
        <w:rPr>
          <w:spacing w:val="-12"/>
        </w:rPr>
        <w:t> 亿元。中心城</w:t>
      </w:r>
    </w:p>
    <w:p>
      <w:pPr>
        <w:pStyle w:val="BodyText"/>
        <w:spacing w:before="43"/>
        <w:ind w:left="0" w:right="75"/>
        <w:jc w:val="center"/>
      </w:pPr>
      <w:r>
        <w:rPr/>
        <w:t>区人均居住面积达 35.5 平方米。完成乡通村水泥路改造 130 公</w:t>
      </w:r>
    </w:p>
    <w:p>
      <w:pPr>
        <w:pStyle w:val="BodyText"/>
        <w:spacing w:before="181"/>
        <w:ind w:left="0" w:right="74"/>
        <w:jc w:val="center"/>
      </w:pPr>
      <w:r>
        <w:rPr/>
        <w:t>里，解决 5.25 万人饮水安全问题。农村扶贫开发取得新成效，</w:t>
      </w:r>
    </w:p>
    <w:p>
      <w:pPr>
        <w:pStyle w:val="BodyText"/>
        <w:spacing w:line="343" w:lineRule="auto" w:before="181"/>
        <w:ind w:left="151" w:right="139"/>
      </w:pPr>
      <w:r>
        <w:rPr>
          <w:spacing w:val="-18"/>
        </w:rPr>
        <w:t>累计脱贫 </w:t>
      </w:r>
      <w:r>
        <w:rPr/>
        <w:t>2</w:t>
      </w:r>
      <w:r>
        <w:rPr>
          <w:spacing w:val="-10"/>
        </w:rPr>
        <w:t> 万人，精准扶贫工作全面启动。教育、住房、饮水、</w:t>
      </w:r>
      <w:r>
        <w:rPr>
          <w:spacing w:val="-2"/>
        </w:rPr>
        <w:t>用电、出行、就医等群众关心关注的重大问题逐步得到解决。</w:t>
      </w:r>
    </w:p>
    <w:p>
      <w:pPr>
        <w:spacing w:before="90"/>
        <w:ind w:left="0" w:right="76" w:firstLine="0"/>
        <w:jc w:val="center"/>
        <w:rPr>
          <w:sz w:val="28"/>
        </w:rPr>
      </w:pPr>
      <w:r>
        <w:rPr>
          <w:sz w:val="28"/>
        </w:rPr>
        <w:t>图 8.五通桥区“十二五”期间城镇居民人均可支配收入增长图</w:t>
      </w:r>
    </w:p>
    <w:p>
      <w:pPr>
        <w:pStyle w:val="BodyText"/>
        <w:spacing w:before="1"/>
        <w:ind w:left="0"/>
        <w:rPr>
          <w:sz w:val="12"/>
        </w:rPr>
      </w:pPr>
      <w:r>
        <w:rPr/>
        <w:pict>
          <v:group style="position:absolute;margin-left:79.75pt;margin-top:9.860408pt;width:435.05pt;height:195.05pt;mso-position-horizontal-relative:page;mso-position-vertical-relative:paragraph;z-index:4552;mso-wrap-distance-left:0;mso-wrap-distance-right:0" coordorigin="1595,197" coordsize="8701,3901">
            <v:rect style="position:absolute;left:1597;top:198;width:8699;height:3868" filled="true" fillcolor="#92d050" stroked="false">
              <v:fill type="solid"/>
            </v:rect>
            <v:rect style="position:absolute;left:1596;top:198;width:8699;height:3867" filled="false" stroked="true" strokeweight=".06pt" strokecolor="#65659a">
              <v:stroke dashstyle="solid"/>
            </v:rect>
            <v:rect style="position:absolute;left:2317;top:492;width:5884;height:3200" filled="true" fillcolor="#fac090" stroked="false">
              <v:fill type="solid"/>
            </v:rect>
            <v:line style="position:absolute" from="7908,3151" to="8200,3151" stroked="true" strokeweight=".06pt" strokecolor="#7f7f7f">
              <v:stroke dashstyle="solid"/>
            </v:line>
            <v:line style="position:absolute" from="6934,3151" to="7520,3151" stroked="true" strokeweight=".06pt" strokecolor="#7f7f7f">
              <v:stroke dashstyle="solid"/>
            </v:line>
            <v:line style="position:absolute" from="5946,3151" to="6534,3151" stroked="true" strokeweight=".06pt" strokecolor="#7f7f7f">
              <v:stroke dashstyle="solid"/>
            </v:line>
            <v:line style="position:absolute" from="4973,3151" to="5560,3151" stroked="true" strokeweight=".06pt" strokecolor="#7f7f7f">
              <v:stroke dashstyle="solid"/>
            </v:line>
            <v:line style="position:absolute" from="3985,3151" to="4572,3151" stroked="true" strokeweight=".06pt" strokecolor="#7f7f7f">
              <v:stroke dashstyle="solid"/>
            </v:line>
            <v:line style="position:absolute" from="3012,3151" to="3599,3151" stroked="true" strokeweight=".06pt" strokecolor="#7f7f7f">
              <v:stroke dashstyle="solid"/>
            </v:line>
            <v:line style="position:absolute" from="2316,3151" to="2611,3151" stroked="true" strokeweight=".06pt" strokecolor="#7f7f7f">
              <v:stroke dashstyle="solid"/>
            </v:line>
            <v:line style="position:absolute" from="7908,2629" to="8200,2629" stroked="true" strokeweight=".06pt" strokecolor="#7f7f7f">
              <v:stroke dashstyle="solid"/>
            </v:line>
            <v:line style="position:absolute" from="6934,2629" to="7520,2629" stroked="true" strokeweight=".06pt" strokecolor="#7f7f7f">
              <v:stroke dashstyle="solid"/>
            </v:line>
            <v:line style="position:absolute" from="5946,2629" to="6534,2629" stroked="true" strokeweight=".06pt" strokecolor="#7f7f7f">
              <v:stroke dashstyle="solid"/>
            </v:line>
            <v:line style="position:absolute" from="4973,2629" to="5560,2629" stroked="true" strokeweight=".06pt" strokecolor="#7f7f7f">
              <v:stroke dashstyle="solid"/>
            </v:line>
            <v:line style="position:absolute" from="3985,2629" to="4572,2629" stroked="true" strokeweight=".06pt" strokecolor="#7f7f7f">
              <v:stroke dashstyle="solid"/>
            </v:line>
            <v:line style="position:absolute" from="3012,2629" to="3599,2629" stroked="true" strokeweight=".06pt" strokecolor="#7f7f7f">
              <v:stroke dashstyle="solid"/>
            </v:line>
            <v:line style="position:absolute" from="2316,2629" to="2611,2629" stroked="true" strokeweight=".06pt" strokecolor="#7f7f7f">
              <v:stroke dashstyle="solid"/>
            </v:line>
            <v:line style="position:absolute" from="7908,2091" to="8200,2091" stroked="true" strokeweight=".06pt" strokecolor="#7f7f7f">
              <v:stroke dashstyle="solid"/>
            </v:line>
            <v:line style="position:absolute" from="6934,2091" to="7520,2091" stroked="true" strokeweight=".06pt" strokecolor="#7f7f7f">
              <v:stroke dashstyle="solid"/>
            </v:line>
            <v:line style="position:absolute" from="5946,2091" to="6534,2091" stroked="true" strokeweight=".06pt" strokecolor="#7f7f7f">
              <v:stroke dashstyle="solid"/>
            </v:line>
            <v:line style="position:absolute" from="4973,2091" to="5560,2091" stroked="true" strokeweight=".06pt" strokecolor="#7f7f7f">
              <v:stroke dashstyle="solid"/>
            </v:line>
            <v:line style="position:absolute" from="3985,2091" to="4572,2091" stroked="true" strokeweight=".06pt" strokecolor="#7f7f7f">
              <v:stroke dashstyle="solid"/>
            </v:line>
            <v:line style="position:absolute" from="3012,2091" to="3599,2091" stroked="true" strokeweight=".06pt" strokecolor="#7f7f7f">
              <v:stroke dashstyle="solid"/>
            </v:line>
            <v:line style="position:absolute" from="2316,2091" to="2611,2091" stroked="true" strokeweight=".06pt" strokecolor="#7f7f7f">
              <v:stroke dashstyle="solid"/>
            </v:line>
            <v:line style="position:absolute" from="7908,1552" to="8200,1552" stroked="true" strokeweight=".06pt" strokecolor="#7f7f7f">
              <v:stroke dashstyle="solid"/>
            </v:line>
            <v:line style="position:absolute" from="6934,1552" to="7520,1552" stroked="true" strokeweight=".06pt" strokecolor="#7f7f7f">
              <v:stroke dashstyle="solid"/>
            </v:line>
            <v:line style="position:absolute" from="5946,1552" to="6534,1552" stroked="true" strokeweight=".06pt" strokecolor="#7f7f7f">
              <v:stroke dashstyle="solid"/>
            </v:line>
            <v:line style="position:absolute" from="4973,1552" to="5560,1552" stroked="true" strokeweight=".06pt" strokecolor="#7f7f7f">
              <v:stroke dashstyle="solid"/>
            </v:line>
            <v:line style="position:absolute" from="2316,1552" to="4572,1552" stroked="true" strokeweight=".06pt" strokecolor="#7f7f7f">
              <v:stroke dashstyle="solid"/>
            </v:line>
            <v:line style="position:absolute" from="7908,1030" to="8200,1030" stroked="true" strokeweight=".06pt" strokecolor="#7f7f7f">
              <v:stroke dashstyle="solid"/>
            </v:line>
            <v:line style="position:absolute" from="6934,1030" to="7520,1030" stroked="true" strokeweight=".06pt" strokecolor="#7f7f7f">
              <v:stroke dashstyle="solid"/>
            </v:line>
            <v:line style="position:absolute" from="2316,1030" to="6534,1030" stroked="true" strokeweight=".06pt" strokecolor="#7f7f7f">
              <v:stroke dashstyle="solid"/>
            </v:line>
            <v:line style="position:absolute" from="2316,491" to="8200,491" stroked="true" strokeweight=".06pt" strokecolor="#7f7f7f">
              <v:stroke dashstyle="solid"/>
            </v:line>
            <v:rect style="position:absolute;left:2611;top:1993;width:401;height:1698" filled="true" fillcolor="#c00000" stroked="false">
              <v:fill type="solid"/>
            </v:rect>
            <v:rect style="position:absolute;left:3598;top:1733;width:387;height:1959" filled="true" fillcolor="#c00000" stroked="false">
              <v:fill type="solid"/>
            </v:rect>
            <v:rect style="position:absolute;left:4572;top:1439;width:401;height:2253" filled="true" fillcolor="#c00000" stroked="false">
              <v:fill type="solid"/>
            </v:rect>
            <v:rect style="position:absolute;left:5559;top:1177;width:387;height:2514" filled="true" fillcolor="#c00000" stroked="false">
              <v:fill type="solid"/>
            </v:rect>
            <v:rect style="position:absolute;left:6534;top:966;width:400;height:2726" filled="true" fillcolor="#c00000" stroked="false">
              <v:fill type="solid"/>
            </v:rect>
            <v:rect style="position:absolute;left:7520;top:851;width:388;height:2841" filled="true" fillcolor="#c00000" stroked="false">
              <v:fill type="solid"/>
            </v:rect>
            <v:line style="position:absolute" from="2316,491" to="2316,3690" stroked="true" strokeweight=".06pt" strokecolor="#7f7f7f">
              <v:stroke dashstyle="solid"/>
            </v:line>
            <v:line style="position:absolute" from="2263,3690" to="2316,3690" stroked="true" strokeweight=".06pt" strokecolor="#7f7f7f">
              <v:stroke dashstyle="solid"/>
            </v:line>
            <v:line style="position:absolute" from="2263,3151" to="2316,3151" stroked="true" strokeweight=".06pt" strokecolor="#7f7f7f">
              <v:stroke dashstyle="solid"/>
            </v:line>
            <v:line style="position:absolute" from="2263,2629" to="2316,2629" stroked="true" strokeweight=".06pt" strokecolor="#7f7f7f">
              <v:stroke dashstyle="solid"/>
            </v:line>
            <v:line style="position:absolute" from="2263,2091" to="2316,2091" stroked="true" strokeweight=".06pt" strokecolor="#7f7f7f">
              <v:stroke dashstyle="solid"/>
            </v:line>
            <v:line style="position:absolute" from="2263,1552" to="2316,1552" stroked="true" strokeweight=".06pt" strokecolor="#7f7f7f">
              <v:stroke dashstyle="solid"/>
            </v:line>
            <v:line style="position:absolute" from="2263,1030" to="2316,1030" stroked="true" strokeweight=".06pt" strokecolor="#7f7f7f">
              <v:stroke dashstyle="solid"/>
            </v:line>
            <v:line style="position:absolute" from="2263,491" to="2316,491" stroked="true" strokeweight=".06pt" strokecolor="#7f7f7f">
              <v:stroke dashstyle="solid"/>
            </v:line>
            <v:line style="position:absolute" from="2316,3690" to="8200,3690" stroked="true" strokeweight=".06pt" strokecolor="#7f7f7f">
              <v:stroke dashstyle="solid"/>
            </v:line>
            <v:line style="position:absolute" from="2316,3755" to="2316,3690" stroked="true" strokeweight=".06pt" strokecolor="#7f7f7f">
              <v:stroke dashstyle="solid"/>
            </v:line>
            <v:line style="position:absolute" from="3304,3755" to="3304,3690" stroked="true" strokeweight=".06pt" strokecolor="#7f7f7f">
              <v:stroke dashstyle="solid"/>
            </v:line>
            <v:line style="position:absolute" from="4278,3755" to="4278,3690" stroked="true" strokeweight=".06pt" strokecolor="#7f7f7f">
              <v:stroke dashstyle="solid"/>
            </v:line>
            <v:line style="position:absolute" from="5264,3755" to="5264,3690" stroked="true" strokeweight=".06pt" strokecolor="#7f7f7f">
              <v:stroke dashstyle="solid"/>
            </v:line>
            <v:line style="position:absolute" from="6239,3755" to="6239,3690" stroked="true" strokeweight=".06pt" strokecolor="#7f7f7f">
              <v:stroke dashstyle="solid"/>
            </v:line>
            <v:line style="position:absolute" from="7226,3755" to="7226,3690" stroked="true" strokeweight=".06pt" strokecolor="#7f7f7f">
              <v:stroke dashstyle="solid"/>
            </v:line>
            <v:line style="position:absolute" from="8200,3755" to="8200,3690" stroked="true" strokeweight=".06pt" strokecolor="#7f7f7f">
              <v:stroke dashstyle="solid"/>
            </v:line>
            <v:shape style="position:absolute;left:8199;top:491;width:54;height:3200" coordorigin="8200,491" coordsize="54,3200" path="m8200,491l8200,3690,8254,3690e" filled="false" stroked="true" strokeweight=".06pt" strokecolor="#7f7f7f">
              <v:path arrowok="t"/>
              <v:stroke dashstyle="solid"/>
            </v:shape>
            <v:line style="position:absolute" from="8200,3330" to="8254,3330" stroked="true" strokeweight=".06pt" strokecolor="#7f7f7f">
              <v:stroke dashstyle="solid"/>
            </v:line>
            <v:line style="position:absolute" from="8200,2971" to="8254,2971" stroked="true" strokeweight=".06pt" strokecolor="#7f7f7f">
              <v:stroke dashstyle="solid"/>
            </v:line>
            <v:line style="position:absolute" from="8200,2629" to="8254,2629" stroked="true" strokeweight=".06pt" strokecolor="#7f7f7f">
              <v:stroke dashstyle="solid"/>
            </v:line>
            <v:line style="position:absolute" from="8200,2271" to="8254,2271" stroked="true" strokeweight=".06pt" strokecolor="#7f7f7f">
              <v:stroke dashstyle="solid"/>
            </v:line>
            <v:line style="position:absolute" from="8200,1911" to="8254,1911" stroked="true" strokeweight=".06pt" strokecolor="#7f7f7f">
              <v:stroke dashstyle="solid"/>
            </v:line>
            <v:line style="position:absolute" from="8200,1552" to="8254,1552" stroked="true" strokeweight=".06pt" strokecolor="#7f7f7f">
              <v:stroke dashstyle="solid"/>
            </v:line>
            <v:line style="position:absolute" from="8200,1210" to="8254,1210" stroked="true" strokeweight=".06pt" strokecolor="#7f7f7f">
              <v:stroke dashstyle="solid"/>
            </v:line>
            <v:line style="position:absolute" from="8200,850" to="8254,850" stroked="true" strokeweight=".06pt" strokecolor="#7f7f7f">
              <v:stroke dashstyle="solid"/>
            </v:line>
            <v:line style="position:absolute" from="8200,491" to="8254,491" stroked="true" strokeweight=".06pt" strokecolor="#7f7f7f">
              <v:stroke dashstyle="solid"/>
            </v:line>
            <v:shape style="position:absolute;left:2810;top:898;width:4896;height:1225" coordorigin="2810,899" coordsize="4896,1225" path="m2810,1438l3784,948,4771,899,5746,1715,6732,2107,7706,2123e" filled="false" stroked="true" strokeweight="1.613838pt" strokecolor="#9a3365">
              <v:path arrowok="t"/>
              <v:stroke dashstyle="solid"/>
            </v:shape>
            <v:rect style="position:absolute;left:2743;top:1355;width:120;height:147" filled="true" fillcolor="#000000" stroked="false">
              <v:fill type="solid"/>
            </v:rect>
            <v:rect style="position:absolute;left:2743;top:1355;width:120;height:147" filled="false" stroked="true" strokeweight=".727138pt" strokecolor="#9a3365">
              <v:stroke dashstyle="solid"/>
            </v:rect>
            <v:rect style="position:absolute;left:3717;top:866;width:120;height:147" filled="true" fillcolor="#000000" stroked="false">
              <v:fill type="solid"/>
            </v:rect>
            <v:rect style="position:absolute;left:3717;top:866;width:120;height:147" filled="false" stroked="true" strokeweight=".727138pt" strokecolor="#9a3365">
              <v:stroke dashstyle="solid"/>
            </v:rect>
            <v:rect style="position:absolute;left:4703;top:817;width:122;height:148" filled="true" fillcolor="#000000" stroked="false">
              <v:fill type="solid"/>
            </v:rect>
            <v:rect style="position:absolute;left:4703;top:817;width:122;height:148" filled="false" stroked="true" strokeweight=".727266pt" strokecolor="#9a3365">
              <v:stroke dashstyle="solid"/>
            </v:rect>
            <v:rect style="position:absolute;left:5678;top:1633;width:120;height:148" filled="true" fillcolor="#000000" stroked="false">
              <v:fill type="solid"/>
            </v:rect>
            <v:rect style="position:absolute;left:5678;top:1633;width:120;height:148" filled="false" stroked="true" strokeweight=".726554pt" strokecolor="#9a3365">
              <v:stroke dashstyle="solid"/>
            </v:rect>
            <v:rect style="position:absolute;left:6665;top:2025;width:120;height:147" filled="true" fillcolor="#000000" stroked="false">
              <v:fill type="solid"/>
            </v:rect>
            <v:rect style="position:absolute;left:6665;top:2025;width:120;height:147" filled="false" stroked="true" strokeweight=".727138pt" strokecolor="#9a3365">
              <v:stroke dashstyle="solid"/>
            </v:rect>
            <v:rect style="position:absolute;left:7639;top:2041;width:120;height:148" filled="true" fillcolor="#000000" stroked="false">
              <v:fill type="solid"/>
            </v:rect>
            <v:rect style="position:absolute;left:7639;top:2041;width:120;height:148" filled="false" stroked="true" strokeweight=".726554pt" strokecolor="#9a3365">
              <v:stroke dashstyle="solid"/>
            </v:rect>
            <v:rect style="position:absolute;left:8708;top:1945;width:360;height:114" filled="true" fillcolor="#c00000" stroked="false">
              <v:fill type="solid"/>
            </v:rect>
            <v:line style="position:absolute" from="8934,2270" to="9080,2270" stroked="true" strokeweight="1.63135pt" strokecolor="#9a3365">
              <v:stroke dashstyle="solid"/>
            </v:line>
            <v:line style="position:absolute" from="8707,2270" to="8840,2270" stroked="true" strokeweight="1.63135pt" strokecolor="#9a3365">
              <v:stroke dashstyle="solid"/>
            </v:line>
            <v:line style="position:absolute" from="8887,2204" to="8887,2318" stroked="true" strokeweight="4.680036pt" strokecolor="#000000">
              <v:stroke dashstyle="solid"/>
            </v:line>
            <v:rect style="position:absolute;left:8840;top:2204;width:94;height:115" filled="false" stroked="true" strokeweight=".72726pt" strokecolor="#9a3365">
              <v:stroke dashstyle="solid"/>
            </v:rect>
            <v:rect style="position:absolute;left:1596;top:198;width:8699;height:3867" filled="false" stroked="true" strokeweight=".06pt" strokecolor="#65659a">
              <v:stroke dashstyle="solid"/>
            </v:rect>
            <v:shape style="position:absolute;left:1717;top:393;width:487;height:213" type="#_x0000_t202" filled="false" stroked="false">
              <v:textbox inset="0,0,0,0">
                <w:txbxContent>
                  <w:p>
                    <w:pPr>
                      <w:spacing w:line="212" w:lineRule="exact" w:before="0"/>
                      <w:ind w:left="0" w:right="0" w:firstLine="0"/>
                      <w:jc w:val="left"/>
                      <w:rPr>
                        <w:rFonts w:ascii="宋体"/>
                        <w:sz w:val="21"/>
                      </w:rPr>
                    </w:pPr>
                    <w:r>
                      <w:rPr>
                        <w:rFonts w:ascii="宋体"/>
                        <w:w w:val="85"/>
                        <w:sz w:val="21"/>
                      </w:rPr>
                      <w:t>30000</w:t>
                    </w:r>
                  </w:p>
                </w:txbxContent>
              </v:textbox>
              <w10:wrap type="none"/>
            </v:shape>
            <v:shape style="position:absolute;left:6466;top:671;width:553;height:213" type="#_x0000_t202" filled="false" stroked="false">
              <v:textbox inset="0,0,0,0">
                <w:txbxContent>
                  <w:p>
                    <w:pPr>
                      <w:spacing w:line="212" w:lineRule="exact" w:before="0"/>
                      <w:ind w:left="0" w:right="0" w:firstLine="0"/>
                      <w:jc w:val="left"/>
                      <w:rPr>
                        <w:rFonts w:ascii="宋体"/>
                        <w:b/>
                        <w:sz w:val="21"/>
                      </w:rPr>
                    </w:pPr>
                    <w:r>
                      <w:rPr>
                        <w:rFonts w:ascii="宋体"/>
                        <w:b/>
                        <w:w w:val="80"/>
                        <w:sz w:val="21"/>
                      </w:rPr>
                      <w:t>2</w:t>
                    </w:r>
                    <w:r>
                      <w:rPr>
                        <w:rFonts w:ascii="宋体"/>
                        <w:b/>
                        <w:spacing w:val="-56"/>
                        <w:w w:val="80"/>
                        <w:sz w:val="21"/>
                      </w:rPr>
                      <w:t> </w:t>
                    </w:r>
                    <w:r>
                      <w:rPr>
                        <w:rFonts w:ascii="宋体"/>
                        <w:b/>
                        <w:spacing w:val="15"/>
                        <w:w w:val="80"/>
                        <w:sz w:val="21"/>
                      </w:rPr>
                      <w:t>5601</w:t>
                    </w:r>
                    <w:r>
                      <w:rPr>
                        <w:rFonts w:ascii="宋体"/>
                        <w:b/>
                        <w:spacing w:val="-86"/>
                        <w:sz w:val="21"/>
                      </w:rPr>
                      <w:t> </w:t>
                    </w:r>
                  </w:p>
                </w:txbxContent>
              </v:textbox>
              <w10:wrap type="none"/>
            </v:shape>
            <v:shape style="position:absolute;left:7439;top:557;width:554;height:213" type="#_x0000_t202" filled="false" stroked="false">
              <v:textbox inset="0,0,0,0">
                <w:txbxContent>
                  <w:p>
                    <w:pPr>
                      <w:spacing w:line="212" w:lineRule="exact" w:before="0"/>
                      <w:ind w:left="0" w:right="0" w:firstLine="0"/>
                      <w:jc w:val="left"/>
                      <w:rPr>
                        <w:rFonts w:ascii="宋体"/>
                        <w:b/>
                        <w:sz w:val="21"/>
                      </w:rPr>
                    </w:pPr>
                    <w:r>
                      <w:rPr>
                        <w:rFonts w:ascii="宋体"/>
                        <w:b/>
                        <w:w w:val="85"/>
                        <w:sz w:val="21"/>
                      </w:rPr>
                      <w:t>26649</w:t>
                    </w:r>
                    <w:r>
                      <w:rPr>
                        <w:rFonts w:ascii="宋体"/>
                        <w:b/>
                        <w:sz w:val="21"/>
                      </w:rPr>
                      <w:t> </w:t>
                    </w:r>
                  </w:p>
                </w:txbxContent>
              </v:textbox>
              <w10:wrap type="none"/>
            </v:shape>
            <v:shape style="position:absolute;left:1717;top:932;width:487;height:213" type="#_x0000_t202" filled="false" stroked="false">
              <v:textbox inset="0,0,0,0">
                <w:txbxContent>
                  <w:p>
                    <w:pPr>
                      <w:spacing w:line="212" w:lineRule="exact" w:before="0"/>
                      <w:ind w:left="0" w:right="0" w:firstLine="0"/>
                      <w:jc w:val="left"/>
                      <w:rPr>
                        <w:rFonts w:ascii="宋体"/>
                        <w:sz w:val="21"/>
                      </w:rPr>
                    </w:pPr>
                    <w:r>
                      <w:rPr>
                        <w:rFonts w:ascii="宋体"/>
                        <w:w w:val="85"/>
                        <w:sz w:val="21"/>
                      </w:rPr>
                      <w:t>25000</w:t>
                    </w:r>
                  </w:p>
                </w:txbxContent>
              </v:textbox>
              <w10:wrap type="none"/>
            </v:shape>
            <v:shape style="position:absolute;left:3917;top:851;width:395;height:213" type="#_x0000_t202" filled="false" stroked="false">
              <v:textbox inset="0,0,0,0">
                <w:txbxContent>
                  <w:p>
                    <w:pPr>
                      <w:spacing w:line="212" w:lineRule="exact" w:before="0"/>
                      <w:ind w:left="0" w:right="0" w:firstLine="0"/>
                      <w:jc w:val="left"/>
                      <w:rPr>
                        <w:rFonts w:ascii="宋体"/>
                        <w:sz w:val="21"/>
                      </w:rPr>
                    </w:pPr>
                    <w:r>
                      <w:rPr>
                        <w:rFonts w:ascii="宋体"/>
                        <w:w w:val="85"/>
                        <w:sz w:val="21"/>
                      </w:rPr>
                      <w:t>15.4</w:t>
                    </w:r>
                  </w:p>
                </w:txbxContent>
              </v:textbox>
              <w10:wrap type="none"/>
            </v:shape>
            <v:shape style="position:absolute;left:4517;top:801;width:781;height:474" type="#_x0000_t202" filled="false" stroked="false">
              <v:textbox inset="0,0,0,0">
                <w:txbxContent>
                  <w:p>
                    <w:pPr>
                      <w:spacing w:line="205" w:lineRule="exact" w:before="0"/>
                      <w:ind w:left="387" w:right="0" w:firstLine="0"/>
                      <w:jc w:val="left"/>
                      <w:rPr>
                        <w:rFonts w:ascii="宋体"/>
                        <w:sz w:val="21"/>
                      </w:rPr>
                    </w:pPr>
                    <w:r>
                      <w:rPr>
                        <w:rFonts w:ascii="宋体"/>
                        <w:w w:val="85"/>
                        <w:sz w:val="21"/>
                      </w:rPr>
                      <w:t>15.7</w:t>
                    </w:r>
                  </w:p>
                  <w:p>
                    <w:pPr>
                      <w:spacing w:line="268" w:lineRule="exact" w:before="0"/>
                      <w:ind w:left="0" w:right="0" w:firstLine="0"/>
                      <w:jc w:val="left"/>
                      <w:rPr>
                        <w:rFonts w:ascii="宋体"/>
                        <w:b/>
                        <w:sz w:val="21"/>
                      </w:rPr>
                    </w:pPr>
                    <w:r>
                      <w:rPr>
                        <w:rFonts w:ascii="宋体"/>
                        <w:b/>
                        <w:w w:val="90"/>
                        <w:sz w:val="21"/>
                      </w:rPr>
                      <w:t>21167</w:t>
                    </w:r>
                    <w:r>
                      <w:rPr>
                        <w:rFonts w:ascii="宋体"/>
                        <w:b/>
                        <w:sz w:val="21"/>
                      </w:rPr>
                      <w:t> </w:t>
                    </w:r>
                  </w:p>
                </w:txbxContent>
              </v:textbox>
              <w10:wrap type="none"/>
            </v:shape>
            <v:shape style="position:absolute;left:5479;top:883;width:554;height:213" type="#_x0000_t202" filled="false" stroked="false">
              <v:textbox inset="0,0,0,0">
                <w:txbxContent>
                  <w:p>
                    <w:pPr>
                      <w:spacing w:line="212" w:lineRule="exact" w:before="0"/>
                      <w:ind w:left="0" w:right="0" w:firstLine="0"/>
                      <w:jc w:val="left"/>
                      <w:rPr>
                        <w:rFonts w:ascii="宋体"/>
                        <w:b/>
                        <w:sz w:val="21"/>
                      </w:rPr>
                    </w:pPr>
                    <w:r>
                      <w:rPr>
                        <w:rFonts w:ascii="宋体"/>
                        <w:b/>
                        <w:w w:val="85"/>
                        <w:sz w:val="21"/>
                      </w:rPr>
                      <w:t>23509</w:t>
                    </w:r>
                    <w:r>
                      <w:rPr>
                        <w:rFonts w:ascii="宋体"/>
                        <w:b/>
                        <w:sz w:val="21"/>
                      </w:rPr>
                      <w:t> </w:t>
                    </w:r>
                  </w:p>
                </w:txbxContent>
              </v:textbox>
              <w10:wrap type="none"/>
            </v:shape>
            <v:shape style="position:absolute;left:1717;top:1454;width:487;height:213" type="#_x0000_t202" filled="false" stroked="false">
              <v:textbox inset="0,0,0,0">
                <w:txbxContent>
                  <w:p>
                    <w:pPr>
                      <w:spacing w:line="212" w:lineRule="exact" w:before="0"/>
                      <w:ind w:left="0" w:right="0" w:firstLine="0"/>
                      <w:jc w:val="left"/>
                      <w:rPr>
                        <w:rFonts w:ascii="宋体"/>
                        <w:sz w:val="21"/>
                      </w:rPr>
                    </w:pPr>
                    <w:r>
                      <w:rPr>
                        <w:rFonts w:ascii="宋体"/>
                        <w:w w:val="85"/>
                        <w:sz w:val="21"/>
                      </w:rPr>
                      <w:t>20000</w:t>
                    </w:r>
                  </w:p>
                </w:txbxContent>
              </v:textbox>
              <w10:wrap type="none"/>
            </v:shape>
            <v:shape style="position:absolute;left:2544;top:1340;width:1528;height:571" type="#_x0000_t202" filled="false" stroked="false">
              <v:textbox inset="0,0,0,0">
                <w:txbxContent>
                  <w:p>
                    <w:pPr>
                      <w:spacing w:line="304" w:lineRule="exact" w:before="0"/>
                      <w:ind w:left="399" w:right="0" w:firstLine="0"/>
                      <w:jc w:val="left"/>
                      <w:rPr>
                        <w:rFonts w:ascii="宋体"/>
                        <w:b/>
                        <w:sz w:val="21"/>
                      </w:rPr>
                    </w:pPr>
                    <w:r>
                      <w:rPr>
                        <w:rFonts w:ascii="宋体"/>
                        <w:spacing w:val="3"/>
                        <w:w w:val="90"/>
                        <w:sz w:val="21"/>
                      </w:rPr>
                      <w:t>12.64</w:t>
                    </w:r>
                    <w:r>
                      <w:rPr>
                        <w:rFonts w:ascii="宋体"/>
                        <w:spacing w:val="-48"/>
                        <w:w w:val="90"/>
                        <w:sz w:val="21"/>
                      </w:rPr>
                      <w:t> </w:t>
                    </w:r>
                    <w:r>
                      <w:rPr>
                        <w:rFonts w:ascii="宋体"/>
                        <w:b/>
                        <w:w w:val="90"/>
                        <w:position w:val="-9"/>
                        <w:sz w:val="21"/>
                      </w:rPr>
                      <w:t>1</w:t>
                    </w:r>
                    <w:r>
                      <w:rPr>
                        <w:rFonts w:ascii="宋体"/>
                        <w:b/>
                        <w:spacing w:val="-88"/>
                        <w:w w:val="90"/>
                        <w:position w:val="-9"/>
                        <w:sz w:val="21"/>
                      </w:rPr>
                      <w:t> </w:t>
                    </w:r>
                    <w:r>
                      <w:rPr>
                        <w:rFonts w:ascii="宋体"/>
                        <w:b/>
                        <w:spacing w:val="15"/>
                        <w:w w:val="90"/>
                        <w:position w:val="-9"/>
                        <w:sz w:val="21"/>
                      </w:rPr>
                      <w:t>8294</w:t>
                    </w:r>
                    <w:r>
                      <w:rPr>
                        <w:rFonts w:ascii="宋体"/>
                        <w:b/>
                        <w:spacing w:val="-86"/>
                        <w:position w:val="-9"/>
                        <w:sz w:val="21"/>
                      </w:rPr>
                      <w:t> </w:t>
                    </w:r>
                  </w:p>
                  <w:p>
                    <w:pPr>
                      <w:spacing w:line="267" w:lineRule="exact" w:before="0"/>
                      <w:ind w:left="0" w:right="0" w:firstLine="0"/>
                      <w:jc w:val="left"/>
                      <w:rPr>
                        <w:rFonts w:ascii="宋体"/>
                        <w:b/>
                        <w:sz w:val="21"/>
                      </w:rPr>
                    </w:pPr>
                    <w:r>
                      <w:rPr>
                        <w:rFonts w:ascii="宋体"/>
                        <w:b/>
                        <w:w w:val="90"/>
                        <w:sz w:val="21"/>
                      </w:rPr>
                      <w:t>15852</w:t>
                    </w:r>
                    <w:r>
                      <w:rPr>
                        <w:rFonts w:ascii="宋体"/>
                        <w:b/>
                        <w:sz w:val="21"/>
                      </w:rPr>
                      <w:t> </w:t>
                    </w:r>
                  </w:p>
                </w:txbxContent>
              </v:textbox>
              <w10:wrap type="none"/>
            </v:shape>
            <v:shape style="position:absolute;left:5878;top:1617;width:395;height:213" type="#_x0000_t202" filled="false" stroked="false">
              <v:textbox inset="0,0,0,0">
                <w:txbxContent>
                  <w:p>
                    <w:pPr>
                      <w:spacing w:line="212" w:lineRule="exact" w:before="0"/>
                      <w:ind w:left="0" w:right="0" w:firstLine="0"/>
                      <w:jc w:val="left"/>
                      <w:rPr>
                        <w:rFonts w:ascii="宋体"/>
                        <w:sz w:val="21"/>
                      </w:rPr>
                    </w:pPr>
                    <w:r>
                      <w:rPr>
                        <w:rFonts w:ascii="宋体"/>
                        <w:w w:val="85"/>
                        <w:sz w:val="21"/>
                      </w:rPr>
                      <w:t>11.1</w:t>
                    </w:r>
                  </w:p>
                </w:txbxContent>
              </v:textbox>
              <w10:wrap type="none"/>
            </v:shape>
            <v:shape style="position:absolute;left:8333;top:393;width:208;height:1273" type="#_x0000_t202" filled="false" stroked="false">
              <v:textbox inset="0,0,0,0">
                <w:txbxContent>
                  <w:p>
                    <w:pPr>
                      <w:spacing w:line="212" w:lineRule="exact" w:before="0"/>
                      <w:ind w:left="0" w:right="0" w:firstLine="0"/>
                      <w:jc w:val="left"/>
                      <w:rPr>
                        <w:rFonts w:ascii="宋体"/>
                        <w:sz w:val="21"/>
                      </w:rPr>
                    </w:pPr>
                    <w:r>
                      <w:rPr>
                        <w:rFonts w:ascii="宋体"/>
                        <w:w w:val="90"/>
                        <w:sz w:val="21"/>
                      </w:rPr>
                      <w:t>18</w:t>
                    </w:r>
                  </w:p>
                  <w:p>
                    <w:pPr>
                      <w:spacing w:before="84"/>
                      <w:ind w:left="0" w:right="0" w:firstLine="0"/>
                      <w:jc w:val="left"/>
                      <w:rPr>
                        <w:rFonts w:ascii="宋体"/>
                        <w:sz w:val="21"/>
                      </w:rPr>
                    </w:pPr>
                    <w:r>
                      <w:rPr>
                        <w:rFonts w:ascii="宋体"/>
                        <w:w w:val="90"/>
                        <w:sz w:val="21"/>
                      </w:rPr>
                      <w:t>16</w:t>
                    </w:r>
                  </w:p>
                  <w:p>
                    <w:pPr>
                      <w:spacing w:before="85"/>
                      <w:ind w:left="0" w:right="0" w:firstLine="0"/>
                      <w:jc w:val="left"/>
                      <w:rPr>
                        <w:rFonts w:ascii="宋体"/>
                        <w:sz w:val="21"/>
                      </w:rPr>
                    </w:pPr>
                    <w:r>
                      <w:rPr>
                        <w:rFonts w:ascii="宋体"/>
                        <w:w w:val="90"/>
                        <w:sz w:val="21"/>
                      </w:rPr>
                      <w:t>14</w:t>
                    </w:r>
                  </w:p>
                  <w:p>
                    <w:pPr>
                      <w:spacing w:before="67"/>
                      <w:ind w:left="0" w:right="0" w:firstLine="0"/>
                      <w:jc w:val="left"/>
                      <w:rPr>
                        <w:rFonts w:ascii="宋体"/>
                        <w:sz w:val="21"/>
                      </w:rPr>
                    </w:pPr>
                    <w:r>
                      <w:rPr>
                        <w:rFonts w:ascii="宋体"/>
                        <w:w w:val="90"/>
                        <w:sz w:val="21"/>
                      </w:rPr>
                      <w:t>12</w:t>
                    </w:r>
                  </w:p>
                </w:txbxContent>
              </v:textbox>
              <w10:wrap type="none"/>
            </v:shape>
            <v:shape style="position:absolute;left:1717;top:1993;width:6417;height:1812" type="#_x0000_t202" filled="false" stroked="false">
              <v:textbox inset="0,0,0,0">
                <w:txbxContent>
                  <w:p>
                    <w:pPr>
                      <w:tabs>
                        <w:tab w:pos="5149" w:val="left" w:leader="none"/>
                        <w:tab w:pos="6123" w:val="left" w:leader="none"/>
                      </w:tabs>
                      <w:spacing w:line="244" w:lineRule="exact" w:before="0"/>
                      <w:ind w:left="0" w:right="0" w:firstLine="0"/>
                      <w:jc w:val="left"/>
                      <w:rPr>
                        <w:rFonts w:ascii="宋体"/>
                        <w:sz w:val="21"/>
                      </w:rPr>
                    </w:pPr>
                    <w:r>
                      <w:rPr>
                        <w:rFonts w:ascii="宋体"/>
                        <w:spacing w:val="3"/>
                        <w:w w:val="95"/>
                        <w:position w:val="3"/>
                        <w:sz w:val="21"/>
                      </w:rPr>
                      <w:t>15000</w:t>
                      <w:tab/>
                    </w:r>
                    <w:r>
                      <w:rPr>
                        <w:rFonts w:ascii="宋体"/>
                        <w:spacing w:val="2"/>
                        <w:w w:val="95"/>
                        <w:position w:val="2"/>
                        <w:sz w:val="21"/>
                      </w:rPr>
                      <w:t>8.9</w:t>
                      <w:tab/>
                    </w:r>
                    <w:r>
                      <w:rPr>
                        <w:rFonts w:ascii="宋体"/>
                        <w:spacing w:val="2"/>
                        <w:w w:val="85"/>
                        <w:sz w:val="21"/>
                      </w:rPr>
                      <w:t>8.8</w:t>
                    </w:r>
                  </w:p>
                  <w:p>
                    <w:pPr>
                      <w:spacing w:line="240" w:lineRule="auto" w:before="9"/>
                      <w:rPr>
                        <w:sz w:val="17"/>
                      </w:rPr>
                    </w:pPr>
                  </w:p>
                  <w:p>
                    <w:pPr>
                      <w:spacing w:before="0"/>
                      <w:ind w:left="0" w:right="0" w:firstLine="0"/>
                      <w:jc w:val="left"/>
                      <w:rPr>
                        <w:rFonts w:ascii="宋体"/>
                        <w:sz w:val="21"/>
                      </w:rPr>
                    </w:pPr>
                    <w:r>
                      <w:rPr>
                        <w:rFonts w:ascii="宋体"/>
                        <w:w w:val="95"/>
                        <w:sz w:val="21"/>
                      </w:rPr>
                      <w:t>10000</w:t>
                    </w:r>
                  </w:p>
                  <w:p>
                    <w:pPr>
                      <w:spacing w:line="240" w:lineRule="auto" w:before="11"/>
                      <w:rPr>
                        <w:sz w:val="18"/>
                      </w:rPr>
                    </w:pPr>
                  </w:p>
                  <w:p>
                    <w:pPr>
                      <w:spacing w:before="0"/>
                      <w:ind w:left="92" w:right="0" w:firstLine="0"/>
                      <w:jc w:val="left"/>
                      <w:rPr>
                        <w:rFonts w:ascii="宋体"/>
                        <w:sz w:val="21"/>
                      </w:rPr>
                    </w:pPr>
                    <w:r>
                      <w:rPr>
                        <w:rFonts w:ascii="宋体"/>
                        <w:w w:val="95"/>
                        <w:sz w:val="21"/>
                      </w:rPr>
                      <w:t>5000</w:t>
                    </w:r>
                  </w:p>
                  <w:p>
                    <w:pPr>
                      <w:spacing w:line="240" w:lineRule="auto" w:before="1"/>
                      <w:rPr>
                        <w:sz w:val="20"/>
                      </w:rPr>
                    </w:pPr>
                  </w:p>
                  <w:p>
                    <w:pPr>
                      <w:spacing w:before="0"/>
                      <w:ind w:left="373" w:right="0" w:firstLine="0"/>
                      <w:jc w:val="left"/>
                      <w:rPr>
                        <w:rFonts w:ascii="宋体"/>
                        <w:sz w:val="21"/>
                      </w:rPr>
                    </w:pPr>
                    <w:r>
                      <w:rPr>
                        <w:rFonts w:ascii="宋体"/>
                        <w:w w:val="82"/>
                        <w:sz w:val="21"/>
                      </w:rPr>
                      <w:t>0</w:t>
                    </w:r>
                  </w:p>
                </w:txbxContent>
              </v:textbox>
              <w10:wrap type="none"/>
            </v:shape>
            <v:shape style="position:absolute;left:8333;top:1813;width:208;height:1992" type="#_x0000_t202" filled="false" stroked="false">
              <v:textbox inset="0,0,0,0">
                <w:txbxContent>
                  <w:p>
                    <w:pPr>
                      <w:spacing w:line="212" w:lineRule="exact" w:before="0"/>
                      <w:ind w:left="0" w:right="0" w:firstLine="0"/>
                      <w:jc w:val="left"/>
                      <w:rPr>
                        <w:rFonts w:ascii="宋体"/>
                        <w:sz w:val="21"/>
                      </w:rPr>
                    </w:pPr>
                    <w:r>
                      <w:rPr>
                        <w:rFonts w:ascii="宋体"/>
                        <w:w w:val="90"/>
                        <w:sz w:val="21"/>
                      </w:rPr>
                      <w:t>10</w:t>
                    </w:r>
                  </w:p>
                  <w:p>
                    <w:pPr>
                      <w:spacing w:before="84"/>
                      <w:ind w:left="0" w:right="0" w:firstLine="0"/>
                      <w:jc w:val="left"/>
                      <w:rPr>
                        <w:rFonts w:ascii="宋体"/>
                        <w:sz w:val="21"/>
                      </w:rPr>
                    </w:pPr>
                    <w:r>
                      <w:rPr>
                        <w:rFonts w:ascii="宋体"/>
                        <w:w w:val="82"/>
                        <w:sz w:val="21"/>
                      </w:rPr>
                      <w:t>8</w:t>
                    </w:r>
                  </w:p>
                  <w:p>
                    <w:pPr>
                      <w:spacing w:before="85"/>
                      <w:ind w:left="0" w:right="0" w:firstLine="0"/>
                      <w:jc w:val="left"/>
                      <w:rPr>
                        <w:rFonts w:ascii="宋体"/>
                        <w:sz w:val="21"/>
                      </w:rPr>
                    </w:pPr>
                    <w:r>
                      <w:rPr>
                        <w:rFonts w:ascii="宋体"/>
                        <w:w w:val="82"/>
                        <w:sz w:val="21"/>
                      </w:rPr>
                      <w:t>6</w:t>
                    </w:r>
                  </w:p>
                  <w:p>
                    <w:pPr>
                      <w:spacing w:before="67"/>
                      <w:ind w:left="0" w:right="0" w:firstLine="0"/>
                      <w:jc w:val="left"/>
                      <w:rPr>
                        <w:rFonts w:ascii="宋体"/>
                        <w:sz w:val="21"/>
                      </w:rPr>
                    </w:pPr>
                    <w:r>
                      <w:rPr>
                        <w:rFonts w:ascii="宋体"/>
                        <w:w w:val="82"/>
                        <w:sz w:val="21"/>
                      </w:rPr>
                      <w:t>4</w:t>
                    </w:r>
                  </w:p>
                  <w:p>
                    <w:pPr>
                      <w:spacing w:before="84"/>
                      <w:ind w:left="0" w:right="0" w:firstLine="0"/>
                      <w:jc w:val="left"/>
                      <w:rPr>
                        <w:rFonts w:ascii="宋体"/>
                        <w:sz w:val="21"/>
                      </w:rPr>
                    </w:pPr>
                    <w:r>
                      <w:rPr>
                        <w:rFonts w:ascii="宋体"/>
                        <w:w w:val="82"/>
                        <w:sz w:val="21"/>
                      </w:rPr>
                      <w:t>2</w:t>
                    </w:r>
                  </w:p>
                  <w:p>
                    <w:pPr>
                      <w:spacing w:before="85"/>
                      <w:ind w:left="0" w:right="0" w:firstLine="0"/>
                      <w:jc w:val="left"/>
                      <w:rPr>
                        <w:rFonts w:ascii="宋体"/>
                        <w:sz w:val="21"/>
                      </w:rPr>
                    </w:pPr>
                    <w:r>
                      <w:rPr>
                        <w:rFonts w:ascii="宋体"/>
                        <w:w w:val="82"/>
                        <w:sz w:val="21"/>
                      </w:rPr>
                      <w:t>0</w:t>
                    </w:r>
                  </w:p>
                </w:txbxContent>
              </v:textbox>
              <w10:wrap type="none"/>
            </v:shape>
            <v:shape style="position:absolute;left:9121;top:1895;width:1062;height:474" type="#_x0000_t202" filled="false" stroked="false">
              <v:textbox inset="0,0,0,0">
                <w:txbxContent>
                  <w:p>
                    <w:pPr>
                      <w:spacing w:line="205" w:lineRule="exact" w:before="0"/>
                      <w:ind w:left="0" w:right="0" w:firstLine="0"/>
                      <w:jc w:val="left"/>
                      <w:rPr>
                        <w:rFonts w:ascii="宋体" w:eastAsia="宋体" w:hint="eastAsia"/>
                        <w:sz w:val="21"/>
                      </w:rPr>
                    </w:pPr>
                    <w:r>
                      <w:rPr>
                        <w:rFonts w:ascii="宋体" w:eastAsia="宋体" w:hint="eastAsia"/>
                        <w:w w:val="80"/>
                        <w:sz w:val="21"/>
                      </w:rPr>
                      <w:t>绝对值（元）</w:t>
                    </w:r>
                  </w:p>
                  <w:p>
                    <w:pPr>
                      <w:spacing w:line="268" w:lineRule="exact" w:before="0"/>
                      <w:ind w:left="0" w:right="0" w:firstLine="0"/>
                      <w:jc w:val="left"/>
                      <w:rPr>
                        <w:rFonts w:ascii="宋体" w:eastAsia="宋体" w:hint="eastAsia"/>
                        <w:sz w:val="21"/>
                      </w:rPr>
                    </w:pPr>
                    <w:r>
                      <w:rPr>
                        <w:rFonts w:ascii="宋体" w:eastAsia="宋体" w:hint="eastAsia"/>
                        <w:w w:val="80"/>
                        <w:sz w:val="21"/>
                      </w:rPr>
                      <w:t>增速（%）</w:t>
                    </w:r>
                  </w:p>
                </w:txbxContent>
              </v:textbox>
              <w10:wrap type="none"/>
            </v:shape>
            <v:shape style="position:absolute;left:2624;top:3885;width:5290;height:213" type="#_x0000_t202" filled="false" stroked="false">
              <v:textbox inset="0,0,0,0">
                <w:txbxContent>
                  <w:p>
                    <w:pPr>
                      <w:tabs>
                        <w:tab w:pos="973" w:val="left" w:leader="none"/>
                        <w:tab w:pos="1960" w:val="left" w:leader="none"/>
                        <w:tab w:pos="2935" w:val="left" w:leader="none"/>
                        <w:tab w:pos="3921" w:val="left" w:leader="none"/>
                        <w:tab w:pos="4895" w:val="left" w:leader="none"/>
                      </w:tabs>
                      <w:spacing w:line="212" w:lineRule="exact" w:before="0"/>
                      <w:ind w:left="0" w:right="0" w:firstLine="0"/>
                      <w:jc w:val="left"/>
                      <w:rPr>
                        <w:rFonts w:ascii="宋体"/>
                        <w:sz w:val="21"/>
                      </w:rPr>
                    </w:pPr>
                    <w:r>
                      <w:rPr>
                        <w:rFonts w:ascii="宋体"/>
                        <w:spacing w:val="2"/>
                        <w:w w:val="95"/>
                        <w:sz w:val="21"/>
                      </w:rPr>
                      <w:t>2010</w:t>
                      <w:tab/>
                      <w:t>2011</w:t>
                      <w:tab/>
                      <w:t>2012</w:t>
                      <w:tab/>
                      <w:t>2013</w:t>
                      <w:tab/>
                      <w:t>2014</w:t>
                      <w:tab/>
                    </w:r>
                    <w:r>
                      <w:rPr>
                        <w:rFonts w:ascii="宋体"/>
                        <w:spacing w:val="5"/>
                        <w:w w:val="85"/>
                        <w:sz w:val="21"/>
                      </w:rPr>
                      <w:t>2015</w:t>
                    </w:r>
                  </w:p>
                </w:txbxContent>
              </v:textbox>
              <w10:wrap type="none"/>
            </v:shape>
            <w10:wrap type="topAndBottom"/>
          </v:group>
        </w:pict>
      </w:r>
    </w:p>
    <w:p>
      <w:pPr>
        <w:pStyle w:val="BodyText"/>
        <w:spacing w:before="5"/>
        <w:ind w:left="0"/>
        <w:rPr>
          <w:sz w:val="23"/>
        </w:rPr>
      </w:pPr>
    </w:p>
    <w:p>
      <w:pPr>
        <w:spacing w:before="0"/>
        <w:ind w:left="0" w:right="77" w:firstLine="0"/>
        <w:jc w:val="center"/>
        <w:rPr>
          <w:sz w:val="28"/>
        </w:rPr>
      </w:pPr>
      <w:r>
        <w:rPr/>
        <w:pict>
          <v:group style="position:absolute;margin-left:76.559998pt;margin-top:22.481958pt;width:438.25pt;height:211.4pt;mso-position-horizontal-relative:page;mso-position-vertical-relative:paragraph;z-index:5392;mso-wrap-distance-left:0;mso-wrap-distance-right:0" coordorigin="1531,450" coordsize="8765,4228">
            <v:rect style="position:absolute;left:1597;top:451;width:8699;height:4191" filled="true" fillcolor="#92d050" stroked="false">
              <v:fill type="solid"/>
            </v:rect>
            <v:rect style="position:absolute;left:1596;top:450;width:8699;height:4191" filled="false" stroked="true" strokeweight=".06pt" strokecolor="#65659a">
              <v:stroke dashstyle="solid"/>
            </v:rect>
            <v:rect style="position:absolute;left:2317;top:769;width:5884;height:3466" filled="true" fillcolor="#fac090" stroked="false">
              <v:fill type="solid"/>
            </v:rect>
            <v:line style="position:absolute" from="7908,3651" to="8200,3651" stroked="true" strokeweight=".06pt" strokecolor="#7f7f7f">
              <v:stroke dashstyle="solid"/>
            </v:line>
            <v:line style="position:absolute" from="6934,3651" to="7520,3651" stroked="true" strokeweight=".06pt" strokecolor="#7f7f7f">
              <v:stroke dashstyle="solid"/>
            </v:line>
            <v:line style="position:absolute" from="5946,3651" to="6534,3651" stroked="true" strokeweight=".06pt" strokecolor="#7f7f7f">
              <v:stroke dashstyle="solid"/>
            </v:line>
            <v:line style="position:absolute" from="4973,3651" to="5560,3651" stroked="true" strokeweight=".06pt" strokecolor="#7f7f7f">
              <v:stroke dashstyle="solid"/>
            </v:line>
            <v:line style="position:absolute" from="3985,3651" to="4572,3651" stroked="true" strokeweight=".06pt" strokecolor="#7f7f7f">
              <v:stroke dashstyle="solid"/>
            </v:line>
            <v:line style="position:absolute" from="3012,3651" to="3599,3651" stroked="true" strokeweight=".06pt" strokecolor="#7f7f7f">
              <v:stroke dashstyle="solid"/>
            </v:line>
            <v:line style="position:absolute" from="2316,3651" to="2611,3651" stroked="true" strokeweight=".06pt" strokecolor="#7f7f7f">
              <v:stroke dashstyle="solid"/>
            </v:line>
            <v:line style="position:absolute" from="7908,3085" to="8200,3085" stroked="true" strokeweight=".06pt" strokecolor="#7f7f7f">
              <v:stroke dashstyle="solid"/>
            </v:line>
            <v:line style="position:absolute" from="6934,3085" to="7520,3085" stroked="true" strokeweight=".06pt" strokecolor="#7f7f7f">
              <v:stroke dashstyle="solid"/>
            </v:line>
            <v:line style="position:absolute" from="5946,3085" to="6534,3085" stroked="true" strokeweight=".06pt" strokecolor="#7f7f7f">
              <v:stroke dashstyle="solid"/>
            </v:line>
            <v:line style="position:absolute" from="4973,3085" to="5560,3085" stroked="true" strokeweight=".06pt" strokecolor="#7f7f7f">
              <v:stroke dashstyle="solid"/>
            </v:line>
            <v:line style="position:absolute" from="3985,3085" to="4572,3085" stroked="true" strokeweight=".06pt" strokecolor="#7f7f7f">
              <v:stroke dashstyle="solid"/>
            </v:line>
            <v:line style="position:absolute" from="3012,3085" to="3599,3085" stroked="true" strokeweight=".06pt" strokecolor="#7f7f7f">
              <v:stroke dashstyle="solid"/>
            </v:line>
            <v:line style="position:absolute" from="2316,3085" to="2611,3085" stroked="true" strokeweight=".06pt" strokecolor="#7f7f7f">
              <v:stroke dashstyle="solid"/>
            </v:line>
            <v:line style="position:absolute" from="7908,2501" to="8200,2501" stroked="true" strokeweight=".06pt" strokecolor="#7f7f7f">
              <v:stroke dashstyle="solid"/>
            </v:line>
            <v:line style="position:absolute" from="6934,2501" to="7520,2501" stroked="true" strokeweight=".06pt" strokecolor="#7f7f7f">
              <v:stroke dashstyle="solid"/>
            </v:line>
            <v:line style="position:absolute" from="5946,2501" to="6534,2501" stroked="true" strokeweight=".06pt" strokecolor="#7f7f7f">
              <v:stroke dashstyle="solid"/>
            </v:line>
            <v:line style="position:absolute" from="4973,2501" to="5560,2501" stroked="true" strokeweight=".06pt" strokecolor="#7f7f7f">
              <v:stroke dashstyle="solid"/>
            </v:line>
            <v:line style="position:absolute" from="3985,2501" to="4572,2501" stroked="true" strokeweight=".06pt" strokecolor="#7f7f7f">
              <v:stroke dashstyle="solid"/>
            </v:line>
            <v:line style="position:absolute" from="2316,2501" to="3599,2501" stroked="true" strokeweight=".06pt" strokecolor="#7f7f7f">
              <v:stroke dashstyle="solid"/>
            </v:line>
            <v:line style="position:absolute" from="7908,1918" to="8200,1918" stroked="true" strokeweight=".06pt" strokecolor="#7f7f7f">
              <v:stroke dashstyle="solid"/>
            </v:line>
            <v:line style="position:absolute" from="6934,1918" to="7520,1918" stroked="true" strokeweight=".06pt" strokecolor="#7f7f7f">
              <v:stroke dashstyle="solid"/>
            </v:line>
            <v:line style="position:absolute" from="5946,1918" to="6534,1918" stroked="true" strokeweight=".06pt" strokecolor="#7f7f7f">
              <v:stroke dashstyle="solid"/>
            </v:line>
            <v:line style="position:absolute" from="4973,1918" to="5560,1918" stroked="true" strokeweight=".06pt" strokecolor="#7f7f7f">
              <v:stroke dashstyle="solid"/>
            </v:line>
            <v:line style="position:absolute" from="2316,1918" to="4572,1918" stroked="true" strokeweight=".06pt" strokecolor="#7f7f7f">
              <v:stroke dashstyle="solid"/>
            </v:line>
            <v:line style="position:absolute" from="7908,1353" to="8200,1353" stroked="true" strokeweight=".06pt" strokecolor="#7f7f7f">
              <v:stroke dashstyle="solid"/>
            </v:line>
            <v:line style="position:absolute" from="6934,1353" to="7520,1353" stroked="true" strokeweight=".06pt" strokecolor="#7f7f7f">
              <v:stroke dashstyle="solid"/>
            </v:line>
            <v:line style="position:absolute" from="3838,1353" to="6534,1353" stroked="true" strokeweight=".06pt" strokecolor="#7f7f7f">
              <v:stroke dashstyle="solid"/>
            </v:line>
            <v:line style="position:absolute" from="2316,1353" to="3718,1353" stroked="true" strokeweight=".06pt" strokecolor="#7f7f7f">
              <v:stroke dashstyle="solid"/>
            </v:line>
            <v:line style="position:absolute" from="2316,769" to="8200,769" stroked="true" strokeweight=".06pt" strokecolor="#7f7f7f">
              <v:stroke dashstyle="solid"/>
            </v:line>
            <v:rect style="position:absolute;left:2611;top:2520;width:401;height:1715" filled="true" fillcolor="#c00000" stroked="false">
              <v:fill type="solid"/>
            </v:rect>
            <v:rect style="position:absolute;left:3598;top:2148;width:387;height:2087" filled="true" fillcolor="#c00000" stroked="false">
              <v:fill type="solid"/>
            </v:rect>
            <v:rect style="position:absolute;left:4572;top:1848;width:401;height:2387" filled="true" fillcolor="#c00000" stroked="false">
              <v:fill type="solid"/>
            </v:rect>
            <v:rect style="position:absolute;left:5559;top:1548;width:387;height:2687" filled="true" fillcolor="#c00000" stroked="false">
              <v:fill type="solid"/>
            </v:rect>
            <v:rect style="position:absolute;left:6534;top:1265;width:400;height:2970" filled="true" fillcolor="#c00000" stroked="false">
              <v:fill type="solid"/>
            </v:rect>
            <v:rect style="position:absolute;left:7520;top:929;width:388;height:3306" filled="true" fillcolor="#c00000" stroked="false">
              <v:fill type="solid"/>
            </v:rect>
            <v:line style="position:absolute" from="2316,769" to="2316,4234" stroked="true" strokeweight=".06pt" strokecolor="#7f7f7f">
              <v:stroke dashstyle="solid"/>
            </v:line>
            <v:line style="position:absolute" from="2263,4234" to="2316,4234" stroked="true" strokeweight=".06pt" strokecolor="#7f7f7f">
              <v:stroke dashstyle="solid"/>
            </v:line>
            <v:line style="position:absolute" from="2263,3651" to="2316,3651" stroked="true" strokeweight=".06pt" strokecolor="#7f7f7f">
              <v:stroke dashstyle="solid"/>
            </v:line>
            <v:line style="position:absolute" from="2263,3085" to="2316,3085" stroked="true" strokeweight=".06pt" strokecolor="#7f7f7f">
              <v:stroke dashstyle="solid"/>
            </v:line>
            <v:line style="position:absolute" from="2263,2501" to="2316,2501" stroked="true" strokeweight=".06pt" strokecolor="#7f7f7f">
              <v:stroke dashstyle="solid"/>
            </v:line>
            <v:line style="position:absolute" from="2263,1918" to="2316,1918" stroked="true" strokeweight=".06pt" strokecolor="#7f7f7f">
              <v:stroke dashstyle="solid"/>
            </v:line>
            <v:line style="position:absolute" from="2263,1353" to="2316,1353" stroked="true" strokeweight=".06pt" strokecolor="#7f7f7f">
              <v:stroke dashstyle="solid"/>
            </v:line>
            <v:line style="position:absolute" from="2263,769" to="2316,769" stroked="true" strokeweight=".06pt" strokecolor="#7f7f7f">
              <v:stroke dashstyle="solid"/>
            </v:line>
            <v:line style="position:absolute" from="2316,4234" to="8200,4234" stroked="true" strokeweight=".06pt" strokecolor="#7f7f7f">
              <v:stroke dashstyle="solid"/>
            </v:line>
            <v:line style="position:absolute" from="2316,4305" to="2316,4234" stroked="true" strokeweight=".06pt" strokecolor="#7f7f7f">
              <v:stroke dashstyle="solid"/>
            </v:line>
            <v:line style="position:absolute" from="3304,4305" to="3304,4234" stroked="true" strokeweight=".06pt" strokecolor="#7f7f7f">
              <v:stroke dashstyle="solid"/>
            </v:line>
            <v:line style="position:absolute" from="4278,4305" to="4278,4234" stroked="true" strokeweight=".06pt" strokecolor="#7f7f7f">
              <v:stroke dashstyle="solid"/>
            </v:line>
            <v:line style="position:absolute" from="5264,4305" to="5264,4234" stroked="true" strokeweight=".06pt" strokecolor="#7f7f7f">
              <v:stroke dashstyle="solid"/>
            </v:line>
            <v:line style="position:absolute" from="6239,4305" to="6239,4234" stroked="true" strokeweight=".06pt" strokecolor="#7f7f7f">
              <v:stroke dashstyle="solid"/>
            </v:line>
            <v:line style="position:absolute" from="7226,4305" to="7226,4234" stroked="true" strokeweight=".06pt" strokecolor="#7f7f7f">
              <v:stroke dashstyle="solid"/>
            </v:line>
            <v:line style="position:absolute" from="8200,4305" to="8200,4234" stroked="true" strokeweight=".06pt" strokecolor="#7f7f7f">
              <v:stroke dashstyle="solid"/>
            </v:line>
            <v:shape style="position:absolute;left:8199;top:768;width:54;height:3466" coordorigin="8200,769" coordsize="54,3466" path="m8200,769l8200,4234,8254,4234e" filled="false" stroked="true" strokeweight=".06pt" strokecolor="#7f7f7f">
              <v:path arrowok="t"/>
              <v:stroke dashstyle="solid"/>
            </v:shape>
            <v:line style="position:absolute" from="8200,3544" to="8254,3544" stroked="true" strokeweight=".06pt" strokecolor="#7f7f7f">
              <v:stroke dashstyle="solid"/>
            </v:line>
            <v:line style="position:absolute" from="8200,2855" to="8254,2855" stroked="true" strokeweight=".06pt" strokecolor="#7f7f7f">
              <v:stroke dashstyle="solid"/>
            </v:line>
            <v:line style="position:absolute" from="8200,2147" to="8254,2147" stroked="true" strokeweight=".06pt" strokecolor="#7f7f7f">
              <v:stroke dashstyle="solid"/>
            </v:line>
            <v:line style="position:absolute" from="8200,1459" to="8254,1459" stroked="true" strokeweight=".06pt" strokecolor="#7f7f7f">
              <v:stroke dashstyle="solid"/>
            </v:line>
            <v:line style="position:absolute" from="8200,769" to="8254,769" stroked="true" strokeweight=".06pt" strokecolor="#7f7f7f">
              <v:stroke dashstyle="solid"/>
            </v:line>
            <v:shape style="position:absolute;left:2810;top:1316;width:4897;height:1557" coordorigin="2810,1317" coordsize="4897,1557" path="m2810,2201l3784,1317,4771,2201,5746,2483,6732,2785,7706,2873e" filled="false" stroked="true" strokeweight="1.728285pt" strokecolor="#9a3365">
              <v:path arrowok="t"/>
              <v:stroke dashstyle="solid"/>
            </v:shape>
            <v:rect style="position:absolute;left:2743;top:2112;width:120;height:160" filled="true" fillcolor="#000000" stroked="false">
              <v:fill type="solid"/>
            </v:rect>
            <v:rect style="position:absolute;left:2743;top:2112;width:120;height:160" filled="false" stroked="true" strokeweight=".745513pt" strokecolor="#9a3365">
              <v:stroke dashstyle="solid"/>
            </v:rect>
            <v:rect style="position:absolute;left:3717;top:1228;width:120;height:160" filled="true" fillcolor="#000000" stroked="false">
              <v:fill type="solid"/>
            </v:rect>
            <v:rect style="position:absolute;left:3717;top:1228;width:120;height:160" filled="false" stroked="true" strokeweight=".745513pt" strokecolor="#9a3365">
              <v:stroke dashstyle="solid"/>
            </v:rect>
            <v:rect style="position:absolute;left:4704;top:2112;width:122;height:160" filled="true" fillcolor="#000000" stroked="false">
              <v:fill type="solid"/>
            </v:rect>
            <v:rect style="position:absolute;left:4704;top:2112;width:122;height:160" filled="false" stroked="true" strokeweight=".746512pt" strokecolor="#9a3365">
              <v:stroke dashstyle="solid"/>
            </v:rect>
            <v:rect style="position:absolute;left:5678;top:2395;width:120;height:159" filled="true" fillcolor="#000000" stroked="false">
              <v:fill type="solid"/>
            </v:rect>
            <v:rect style="position:absolute;left:5678;top:2395;width:120;height:159" filled="false" stroked="true" strokeweight=".74627pt" strokecolor="#9a3365">
              <v:stroke dashstyle="solid"/>
            </v:rect>
            <v:rect style="position:absolute;left:6666;top:2695;width:120;height:160" filled="true" fillcolor="#000000" stroked="false">
              <v:fill type="solid"/>
            </v:rect>
            <v:rect style="position:absolute;left:6666;top:2695;width:120;height:160" filled="false" stroked="true" strokeweight=".745513pt" strokecolor="#9a3365">
              <v:stroke dashstyle="solid"/>
            </v:rect>
            <v:rect style="position:absolute;left:7639;top:2784;width:120;height:159" filled="true" fillcolor="#000000" stroked="false">
              <v:fill type="solid"/>
            </v:rect>
            <v:rect style="position:absolute;left:7639;top:2784;width:120;height:159" filled="false" stroked="true" strokeweight=".74627pt" strokecolor="#9a3365">
              <v:stroke dashstyle="solid"/>
            </v:rect>
            <v:rect style="position:absolute;left:8708;top:2343;width:360;height:125" filled="true" fillcolor="#c00000" stroked="false">
              <v:fill type="solid"/>
            </v:rect>
            <v:line style="position:absolute" from="8934,2696" to="9080,2696" stroked="true" strokeweight="1.76809pt" strokecolor="#9a3365">
              <v:stroke dashstyle="solid"/>
            </v:line>
            <v:line style="position:absolute" from="8707,2696" to="8840,2696" stroked="true" strokeweight="1.76809pt" strokecolor="#9a3365">
              <v:stroke dashstyle="solid"/>
            </v:line>
            <v:line style="position:absolute" from="8887,2625" to="8887,2749" stroked="true" strokeweight="4.680043pt" strokecolor="#000000">
              <v:stroke dashstyle="solid"/>
            </v:line>
            <v:rect style="position:absolute;left:8840;top:2624;width:94;height:124" filled="false" stroked="true" strokeweight=".746233pt" strokecolor="#9a3365">
              <v:stroke dashstyle="solid"/>
            </v:rect>
            <v:rect style="position:absolute;left:1596;top:450;width:8699;height:4191" filled="false" stroked="true" strokeweight=".06pt" strokecolor="#65659a">
              <v:stroke dashstyle="solid"/>
            </v:rect>
            <v:shape style="position:absolute;left:1717;top:663;width:487;height:230" type="#_x0000_t202" filled="false" stroked="false">
              <v:textbox inset="0,0,0,0">
                <w:txbxContent>
                  <w:p>
                    <w:pPr>
                      <w:spacing w:line="230" w:lineRule="exact" w:before="0"/>
                      <w:ind w:left="0" w:right="0" w:firstLine="0"/>
                      <w:jc w:val="left"/>
                      <w:rPr>
                        <w:rFonts w:ascii="宋体"/>
                        <w:sz w:val="23"/>
                      </w:rPr>
                    </w:pPr>
                    <w:r>
                      <w:rPr>
                        <w:rFonts w:ascii="宋体"/>
                        <w:w w:val="75"/>
                        <w:sz w:val="23"/>
                      </w:rPr>
                      <w:t>12000</w:t>
                    </w:r>
                  </w:p>
                </w:txbxContent>
              </v:textbox>
              <w10:wrap type="none"/>
            </v:shape>
            <v:shape style="position:absolute;left:7439;top:610;width:554;height:230" type="#_x0000_t202" filled="false" stroked="false">
              <v:textbox inset="0,0,0,0">
                <w:txbxContent>
                  <w:p>
                    <w:pPr>
                      <w:spacing w:line="230" w:lineRule="exact" w:before="0"/>
                      <w:ind w:left="0" w:right="0" w:firstLine="0"/>
                      <w:jc w:val="left"/>
                      <w:rPr>
                        <w:rFonts w:ascii="宋体"/>
                        <w:b/>
                        <w:sz w:val="23"/>
                      </w:rPr>
                    </w:pPr>
                    <w:r>
                      <w:rPr>
                        <w:rFonts w:ascii="宋体"/>
                        <w:b/>
                        <w:w w:val="75"/>
                        <w:sz w:val="23"/>
                      </w:rPr>
                      <w:t>11420</w:t>
                    </w:r>
                  </w:p>
                </w:txbxContent>
              </v:textbox>
              <w10:wrap type="none"/>
            </v:shape>
            <v:shape style="position:absolute;left:8333;top:663;width:208;height:230" type="#_x0000_t202" filled="false" stroked="false">
              <v:textbox inset="0,0,0,0">
                <w:txbxContent>
                  <w:p>
                    <w:pPr>
                      <w:spacing w:line="230" w:lineRule="exact" w:before="0"/>
                      <w:ind w:left="0" w:right="0" w:firstLine="0"/>
                      <w:jc w:val="left"/>
                      <w:rPr>
                        <w:rFonts w:ascii="宋体"/>
                        <w:sz w:val="23"/>
                      </w:rPr>
                    </w:pPr>
                    <w:r>
                      <w:rPr>
                        <w:rFonts w:ascii="宋体"/>
                        <w:w w:val="80"/>
                        <w:sz w:val="23"/>
                      </w:rPr>
                      <w:t>25</w:t>
                    </w:r>
                  </w:p>
                </w:txbxContent>
              </v:textbox>
              <w10:wrap type="none"/>
            </v:shape>
            <v:shape style="position:absolute;left:6466;top:946;width:553;height:230" type="#_x0000_t202" filled="false" stroked="false">
              <v:textbox inset="0,0,0,0">
                <w:txbxContent>
                  <w:p>
                    <w:pPr>
                      <w:spacing w:line="230" w:lineRule="exact" w:before="0"/>
                      <w:ind w:left="0" w:right="0" w:firstLine="0"/>
                      <w:jc w:val="left"/>
                      <w:rPr>
                        <w:rFonts w:ascii="宋体"/>
                        <w:b/>
                        <w:sz w:val="23"/>
                      </w:rPr>
                    </w:pPr>
                    <w:r>
                      <w:rPr>
                        <w:rFonts w:ascii="宋体"/>
                        <w:b/>
                        <w:w w:val="75"/>
                        <w:sz w:val="23"/>
                      </w:rPr>
                      <w:t>10305</w:t>
                    </w:r>
                  </w:p>
                </w:txbxContent>
              </v:textbox>
              <w10:wrap type="none"/>
            </v:shape>
            <v:shape style="position:absolute;left:1717;top:1247;width:487;height:230" type="#_x0000_t202" filled="false" stroked="false">
              <v:textbox inset="0,0,0,0">
                <w:txbxContent>
                  <w:p>
                    <w:pPr>
                      <w:spacing w:line="230" w:lineRule="exact" w:before="0"/>
                      <w:ind w:left="0" w:right="0" w:firstLine="0"/>
                      <w:jc w:val="left"/>
                      <w:rPr>
                        <w:rFonts w:ascii="宋体"/>
                        <w:sz w:val="23"/>
                      </w:rPr>
                    </w:pPr>
                    <w:r>
                      <w:rPr>
                        <w:rFonts w:ascii="宋体"/>
                        <w:w w:val="75"/>
                        <w:sz w:val="23"/>
                      </w:rPr>
                      <w:t>10000</w:t>
                    </w:r>
                  </w:p>
                </w:txbxContent>
              </v:textbox>
              <w10:wrap type="none"/>
            </v:shape>
            <v:shape style="position:absolute;left:3917;top:1211;width:208;height:230" type="#_x0000_t202" filled="false" stroked="false">
              <v:textbox inset="0,0,0,0">
                <w:txbxContent>
                  <w:p>
                    <w:pPr>
                      <w:spacing w:line="230" w:lineRule="exact" w:before="0"/>
                      <w:ind w:left="0" w:right="0" w:firstLine="0"/>
                      <w:jc w:val="left"/>
                      <w:rPr>
                        <w:rFonts w:ascii="宋体"/>
                        <w:sz w:val="23"/>
                      </w:rPr>
                    </w:pPr>
                    <w:r>
                      <w:rPr>
                        <w:rFonts w:ascii="宋体"/>
                        <w:w w:val="80"/>
                        <w:sz w:val="23"/>
                      </w:rPr>
                      <w:t>21</w:t>
                    </w:r>
                  </w:p>
                </w:txbxContent>
              </v:textbox>
              <w10:wrap type="none"/>
            </v:shape>
            <v:shape style="position:absolute;left:5531;top:1229;width:448;height:230" type="#_x0000_t202" filled="false" stroked="false">
              <v:textbox inset="0,0,0,0">
                <w:txbxContent>
                  <w:p>
                    <w:pPr>
                      <w:spacing w:line="230" w:lineRule="exact" w:before="0"/>
                      <w:ind w:left="0" w:right="0" w:firstLine="0"/>
                      <w:jc w:val="left"/>
                      <w:rPr>
                        <w:rFonts w:ascii="宋体"/>
                        <w:b/>
                        <w:sz w:val="23"/>
                      </w:rPr>
                    </w:pPr>
                    <w:r>
                      <w:rPr>
                        <w:rFonts w:ascii="宋体"/>
                        <w:b/>
                        <w:w w:val="75"/>
                        <w:sz w:val="23"/>
                      </w:rPr>
                      <w:t>9326</w:t>
                    </w:r>
                  </w:p>
                </w:txbxContent>
              </v:textbox>
              <w10:wrap type="none"/>
            </v:shape>
            <v:shape style="position:absolute;left:4571;top:1442;width:448;height:230" type="#_x0000_t202" filled="false" stroked="false">
              <v:textbox inset="0,0,0,0">
                <w:txbxContent>
                  <w:p>
                    <w:pPr>
                      <w:spacing w:line="230" w:lineRule="exact" w:before="0"/>
                      <w:ind w:left="0" w:right="0" w:firstLine="0"/>
                      <w:jc w:val="left"/>
                      <w:rPr>
                        <w:rFonts w:ascii="宋体"/>
                        <w:b/>
                        <w:sz w:val="23"/>
                      </w:rPr>
                    </w:pPr>
                    <w:r>
                      <w:rPr>
                        <w:rFonts w:ascii="宋体"/>
                        <w:b/>
                        <w:w w:val="75"/>
                        <w:sz w:val="23"/>
                      </w:rPr>
                      <w:t>8283</w:t>
                    </w:r>
                  </w:p>
                </w:txbxContent>
              </v:textbox>
              <w10:wrap type="none"/>
            </v:shape>
            <v:shape style="position:absolute;left:8333;top:1353;width:208;height:230" type="#_x0000_t202" filled="false" stroked="false">
              <v:textbox inset="0,0,0,0">
                <w:txbxContent>
                  <w:p>
                    <w:pPr>
                      <w:spacing w:line="230" w:lineRule="exact" w:before="0"/>
                      <w:ind w:left="0" w:right="0" w:firstLine="0"/>
                      <w:jc w:val="left"/>
                      <w:rPr>
                        <w:rFonts w:ascii="宋体"/>
                        <w:sz w:val="23"/>
                      </w:rPr>
                    </w:pPr>
                    <w:r>
                      <w:rPr>
                        <w:rFonts w:ascii="宋体"/>
                        <w:w w:val="80"/>
                        <w:sz w:val="23"/>
                      </w:rPr>
                      <w:t>20</w:t>
                    </w:r>
                  </w:p>
                </w:txbxContent>
              </v:textbox>
              <w10:wrap type="none"/>
            </v:shape>
            <v:shape style="position:absolute;left:1809;top:1813;width:395;height:230" type="#_x0000_t202" filled="false" stroked="false">
              <v:textbox inset="0,0,0,0">
                <w:txbxContent>
                  <w:p>
                    <w:pPr>
                      <w:spacing w:line="230" w:lineRule="exact" w:before="0"/>
                      <w:ind w:left="0" w:right="0" w:firstLine="0"/>
                      <w:jc w:val="left"/>
                      <w:rPr>
                        <w:rFonts w:ascii="宋体"/>
                        <w:sz w:val="23"/>
                      </w:rPr>
                    </w:pPr>
                    <w:r>
                      <w:rPr>
                        <w:rFonts w:ascii="宋体"/>
                        <w:w w:val="75"/>
                        <w:sz w:val="23"/>
                      </w:rPr>
                      <w:t>8000</w:t>
                    </w:r>
                  </w:p>
                </w:txbxContent>
              </v:textbox>
              <w10:wrap type="none"/>
            </v:shape>
            <v:shape style="position:absolute;left:3571;top:1831;width:448;height:230" type="#_x0000_t202" filled="false" stroked="false">
              <v:textbox inset="0,0,0,0">
                <w:txbxContent>
                  <w:p>
                    <w:pPr>
                      <w:spacing w:line="230" w:lineRule="exact" w:before="0"/>
                      <w:ind w:left="0" w:right="0" w:firstLine="0"/>
                      <w:jc w:val="left"/>
                      <w:rPr>
                        <w:rFonts w:ascii="宋体"/>
                        <w:b/>
                        <w:sz w:val="23"/>
                      </w:rPr>
                    </w:pPr>
                    <w:r>
                      <w:rPr>
                        <w:rFonts w:ascii="宋体"/>
                        <w:b/>
                        <w:w w:val="75"/>
                        <w:sz w:val="23"/>
                      </w:rPr>
                      <w:t>7221</w:t>
                    </w:r>
                  </w:p>
                </w:txbxContent>
              </v:textbox>
              <w10:wrap type="none"/>
            </v:shape>
            <v:shape style="position:absolute;left:2596;top:2096;width:742;height:336" type="#_x0000_t202" filled="false" stroked="false">
              <v:textbox inset="0,0,0,0">
                <w:txbxContent>
                  <w:p>
                    <w:pPr>
                      <w:spacing w:line="335" w:lineRule="exact" w:before="0"/>
                      <w:ind w:left="0" w:right="0" w:firstLine="0"/>
                      <w:jc w:val="left"/>
                      <w:rPr>
                        <w:rFonts w:ascii="宋体"/>
                        <w:sz w:val="23"/>
                      </w:rPr>
                    </w:pPr>
                    <w:r>
                      <w:rPr>
                        <w:rFonts w:ascii="宋体"/>
                        <w:b/>
                        <w:w w:val="75"/>
                        <w:position w:val="-10"/>
                        <w:sz w:val="23"/>
                      </w:rPr>
                      <w:t>5968</w:t>
                    </w:r>
                    <w:r>
                      <w:rPr>
                        <w:rFonts w:ascii="宋体"/>
                        <w:w w:val="75"/>
                        <w:sz w:val="23"/>
                      </w:rPr>
                      <w:t>14.7</w:t>
                    </w:r>
                  </w:p>
                </w:txbxContent>
              </v:textbox>
              <w10:wrap type="none"/>
            </v:shape>
            <v:shape style="position:absolute;left:4999;top:2096;width:300;height:230" type="#_x0000_t202" filled="false" stroked="false">
              <v:textbox inset="0,0,0,0">
                <w:txbxContent>
                  <w:p>
                    <w:pPr>
                      <w:spacing w:line="230" w:lineRule="exact" w:before="0"/>
                      <w:ind w:left="0" w:right="0" w:firstLine="0"/>
                      <w:jc w:val="left"/>
                      <w:rPr>
                        <w:rFonts w:ascii="宋体"/>
                        <w:sz w:val="23"/>
                      </w:rPr>
                    </w:pPr>
                    <w:r>
                      <w:rPr>
                        <w:rFonts w:ascii="宋体"/>
                        <w:w w:val="80"/>
                        <w:sz w:val="23"/>
                      </w:rPr>
                      <w:t>4.7</w:t>
                    </w:r>
                  </w:p>
                </w:txbxContent>
              </v:textbox>
              <w10:wrap type="none"/>
            </v:shape>
            <v:shape style="position:absolute;left:8333;top:2043;width:208;height:230" type="#_x0000_t202" filled="false" stroked="false">
              <v:textbox inset="0,0,0,0">
                <w:txbxContent>
                  <w:p>
                    <w:pPr>
                      <w:spacing w:line="230" w:lineRule="exact" w:before="0"/>
                      <w:ind w:left="0" w:right="0" w:firstLine="0"/>
                      <w:jc w:val="left"/>
                      <w:rPr>
                        <w:rFonts w:ascii="宋体"/>
                        <w:sz w:val="23"/>
                      </w:rPr>
                    </w:pPr>
                    <w:r>
                      <w:rPr>
                        <w:rFonts w:ascii="宋体"/>
                        <w:w w:val="80"/>
                        <w:sz w:val="23"/>
                      </w:rPr>
                      <w:t>15</w:t>
                    </w:r>
                  </w:p>
                </w:txbxContent>
              </v:textbox>
              <w10:wrap type="none"/>
            </v:shape>
            <v:shape style="position:absolute;left:1809;top:2379;width:4464;height:247" type="#_x0000_t202" filled="false" stroked="false">
              <v:textbox inset="0,0,0,0">
                <w:txbxContent>
                  <w:p>
                    <w:pPr>
                      <w:tabs>
                        <w:tab w:pos="4162" w:val="left" w:leader="none"/>
                      </w:tabs>
                      <w:spacing w:line="247" w:lineRule="exact" w:before="0"/>
                      <w:ind w:left="0" w:right="0" w:firstLine="0"/>
                      <w:jc w:val="left"/>
                      <w:rPr>
                        <w:rFonts w:ascii="宋体"/>
                        <w:sz w:val="23"/>
                      </w:rPr>
                    </w:pPr>
                    <w:r>
                      <w:rPr>
                        <w:rFonts w:ascii="宋体"/>
                        <w:spacing w:val="2"/>
                        <w:w w:val="85"/>
                        <w:sz w:val="23"/>
                      </w:rPr>
                      <w:t>6000</w:t>
                      <w:tab/>
                    </w:r>
                    <w:r>
                      <w:rPr>
                        <w:rFonts w:ascii="宋体"/>
                        <w:spacing w:val="5"/>
                        <w:w w:val="80"/>
                        <w:position w:val="2"/>
                        <w:sz w:val="23"/>
                      </w:rPr>
                      <w:t>2.6</w:t>
                    </w:r>
                  </w:p>
                </w:txbxContent>
              </v:textbox>
              <w10:wrap type="none"/>
            </v:shape>
            <v:shape style="position:absolute;left:6959;top:2679;width:293;height:230" type="#_x0000_t202" filled="false" stroked="false">
              <v:textbox inset="0,0,0,0">
                <w:txbxContent>
                  <w:p>
                    <w:pPr>
                      <w:spacing w:line="230" w:lineRule="exact" w:before="0"/>
                      <w:ind w:left="0" w:right="0" w:firstLine="0"/>
                      <w:jc w:val="left"/>
                      <w:rPr>
                        <w:rFonts w:ascii="宋体"/>
                        <w:sz w:val="23"/>
                      </w:rPr>
                    </w:pPr>
                    <w:r>
                      <w:rPr>
                        <w:rFonts w:ascii="宋体"/>
                        <w:w w:val="80"/>
                        <w:sz w:val="23"/>
                      </w:rPr>
                      <w:t>0.5</w:t>
                    </w:r>
                  </w:p>
                </w:txbxContent>
              </v:textbox>
              <w10:wrap type="none"/>
            </v:shape>
            <v:shape style="position:absolute;left:9121;top:2290;width:1062;height:514" type="#_x0000_t202" filled="false" stroked="false">
              <v:textbox inset="0,0,0,0">
                <w:txbxContent>
                  <w:p>
                    <w:pPr>
                      <w:spacing w:line="221" w:lineRule="exact" w:before="0"/>
                      <w:ind w:left="0" w:right="0" w:firstLine="0"/>
                      <w:jc w:val="left"/>
                      <w:rPr>
                        <w:rFonts w:ascii="宋体" w:eastAsia="宋体" w:hint="eastAsia"/>
                        <w:sz w:val="23"/>
                      </w:rPr>
                    </w:pPr>
                    <w:r>
                      <w:rPr>
                        <w:rFonts w:ascii="宋体" w:eastAsia="宋体" w:hint="eastAsia"/>
                        <w:w w:val="75"/>
                        <w:sz w:val="23"/>
                      </w:rPr>
                      <w:t>绝对值（元）</w:t>
                    </w:r>
                  </w:p>
                  <w:p>
                    <w:pPr>
                      <w:spacing w:line="292" w:lineRule="exact" w:before="0"/>
                      <w:ind w:left="0" w:right="0" w:firstLine="0"/>
                      <w:jc w:val="left"/>
                      <w:rPr>
                        <w:rFonts w:ascii="宋体" w:eastAsia="宋体" w:hint="eastAsia"/>
                        <w:sz w:val="23"/>
                      </w:rPr>
                    </w:pPr>
                    <w:r>
                      <w:rPr>
                        <w:rFonts w:ascii="宋体" w:eastAsia="宋体" w:hint="eastAsia"/>
                        <w:w w:val="75"/>
                        <w:sz w:val="23"/>
                      </w:rPr>
                      <w:t>增速（%）</w:t>
                    </w:r>
                  </w:p>
                </w:txbxContent>
              </v:textbox>
              <w10:wrap type="none"/>
            </v:shape>
            <v:shape style="position:absolute;left:7933;top:2768;width:201;height:230" type="#_x0000_t202" filled="false" stroked="false">
              <v:textbox inset="0,0,0,0">
                <w:txbxContent>
                  <w:p>
                    <w:pPr>
                      <w:spacing w:line="230" w:lineRule="exact" w:before="0"/>
                      <w:ind w:left="0" w:right="0" w:firstLine="0"/>
                      <w:jc w:val="left"/>
                      <w:rPr>
                        <w:rFonts w:ascii="宋体"/>
                        <w:sz w:val="23"/>
                      </w:rPr>
                    </w:pPr>
                    <w:r>
                      <w:rPr>
                        <w:rFonts w:ascii="宋体"/>
                        <w:w w:val="80"/>
                        <w:sz w:val="23"/>
                      </w:rPr>
                      <w:t>.8</w:t>
                    </w:r>
                  </w:p>
                </w:txbxContent>
              </v:textbox>
              <w10:wrap type="none"/>
            </v:shape>
            <v:shape style="position:absolute;left:8333;top:2750;width:208;height:230" type="#_x0000_t202" filled="false" stroked="false">
              <v:textbox inset="0,0,0,0">
                <w:txbxContent>
                  <w:p>
                    <w:pPr>
                      <w:spacing w:line="230" w:lineRule="exact" w:before="0"/>
                      <w:ind w:left="0" w:right="0" w:firstLine="0"/>
                      <w:jc w:val="left"/>
                      <w:rPr>
                        <w:rFonts w:ascii="宋体"/>
                        <w:sz w:val="23"/>
                      </w:rPr>
                    </w:pPr>
                    <w:r>
                      <w:rPr>
                        <w:rFonts w:ascii="宋体"/>
                        <w:w w:val="80"/>
                        <w:sz w:val="23"/>
                      </w:rPr>
                      <w:t>10</w:t>
                    </w:r>
                  </w:p>
                </w:txbxContent>
              </v:textbox>
              <w10:wrap type="none"/>
            </v:shape>
            <v:shape style="position:absolute;left:1809;top:2979;width:395;height:797" type="#_x0000_t202" filled="false" stroked="false">
              <v:textbox inset="0,0,0,0">
                <w:txbxContent>
                  <w:p>
                    <w:pPr>
                      <w:spacing w:line="230" w:lineRule="exact" w:before="0"/>
                      <w:ind w:left="0" w:right="0" w:firstLine="0"/>
                      <w:jc w:val="left"/>
                      <w:rPr>
                        <w:rFonts w:ascii="宋体"/>
                        <w:sz w:val="23"/>
                      </w:rPr>
                    </w:pPr>
                    <w:r>
                      <w:rPr>
                        <w:rFonts w:ascii="宋体"/>
                        <w:w w:val="75"/>
                        <w:sz w:val="23"/>
                      </w:rPr>
                      <w:t>4000</w:t>
                    </w:r>
                  </w:p>
                  <w:p>
                    <w:pPr>
                      <w:spacing w:line="240" w:lineRule="auto" w:before="3"/>
                      <w:rPr>
                        <w:sz w:val="20"/>
                      </w:rPr>
                    </w:pPr>
                  </w:p>
                  <w:p>
                    <w:pPr>
                      <w:spacing w:before="0"/>
                      <w:ind w:left="0" w:right="0" w:firstLine="0"/>
                      <w:jc w:val="left"/>
                      <w:rPr>
                        <w:rFonts w:ascii="宋体"/>
                        <w:sz w:val="23"/>
                      </w:rPr>
                    </w:pPr>
                    <w:r>
                      <w:rPr>
                        <w:rFonts w:ascii="宋体"/>
                        <w:w w:val="75"/>
                        <w:sz w:val="23"/>
                      </w:rPr>
                      <w:t>2000</w:t>
                    </w:r>
                  </w:p>
                </w:txbxContent>
              </v:textbox>
              <w10:wrap type="none"/>
            </v:shape>
            <v:shape style="position:absolute;left:8333;top:3439;width:107;height:230" type="#_x0000_t202" filled="false" stroked="false">
              <v:textbox inset="0,0,0,0">
                <w:txbxContent>
                  <w:p>
                    <w:pPr>
                      <w:spacing w:line="230" w:lineRule="exact" w:before="0"/>
                      <w:ind w:left="0" w:right="0" w:firstLine="0"/>
                      <w:jc w:val="left"/>
                      <w:rPr>
                        <w:rFonts w:ascii="宋体"/>
                        <w:sz w:val="23"/>
                      </w:rPr>
                    </w:pPr>
                    <w:r>
                      <w:rPr>
                        <w:rFonts w:ascii="宋体"/>
                        <w:w w:val="75"/>
                        <w:sz w:val="23"/>
                      </w:rPr>
                      <w:t>5</w:t>
                    </w:r>
                  </w:p>
                </w:txbxContent>
              </v:textbox>
              <w10:wrap type="none"/>
            </v:shape>
            <v:shape style="position:absolute;left:2090;top:4129;width:107;height:230" type="#_x0000_t202" filled="false" stroked="false">
              <v:textbox inset="0,0,0,0">
                <w:txbxContent>
                  <w:p>
                    <w:pPr>
                      <w:spacing w:line="230" w:lineRule="exact" w:before="0"/>
                      <w:ind w:left="0" w:right="0" w:firstLine="0"/>
                      <w:jc w:val="left"/>
                      <w:rPr>
                        <w:rFonts w:ascii="宋体"/>
                        <w:sz w:val="23"/>
                      </w:rPr>
                    </w:pPr>
                    <w:r>
                      <w:rPr>
                        <w:rFonts w:ascii="宋体"/>
                        <w:w w:val="75"/>
                        <w:sz w:val="23"/>
                      </w:rPr>
                      <w:t>0</w:t>
                    </w:r>
                  </w:p>
                </w:txbxContent>
              </v:textbox>
              <w10:wrap type="none"/>
            </v:shape>
            <v:shape style="position:absolute;left:8333;top:4129;width:107;height:230" type="#_x0000_t202" filled="false" stroked="false">
              <v:textbox inset="0,0,0,0">
                <w:txbxContent>
                  <w:p>
                    <w:pPr>
                      <w:spacing w:line="230" w:lineRule="exact" w:before="0"/>
                      <w:ind w:left="0" w:right="0" w:firstLine="0"/>
                      <w:jc w:val="left"/>
                      <w:rPr>
                        <w:rFonts w:ascii="宋体"/>
                        <w:sz w:val="23"/>
                      </w:rPr>
                    </w:pPr>
                    <w:r>
                      <w:rPr>
                        <w:rFonts w:ascii="宋体"/>
                        <w:w w:val="75"/>
                        <w:sz w:val="23"/>
                      </w:rPr>
                      <w:t>0</w:t>
                    </w:r>
                  </w:p>
                </w:txbxContent>
              </v:textbox>
              <w10:wrap type="none"/>
            </v:shape>
            <v:shape style="position:absolute;left:1531;top:4449;width:110;height:200" type="#_x0000_t202" filled="false" stroked="false">
              <v:textbox inset="0,0,0,0">
                <w:txbxContent>
                  <w:p>
                    <w:pPr>
                      <w:spacing w:line="199" w:lineRule="exact" w:before="0"/>
                      <w:ind w:left="0" w:right="0" w:firstLine="0"/>
                      <w:jc w:val="left"/>
                      <w:rPr>
                        <w:rFonts w:ascii="Times New Roman"/>
                        <w:sz w:val="18"/>
                      </w:rPr>
                    </w:pPr>
                    <w:r>
                      <w:rPr>
                        <w:rFonts w:ascii="Times New Roman"/>
                        <w:sz w:val="18"/>
                      </w:rPr>
                      <w:t>8</w:t>
                    </w:r>
                  </w:p>
                </w:txbxContent>
              </v:textbox>
              <w10:wrap type="none"/>
            </v:shape>
            <v:shape style="position:absolute;left:2624;top:4447;width:394;height:230" type="#_x0000_t202" filled="false" stroked="false">
              <v:textbox inset="0,0,0,0">
                <w:txbxContent>
                  <w:p>
                    <w:pPr>
                      <w:spacing w:line="230" w:lineRule="exact" w:before="0"/>
                      <w:ind w:left="0" w:right="0" w:firstLine="0"/>
                      <w:jc w:val="left"/>
                      <w:rPr>
                        <w:rFonts w:ascii="宋体"/>
                        <w:sz w:val="23"/>
                      </w:rPr>
                    </w:pPr>
                    <w:r>
                      <w:rPr>
                        <w:rFonts w:ascii="宋体"/>
                        <w:w w:val="75"/>
                        <w:sz w:val="23"/>
                      </w:rPr>
                      <w:t>2010</w:t>
                    </w:r>
                  </w:p>
                </w:txbxContent>
              </v:textbox>
              <w10:wrap type="none"/>
            </v:shape>
            <v:shape style="position:absolute;left:3597;top:4447;width:395;height:230" type="#_x0000_t202" filled="false" stroked="false">
              <v:textbox inset="0,0,0,0">
                <w:txbxContent>
                  <w:p>
                    <w:pPr>
                      <w:spacing w:line="230" w:lineRule="exact" w:before="0"/>
                      <w:ind w:left="0" w:right="0" w:firstLine="0"/>
                      <w:jc w:val="left"/>
                      <w:rPr>
                        <w:rFonts w:ascii="宋体"/>
                        <w:sz w:val="23"/>
                      </w:rPr>
                    </w:pPr>
                    <w:r>
                      <w:rPr>
                        <w:rFonts w:ascii="宋体"/>
                        <w:w w:val="75"/>
                        <w:sz w:val="23"/>
                      </w:rPr>
                      <w:t>2011</w:t>
                    </w:r>
                  </w:p>
                </w:txbxContent>
              </v:textbox>
              <w10:wrap type="none"/>
            </v:shape>
            <v:shape style="position:absolute;left:4585;top:4447;width:387;height:230" type="#_x0000_t202" filled="false" stroked="false">
              <v:textbox inset="0,0,0,0">
                <w:txbxContent>
                  <w:p>
                    <w:pPr>
                      <w:spacing w:line="230" w:lineRule="exact" w:before="0"/>
                      <w:ind w:left="0" w:right="0" w:firstLine="0"/>
                      <w:jc w:val="left"/>
                      <w:rPr>
                        <w:rFonts w:ascii="宋体"/>
                        <w:sz w:val="23"/>
                      </w:rPr>
                    </w:pPr>
                    <w:r>
                      <w:rPr>
                        <w:rFonts w:ascii="宋体"/>
                        <w:w w:val="75"/>
                        <w:sz w:val="23"/>
                      </w:rPr>
                      <w:t>2012</w:t>
                    </w:r>
                  </w:p>
                </w:txbxContent>
              </v:textbox>
              <w10:wrap type="none"/>
            </v:shape>
            <v:shape style="position:absolute;left:5559;top:4447;width:394;height:230" type="#_x0000_t202" filled="false" stroked="false">
              <v:textbox inset="0,0,0,0">
                <w:txbxContent>
                  <w:p>
                    <w:pPr>
                      <w:spacing w:line="230" w:lineRule="exact" w:before="0"/>
                      <w:ind w:left="0" w:right="0" w:firstLine="0"/>
                      <w:jc w:val="left"/>
                      <w:rPr>
                        <w:rFonts w:ascii="宋体"/>
                        <w:sz w:val="23"/>
                      </w:rPr>
                    </w:pPr>
                    <w:r>
                      <w:rPr>
                        <w:rFonts w:ascii="宋体"/>
                        <w:w w:val="75"/>
                        <w:sz w:val="23"/>
                      </w:rPr>
                      <w:t>2013</w:t>
                    </w:r>
                  </w:p>
                </w:txbxContent>
              </v:textbox>
              <w10:wrap type="none"/>
            </v:shape>
            <v:shape style="position:absolute;left:6546;top:4447;width:395;height:230" type="#_x0000_t202" filled="false" stroked="false">
              <v:textbox inset="0,0,0,0">
                <w:txbxContent>
                  <w:p>
                    <w:pPr>
                      <w:spacing w:line="230" w:lineRule="exact" w:before="0"/>
                      <w:ind w:left="0" w:right="0" w:firstLine="0"/>
                      <w:jc w:val="left"/>
                      <w:rPr>
                        <w:rFonts w:ascii="宋体"/>
                        <w:sz w:val="23"/>
                      </w:rPr>
                    </w:pPr>
                    <w:r>
                      <w:rPr>
                        <w:rFonts w:ascii="宋体"/>
                        <w:w w:val="75"/>
                        <w:sz w:val="23"/>
                      </w:rPr>
                      <w:t>2014</w:t>
                    </w:r>
                  </w:p>
                </w:txbxContent>
              </v:textbox>
              <w10:wrap type="none"/>
            </v:shape>
            <v:shape style="position:absolute;left:7520;top:4447;width:394;height:230" type="#_x0000_t202" filled="false" stroked="false">
              <v:textbox inset="0,0,0,0">
                <w:txbxContent>
                  <w:p>
                    <w:pPr>
                      <w:spacing w:line="230" w:lineRule="exact" w:before="0"/>
                      <w:ind w:left="0" w:right="0" w:firstLine="0"/>
                      <w:jc w:val="left"/>
                      <w:rPr>
                        <w:rFonts w:ascii="宋体"/>
                        <w:sz w:val="23"/>
                      </w:rPr>
                    </w:pPr>
                    <w:r>
                      <w:rPr>
                        <w:rFonts w:ascii="宋体"/>
                        <w:w w:val="75"/>
                        <w:sz w:val="23"/>
                      </w:rPr>
                      <w:t>2015</w:t>
                    </w:r>
                  </w:p>
                </w:txbxContent>
              </v:textbox>
              <w10:wrap type="none"/>
            </v:shape>
            <v:shape style="position:absolute;left:7840;top:2768;width:113;height:230" type="#_x0000_t202" filled="false" stroked="false">
              <v:textbox inset="0,0,0,0">
                <w:txbxContent>
                  <w:p>
                    <w:pPr>
                      <w:spacing w:line="230" w:lineRule="exact" w:before="0"/>
                      <w:ind w:left="0" w:right="0" w:firstLine="0"/>
                      <w:jc w:val="left"/>
                      <w:rPr>
                        <w:rFonts w:ascii="宋体"/>
                        <w:sz w:val="23"/>
                      </w:rPr>
                    </w:pPr>
                    <w:r>
                      <w:rPr>
                        <w:rFonts w:ascii="宋体"/>
                        <w:spacing w:val="5"/>
                        <w:w w:val="75"/>
                        <w:sz w:val="23"/>
                      </w:rPr>
                      <w:t>9</w:t>
                    </w:r>
                  </w:p>
                </w:txbxContent>
              </v:textbox>
              <w10:wrap type="none"/>
            </v:shape>
            <v:shape style="position:absolute;left:6866;top:2679;width:114;height:230" type="#_x0000_t202" filled="false" stroked="false">
              <v:textbox inset="0,0,0,0">
                <w:txbxContent>
                  <w:p>
                    <w:pPr>
                      <w:spacing w:line="230" w:lineRule="exact" w:before="0"/>
                      <w:ind w:left="0" w:right="0" w:firstLine="0"/>
                      <w:jc w:val="left"/>
                      <w:rPr>
                        <w:rFonts w:ascii="宋体"/>
                        <w:sz w:val="23"/>
                      </w:rPr>
                    </w:pPr>
                    <w:r>
                      <w:rPr>
                        <w:rFonts w:ascii="宋体"/>
                        <w:spacing w:val="5"/>
                        <w:w w:val="75"/>
                        <w:sz w:val="23"/>
                      </w:rPr>
                      <w:t>1</w:t>
                    </w:r>
                  </w:p>
                </w:txbxContent>
              </v:textbox>
              <w10:wrap type="none"/>
            </v:shape>
            <v:shape style="position:absolute;left:5878;top:2379;width:114;height:230" type="#_x0000_t202" filled="false" stroked="false">
              <v:textbox inset="0,0,0,0">
                <w:txbxContent>
                  <w:p>
                    <w:pPr>
                      <w:spacing w:line="230" w:lineRule="exact" w:before="0"/>
                      <w:ind w:left="0" w:right="0" w:firstLine="0"/>
                      <w:jc w:val="left"/>
                      <w:rPr>
                        <w:rFonts w:ascii="宋体"/>
                        <w:sz w:val="23"/>
                      </w:rPr>
                    </w:pPr>
                    <w:r>
                      <w:rPr>
                        <w:rFonts w:ascii="宋体"/>
                        <w:spacing w:val="5"/>
                        <w:w w:val="75"/>
                        <w:sz w:val="23"/>
                      </w:rPr>
                      <w:t>1</w:t>
                    </w:r>
                  </w:p>
                </w:txbxContent>
              </v:textbox>
              <w10:wrap type="none"/>
            </v:shape>
            <v:shape style="position:absolute;left:4905;top:2096;width:114;height:230" type="#_x0000_t202" filled="false" stroked="false">
              <v:textbox inset="0,0,0,0">
                <w:txbxContent>
                  <w:p>
                    <w:pPr>
                      <w:spacing w:line="230" w:lineRule="exact" w:before="0"/>
                      <w:ind w:left="0" w:right="0" w:firstLine="0"/>
                      <w:jc w:val="left"/>
                      <w:rPr>
                        <w:rFonts w:ascii="宋体"/>
                        <w:sz w:val="23"/>
                      </w:rPr>
                    </w:pPr>
                    <w:r>
                      <w:rPr>
                        <w:rFonts w:ascii="宋体"/>
                        <w:spacing w:val="5"/>
                        <w:w w:val="75"/>
                        <w:sz w:val="23"/>
                      </w:rPr>
                      <w:t>1</w:t>
                    </w:r>
                  </w:p>
                </w:txbxContent>
              </v:textbox>
              <w10:wrap type="none"/>
            </v:shape>
            <w10:wrap type="topAndBottom"/>
          </v:group>
        </w:pict>
      </w:r>
      <w:r>
        <w:rPr>
          <w:sz w:val="28"/>
        </w:rPr>
        <w:t>图 9.五通桥区“十二五”期间农村居民人均可支配收入增长图</w:t>
      </w:r>
    </w:p>
    <w:p>
      <w:pPr>
        <w:spacing w:after="0"/>
        <w:jc w:val="center"/>
        <w:rPr>
          <w:sz w:val="28"/>
        </w:rPr>
        <w:sectPr>
          <w:footerReference w:type="even" r:id="rId7"/>
          <w:pgSz w:w="11910" w:h="16840"/>
          <w:pgMar w:footer="0" w:header="0" w:top="1080" w:bottom="280" w:left="1380" w:right="1300"/>
        </w:sectPr>
      </w:pPr>
    </w:p>
    <w:p>
      <w:pPr>
        <w:pStyle w:val="BodyText"/>
        <w:ind w:left="0"/>
        <w:rPr>
          <w:sz w:val="20"/>
        </w:rPr>
      </w:pPr>
    </w:p>
    <w:p>
      <w:pPr>
        <w:pStyle w:val="BodyText"/>
        <w:spacing w:before="3"/>
        <w:ind w:left="0"/>
        <w:rPr>
          <w:sz w:val="24"/>
        </w:rPr>
      </w:pPr>
    </w:p>
    <w:p>
      <w:pPr>
        <w:spacing w:before="14"/>
        <w:ind w:left="0" w:right="116" w:firstLine="0"/>
        <w:jc w:val="center"/>
        <w:rPr>
          <w:sz w:val="28"/>
        </w:rPr>
      </w:pPr>
      <w:r>
        <w:rPr>
          <w:sz w:val="28"/>
        </w:rPr>
        <w:t>图 10.“十二五”期间城乡居民储蓄存款余额增长图</w:t>
      </w:r>
    </w:p>
    <w:p>
      <w:pPr>
        <w:pStyle w:val="BodyText"/>
        <w:spacing w:before="8"/>
        <w:ind w:left="0"/>
        <w:rPr>
          <w:sz w:val="17"/>
        </w:rPr>
      </w:pPr>
      <w:r>
        <w:rPr/>
        <w:drawing>
          <wp:anchor distT="0" distB="0" distL="0" distR="0" allowOverlap="1" layoutInCell="1" locked="0" behindDoc="0" simplePos="0" relativeHeight="5416">
            <wp:simplePos x="0" y="0"/>
            <wp:positionH relativeFrom="page">
              <wp:posOffset>981455</wp:posOffset>
            </wp:positionH>
            <wp:positionV relativeFrom="paragraph">
              <wp:posOffset>171481</wp:posOffset>
            </wp:positionV>
            <wp:extent cx="5613448" cy="2571750"/>
            <wp:effectExtent l="0" t="0" r="0" b="0"/>
            <wp:wrapTopAndBottom/>
            <wp:docPr id="1" name="image1.png" descr=""/>
            <wp:cNvGraphicFramePr>
              <a:graphicFrameLocks noChangeAspect="1"/>
            </wp:cNvGraphicFramePr>
            <a:graphic>
              <a:graphicData uri="http://schemas.openxmlformats.org/drawingml/2006/picture">
                <pic:pic>
                  <pic:nvPicPr>
                    <pic:cNvPr id="2" name="image1.png"/>
                    <pic:cNvPicPr/>
                  </pic:nvPicPr>
                  <pic:blipFill>
                    <a:blip r:embed="rId10" cstate="print"/>
                    <a:stretch>
                      <a:fillRect/>
                    </a:stretch>
                  </pic:blipFill>
                  <pic:spPr>
                    <a:xfrm>
                      <a:off x="0" y="0"/>
                      <a:ext cx="5613448" cy="2571750"/>
                    </a:xfrm>
                    <a:prstGeom prst="rect">
                      <a:avLst/>
                    </a:prstGeom>
                  </pic:spPr>
                </pic:pic>
              </a:graphicData>
            </a:graphic>
          </wp:anchor>
        </w:drawing>
      </w:r>
    </w:p>
    <w:p>
      <w:pPr>
        <w:pStyle w:val="BodyText"/>
        <w:ind w:left="0"/>
        <w:rPr>
          <w:sz w:val="28"/>
        </w:rPr>
      </w:pPr>
    </w:p>
    <w:p>
      <w:pPr>
        <w:pStyle w:val="Heading2"/>
        <w:tabs>
          <w:tab w:pos="1439" w:val="left" w:leader="none"/>
        </w:tabs>
        <w:spacing w:before="224"/>
        <w:ind w:right="117"/>
      </w:pPr>
      <w:r>
        <w:rPr/>
        <w:t>第二章</w:t>
        <w:tab/>
        <w:t>面临的机遇</w:t>
      </w:r>
    </w:p>
    <w:p>
      <w:pPr>
        <w:pStyle w:val="BodyText"/>
        <w:spacing w:line="343" w:lineRule="auto" w:before="175"/>
        <w:ind w:right="109" w:firstLine="630"/>
      </w:pPr>
      <w:r>
        <w:rPr>
          <w:b/>
          <w:w w:val="95"/>
        </w:rPr>
        <w:t>一、政策环境趋好。</w:t>
      </w:r>
      <w:r>
        <w:rPr>
          <w:w w:val="95"/>
        </w:rPr>
        <w:t>国家“一带一路”和长江经济带战略、 </w:t>
      </w:r>
      <w:r>
        <w:rPr>
          <w:spacing w:val="-10"/>
        </w:rPr>
        <w:t>新一轮西部大开发、加快新型城镇化建设；四川省强化多点多极</w:t>
      </w:r>
      <w:r>
        <w:rPr>
          <w:spacing w:val="-13"/>
        </w:rPr>
        <w:t>支撑，建设内陆开放高地，推进区域经济一体化发展；乐山建设</w:t>
      </w:r>
      <w:r>
        <w:rPr>
          <w:spacing w:val="-16"/>
        </w:rPr>
        <w:t>国际旅游目的地，全省高新技术产业增长极，四川综合交通次枢</w:t>
      </w:r>
      <w:r>
        <w:rPr>
          <w:spacing w:val="-1"/>
        </w:rPr>
        <w:t>纽，大小凉山脱贫攻坚示范区。为五通桥区充分发挥自身优势， </w:t>
      </w:r>
      <w:r>
        <w:rPr>
          <w:spacing w:val="-11"/>
        </w:rPr>
        <w:t>争取国家政策支持，抢抓机遇，推进转型升级，创造了良好的外部环境。</w:t>
      </w:r>
    </w:p>
    <w:p>
      <w:pPr>
        <w:pStyle w:val="BodyText"/>
        <w:spacing w:line="343" w:lineRule="auto" w:before="43"/>
        <w:ind w:right="109" w:firstLine="630"/>
      </w:pPr>
      <w:r>
        <w:rPr>
          <w:b/>
          <w:spacing w:val="-8"/>
        </w:rPr>
        <w:t>二、区位优势提升。</w:t>
      </w:r>
      <w:r>
        <w:rPr>
          <w:spacing w:val="-9"/>
        </w:rPr>
        <w:t>竹根、杨柳、牛华、冠英四个镇纳入乐</w:t>
      </w:r>
      <w:r>
        <w:rPr>
          <w:spacing w:val="-12"/>
        </w:rPr>
        <w:t>山“双百”大城市中心城区范围，三江临港经济开发区成为临港</w:t>
      </w:r>
      <w:r>
        <w:rPr>
          <w:spacing w:val="-1"/>
        </w:rPr>
        <w:t>新城建设的核心区，享有加快城市化进程得天独厚的区位优势。</w:t>
      </w:r>
      <w:r>
        <w:rPr>
          <w:spacing w:val="-12"/>
        </w:rPr>
        <w:t>随着乐山机场、乐山港、岷江航电梯级开发等重大交通项目的建</w:t>
      </w:r>
      <w:r>
        <w:rPr>
          <w:spacing w:val="-14"/>
        </w:rPr>
        <w:t>设，将形成集铁路、公路、水运、航空相互融合的便捷立体交通</w:t>
      </w:r>
    </w:p>
    <w:p>
      <w:pPr>
        <w:spacing w:after="0" w:line="343" w:lineRule="auto"/>
        <w:sectPr>
          <w:footerReference w:type="default" r:id="rId8"/>
          <w:footerReference w:type="even" r:id="rId9"/>
          <w:pgSz w:w="11910" w:h="16840"/>
          <w:pgMar w:footer="998" w:header="0" w:top="1600" w:bottom="1180" w:left="1420" w:right="1300"/>
          <w:pgNumType w:start="9"/>
        </w:sectPr>
      </w:pPr>
    </w:p>
    <w:p>
      <w:pPr>
        <w:pStyle w:val="BodyText"/>
        <w:spacing w:line="20" w:lineRule="exact"/>
        <w:ind w:left="113"/>
        <w:rPr>
          <w:sz w:val="2"/>
        </w:rPr>
      </w:pPr>
      <w:r>
        <w:rPr>
          <w:sz w:val="2"/>
        </w:rPr>
        <w:pict>
          <v:group style="width:445.95pt;height:.75pt;mso-position-horizontal-relative:char;mso-position-vertical-relative:line" coordorigin="0,0" coordsize="8919,15">
            <v:line style="position:absolute" from="8,8" to="8912,8" stroked="true" strokeweight=".71997pt" strokecolor="#000000">
              <v:stroke dashstyle="solid"/>
            </v:line>
          </v:group>
        </w:pict>
      </w:r>
      <w:r>
        <w:rPr>
          <w:sz w:val="2"/>
        </w:rPr>
      </w:r>
    </w:p>
    <w:p>
      <w:pPr>
        <w:pStyle w:val="BodyText"/>
        <w:ind w:left="0"/>
        <w:rPr>
          <w:sz w:val="20"/>
        </w:rPr>
      </w:pPr>
    </w:p>
    <w:p>
      <w:pPr>
        <w:pStyle w:val="BodyText"/>
        <w:spacing w:before="12"/>
        <w:ind w:left="0"/>
        <w:rPr>
          <w:sz w:val="13"/>
        </w:rPr>
      </w:pPr>
    </w:p>
    <w:p>
      <w:pPr>
        <w:pStyle w:val="BodyText"/>
        <w:spacing w:line="343" w:lineRule="auto" w:before="2"/>
        <w:ind w:left="151" w:right="265"/>
        <w:jc w:val="both"/>
      </w:pPr>
      <w:r>
        <w:rPr>
          <w:spacing w:val="-12"/>
        </w:rPr>
        <w:t>网络，是成都、攀西经济区通江达海的水上黄金通道、水运物流</w:t>
      </w:r>
      <w:r>
        <w:rPr>
          <w:spacing w:val="-1"/>
        </w:rPr>
        <w:t>中心，为五通桥加快发展增添了新的优势。</w:t>
      </w:r>
    </w:p>
    <w:p>
      <w:pPr>
        <w:pStyle w:val="BodyText"/>
        <w:spacing w:line="343" w:lineRule="auto" w:before="43"/>
        <w:ind w:left="151" w:right="105" w:firstLine="630"/>
      </w:pPr>
      <w:r>
        <w:rPr>
          <w:b/>
          <w:spacing w:val="-11"/>
        </w:rPr>
        <w:t>三、发展动能激活。</w:t>
      </w:r>
      <w:r>
        <w:rPr>
          <w:spacing w:val="-4"/>
        </w:rPr>
        <w:t>经过近年来的快速发展，五通桥区已进</w:t>
      </w:r>
      <w:r>
        <w:rPr>
          <w:spacing w:val="-10"/>
        </w:rPr>
        <w:t>入蓄积能量的释放期和加快发展的发力期。三江临港经济开发区</w:t>
      </w:r>
      <w:r>
        <w:rPr>
          <w:spacing w:val="-19"/>
        </w:rPr>
        <w:t>加快建设，临空经济区、文化创意产业园、稀土产业园启动建设， </w:t>
      </w:r>
      <w:r>
        <w:rPr>
          <w:spacing w:val="-41"/>
        </w:rPr>
        <w:t>和邦 </w:t>
      </w:r>
      <w:r>
        <w:rPr/>
        <w:t>T-800</w:t>
      </w:r>
      <w:r>
        <w:rPr>
          <w:spacing w:val="-56"/>
        </w:rPr>
        <w:t> 级 </w:t>
      </w:r>
      <w:r>
        <w:rPr/>
        <w:t>PAN</w:t>
      </w:r>
      <w:r>
        <w:rPr>
          <w:spacing w:val="-16"/>
        </w:rPr>
        <w:t> 高性能碳纤维、福华盐磷化工循环产业、永祥</w:t>
      </w:r>
      <w:r>
        <w:rPr>
          <w:spacing w:val="-18"/>
        </w:rPr>
        <w:t>光伏产业等一批大项目、好项目陆续建设，为五通桥在新起点上</w:t>
      </w:r>
      <w:r>
        <w:rPr>
          <w:spacing w:val="-1"/>
        </w:rPr>
        <w:t>实现发展新跨越，增添了强大发展动能。</w:t>
      </w:r>
    </w:p>
    <w:p>
      <w:pPr>
        <w:pStyle w:val="BodyText"/>
        <w:spacing w:line="343" w:lineRule="auto" w:before="43"/>
        <w:ind w:left="151" w:right="105" w:firstLine="630"/>
      </w:pPr>
      <w:r>
        <w:rPr>
          <w:b/>
          <w:spacing w:val="-23"/>
        </w:rPr>
        <w:t>四、循环效应凸显。</w:t>
      </w:r>
      <w:r>
        <w:rPr>
          <w:spacing w:val="-9"/>
        </w:rPr>
        <w:t>始终坚持在配套中延伸、在延伸中循环、</w:t>
      </w:r>
      <w:r>
        <w:rPr>
          <w:spacing w:val="-19"/>
        </w:rPr>
        <w:t>在循环中利用，成功创建四川省第一批循环经济示范区。走循环、可持续的新型工业化道路，成为全区上下的共识。桥滩老工业区搬迁改造纳入国家规划，是“十三五”时期推进我区发展的又一</w:t>
      </w:r>
      <w:r>
        <w:rPr>
          <w:spacing w:val="-2"/>
        </w:rPr>
        <w:t>重大机遇，必将为我区循环发展、可持续发展增添新的活力。</w:t>
      </w:r>
    </w:p>
    <w:p>
      <w:pPr>
        <w:pStyle w:val="BodyText"/>
        <w:spacing w:before="7"/>
        <w:ind w:left="0"/>
        <w:rPr>
          <w:sz w:val="45"/>
        </w:rPr>
      </w:pPr>
    </w:p>
    <w:p>
      <w:pPr>
        <w:pStyle w:val="Heading2"/>
        <w:tabs>
          <w:tab w:pos="4393" w:val="left" w:leader="none"/>
        </w:tabs>
        <w:ind w:left="2953"/>
        <w:jc w:val="left"/>
      </w:pPr>
      <w:r>
        <w:rPr/>
        <w:t>第三章</w:t>
        <w:tab/>
        <w:t>面临的挑战</w:t>
      </w:r>
    </w:p>
    <w:p>
      <w:pPr>
        <w:pStyle w:val="BodyText"/>
        <w:spacing w:line="343" w:lineRule="auto" w:before="175"/>
        <w:ind w:left="151" w:right="105" w:firstLine="630"/>
      </w:pPr>
      <w:r>
        <w:rPr>
          <w:b/>
          <w:spacing w:val="-10"/>
        </w:rPr>
        <w:t>一、转型升级压力较大。</w:t>
      </w:r>
      <w:r>
        <w:rPr>
          <w:spacing w:val="-5"/>
        </w:rPr>
        <w:t>产业结构不尽合理，服务业增加值</w:t>
      </w:r>
      <w:r>
        <w:rPr/>
        <w:t>比重比全国平均水平低30.3</w:t>
      </w:r>
      <w:r>
        <w:rPr>
          <w:spacing w:val="-24"/>
        </w:rPr>
        <w:t> 个百分点，比全省低</w:t>
      </w:r>
      <w:r>
        <w:rPr/>
        <w:t>20.1</w:t>
      </w:r>
      <w:r>
        <w:rPr>
          <w:spacing w:val="-20"/>
        </w:rPr>
        <w:t> 个百分点，</w:t>
      </w:r>
    </w:p>
    <w:p>
      <w:pPr>
        <w:pStyle w:val="BodyText"/>
        <w:spacing w:line="343" w:lineRule="auto" w:before="43"/>
        <w:ind w:left="151" w:right="266"/>
        <w:jc w:val="both"/>
      </w:pPr>
      <w:r>
        <w:rPr>
          <w:spacing w:val="-18"/>
        </w:rPr>
        <w:t>比全市低 </w:t>
      </w:r>
      <w:r>
        <w:rPr/>
        <w:t>9.9</w:t>
      </w:r>
      <w:r>
        <w:rPr>
          <w:spacing w:val="-17"/>
        </w:rPr>
        <w:t> 个百分点。工业内部结构中传统产业比例大，新兴</w:t>
      </w:r>
      <w:r>
        <w:rPr>
          <w:spacing w:val="-10"/>
        </w:rPr>
        <w:t>产业尚处于起步阶段，推动产业结构转型升级，构建现代产业体</w:t>
      </w:r>
      <w:r>
        <w:rPr>
          <w:spacing w:val="-1"/>
        </w:rPr>
        <w:t>系任重道远。</w:t>
      </w:r>
    </w:p>
    <w:p>
      <w:pPr>
        <w:pStyle w:val="BodyText"/>
        <w:spacing w:line="343" w:lineRule="auto" w:before="43"/>
        <w:ind w:left="151" w:right="106" w:firstLine="630"/>
        <w:jc w:val="both"/>
      </w:pPr>
      <w:r>
        <w:rPr>
          <w:b/>
          <w:spacing w:val="-11"/>
        </w:rPr>
        <w:t>二、区域竞争激烈。</w:t>
      </w:r>
      <w:r>
        <w:rPr>
          <w:spacing w:val="-4"/>
        </w:rPr>
        <w:t>在全省区域经济格局中，我区经济实力</w:t>
      </w:r>
      <w:r>
        <w:rPr>
          <w:spacing w:val="-12"/>
        </w:rPr>
        <w:t>还不强，生产力要素成本方面不具备比较优势。在全市产业发展</w:t>
      </w:r>
      <w:r>
        <w:rPr>
          <w:spacing w:val="-20"/>
        </w:rPr>
        <w:t>上与高新区、犍为、井研等地重点产业存在趋同，在资金、技术、</w:t>
      </w:r>
    </w:p>
    <w:p>
      <w:pPr>
        <w:spacing w:after="0" w:line="343" w:lineRule="auto"/>
        <w:jc w:val="both"/>
        <w:sectPr>
          <w:pgSz w:w="11910" w:h="16840"/>
          <w:pgMar w:header="0" w:footer="998" w:top="1080" w:bottom="1180" w:left="1380" w:right="1260"/>
        </w:sectPr>
      </w:pPr>
    </w:p>
    <w:p>
      <w:pPr>
        <w:pStyle w:val="BodyText"/>
        <w:spacing w:line="405" w:lineRule="exact"/>
      </w:pPr>
      <w:r>
        <w:rPr/>
        <w:t>项目以及人才等资源上争夺加剧，特别是在引进高端产业的激烈</w:t>
      </w:r>
    </w:p>
    <w:p>
      <w:pPr>
        <w:pStyle w:val="BodyText"/>
        <w:spacing w:before="181"/>
      </w:pPr>
      <w:r>
        <w:rPr/>
        <w:t>竞争中面临严峻挑战。</w:t>
      </w:r>
    </w:p>
    <w:p>
      <w:pPr>
        <w:pStyle w:val="BodyText"/>
        <w:spacing w:line="343" w:lineRule="auto" w:before="181"/>
        <w:ind w:right="95" w:firstLine="630"/>
      </w:pPr>
      <w:r>
        <w:rPr>
          <w:b/>
        </w:rPr>
        <w:t>三、资源环境约束增强。</w:t>
      </w:r>
      <w:r>
        <w:rPr/>
        <w:t>发展要素上，国家土地政策趋紧， </w:t>
      </w:r>
      <w:r>
        <w:rPr>
          <w:spacing w:val="-7"/>
        </w:rPr>
        <w:t>新增建设用地指标严重不足，拆迁成本攀升，土地成本高。环保</w:t>
      </w:r>
      <w:r>
        <w:rPr>
          <w:spacing w:val="-13"/>
        </w:rPr>
        <w:t>安全上，不稳定因素增多，环境容量日趋饱和，节能减排任务艰</w:t>
      </w:r>
      <w:r>
        <w:rPr>
          <w:spacing w:val="-12"/>
        </w:rPr>
        <w:t>巨。生态文明建设上，随着人民群众对生态环境质量的需求越来</w:t>
      </w:r>
      <w:r>
        <w:rPr>
          <w:spacing w:val="-13"/>
        </w:rPr>
        <w:t>越高，坚持生态底线、加大环境治理、强化安全管控、协调人口</w:t>
      </w:r>
      <w:r>
        <w:rPr>
          <w:spacing w:val="-16"/>
        </w:rPr>
        <w:t>资源环境可持续发展、创建安全良好生活环境将是五通桥面临的</w:t>
      </w:r>
      <w:r>
        <w:rPr>
          <w:spacing w:val="-1"/>
        </w:rPr>
        <w:t>重要挑战。</w:t>
      </w:r>
    </w:p>
    <w:p>
      <w:pPr>
        <w:pStyle w:val="BodyText"/>
        <w:spacing w:line="343" w:lineRule="auto" w:before="43"/>
        <w:ind w:right="224" w:firstLine="630"/>
        <w:jc w:val="both"/>
      </w:pPr>
      <w:r>
        <w:rPr>
          <w:b/>
          <w:spacing w:val="-10"/>
        </w:rPr>
        <w:t>四、全面建设小康社会任务繁重。</w:t>
      </w:r>
      <w:r>
        <w:rPr>
          <w:spacing w:val="-7"/>
        </w:rPr>
        <w:t>在新常态下，经济下行压</w:t>
      </w:r>
      <w:r>
        <w:rPr>
          <w:spacing w:val="-12"/>
        </w:rPr>
        <w:t>力大，发展社会经济、提高居民人均可支配收入、加快城镇化进</w:t>
      </w:r>
      <w:r>
        <w:rPr>
          <w:spacing w:val="-17"/>
        </w:rPr>
        <w:t>程任务艰巨，全区还有 </w:t>
      </w:r>
      <w:r>
        <w:rPr/>
        <w:t>2000</w:t>
      </w:r>
      <w:r>
        <w:rPr>
          <w:spacing w:val="-9"/>
        </w:rPr>
        <w:t> 多贫困人口，与全区同步实现小康</w:t>
      </w:r>
      <w:r>
        <w:rPr>
          <w:spacing w:val="-12"/>
        </w:rPr>
        <w:t>难度较大。同时，由于利益主体日趋多元化，社会矛盾仍然易发</w:t>
      </w:r>
      <w:r>
        <w:rPr>
          <w:spacing w:val="-13"/>
        </w:rPr>
        <w:t>多发，调整利益格局、全面深化改革、保持社会稳定、提前实现</w:t>
      </w:r>
      <w:r>
        <w:rPr>
          <w:spacing w:val="-1"/>
        </w:rPr>
        <w:t>全面小康社会的难度较大。</w:t>
      </w:r>
    </w:p>
    <w:p>
      <w:pPr>
        <w:pStyle w:val="BodyText"/>
        <w:spacing w:line="343" w:lineRule="auto" w:before="43"/>
        <w:ind w:right="109" w:firstLine="639"/>
      </w:pPr>
      <w:r>
        <w:rPr>
          <w:spacing w:val="-11"/>
        </w:rPr>
        <w:t>尽管面临诸多挑战，但五通桥区仍将处于发展的重要战略机</w:t>
      </w:r>
      <w:r>
        <w:rPr>
          <w:spacing w:val="-12"/>
        </w:rPr>
        <w:t>遇期，经济社会发展前景广阔的基本面没有发生改变。必须坚持</w:t>
      </w:r>
      <w:r>
        <w:rPr>
          <w:spacing w:val="-1"/>
        </w:rPr>
        <w:t>转型升级、创新驱动的发展取向，进一步增强责任感和紧迫感， </w:t>
      </w:r>
      <w:r>
        <w:rPr>
          <w:spacing w:val="-11"/>
        </w:rPr>
        <w:t>紧抓机遇，迎难而上，促进五通桥经济社会全面、协调、可持续发展。</w:t>
      </w:r>
    </w:p>
    <w:p>
      <w:pPr>
        <w:spacing w:after="0" w:line="343" w:lineRule="auto"/>
        <w:sectPr>
          <w:pgSz w:w="11910" w:h="16840"/>
          <w:pgMar w:header="0" w:footer="998" w:top="1560" w:bottom="1180" w:left="1420" w:right="1300"/>
        </w:sectPr>
      </w:pPr>
    </w:p>
    <w:p>
      <w:pPr>
        <w:pStyle w:val="BodyText"/>
        <w:spacing w:line="20" w:lineRule="exact"/>
        <w:ind w:left="113"/>
        <w:rPr>
          <w:sz w:val="2"/>
        </w:rPr>
      </w:pPr>
      <w:r>
        <w:rPr>
          <w:sz w:val="2"/>
        </w:rPr>
        <w:pict>
          <v:group style="width:445.95pt;height:.75pt;mso-position-horizontal-relative:char;mso-position-vertical-relative:line" coordorigin="0,0" coordsize="8919,15">
            <v:line style="position:absolute" from="8,8" to="8912,8" stroked="true" strokeweight=".71997pt" strokecolor="#000000">
              <v:stroke dashstyle="solid"/>
            </v:line>
          </v:group>
        </w:pict>
      </w:r>
      <w:r>
        <w:rPr>
          <w:sz w:val="2"/>
        </w:rPr>
      </w:r>
    </w:p>
    <w:p>
      <w:pPr>
        <w:pStyle w:val="BodyText"/>
        <w:spacing w:before="1"/>
        <w:ind w:left="0"/>
        <w:rPr>
          <w:sz w:val="26"/>
        </w:rPr>
      </w:pPr>
    </w:p>
    <w:p>
      <w:pPr>
        <w:pStyle w:val="Heading1"/>
        <w:tabs>
          <w:tab w:pos="1755" w:val="left" w:leader="none"/>
        </w:tabs>
        <w:spacing w:line="541" w:lineRule="exact"/>
        <w:ind w:right="117"/>
      </w:pPr>
      <w:r>
        <w:rPr/>
        <w:t>第二篇</w:t>
        <w:tab/>
      </w:r>
      <w:r>
        <w:rPr>
          <w:spacing w:val="-1"/>
        </w:rPr>
        <w:t>发展蓝图篇</w:t>
      </w:r>
    </w:p>
    <w:p>
      <w:pPr>
        <w:pStyle w:val="BodyText"/>
        <w:spacing w:before="10"/>
        <w:ind w:left="0"/>
        <w:rPr>
          <w:rFonts w:ascii="黑体"/>
        </w:rPr>
      </w:pPr>
    </w:p>
    <w:p>
      <w:pPr>
        <w:pStyle w:val="Heading2"/>
        <w:spacing w:before="1"/>
        <w:ind w:right="117"/>
      </w:pPr>
      <w:r>
        <w:rPr/>
        <w:t>第四章 指导思想和基本原则</w:t>
      </w:r>
    </w:p>
    <w:p>
      <w:pPr>
        <w:pStyle w:val="BodyText"/>
        <w:tabs>
          <w:tab w:pos="1275" w:val="left" w:leader="none"/>
        </w:tabs>
        <w:spacing w:before="175"/>
        <w:ind w:left="0" w:right="115"/>
        <w:jc w:val="center"/>
        <w:rPr>
          <w:rFonts w:ascii="黑体" w:eastAsia="黑体" w:hint="eastAsia"/>
        </w:rPr>
      </w:pPr>
      <w:r>
        <w:rPr>
          <w:rFonts w:ascii="黑体" w:eastAsia="黑体" w:hint="eastAsia"/>
        </w:rPr>
        <w:t>第一节</w:t>
        <w:tab/>
      </w:r>
      <w:r>
        <w:rPr>
          <w:rFonts w:ascii="黑体" w:eastAsia="黑体" w:hint="eastAsia"/>
          <w:spacing w:val="-1"/>
        </w:rPr>
        <w:t>指导思想</w:t>
      </w:r>
    </w:p>
    <w:p>
      <w:pPr>
        <w:pStyle w:val="BodyText"/>
        <w:spacing w:line="343" w:lineRule="auto" w:before="180"/>
        <w:ind w:left="151" w:right="105" w:firstLine="639"/>
      </w:pPr>
      <w:r>
        <w:rPr>
          <w:spacing w:val="-8"/>
        </w:rPr>
        <w:t>高举中国特色社会主义伟大旗帜，全面贯彻党的十八大和十</w:t>
      </w:r>
      <w:r>
        <w:rPr>
          <w:spacing w:val="-13"/>
        </w:rPr>
        <w:t>八届三中、四中、五中全会精神，坚持以马克思列宁主义、毛泽</w:t>
      </w:r>
      <w:r>
        <w:rPr>
          <w:spacing w:val="-18"/>
        </w:rPr>
        <w:t>东思想、邓小平理论、“三个代表”重要思想、科学发展观为指</w:t>
      </w:r>
      <w:r>
        <w:rPr>
          <w:spacing w:val="-19"/>
        </w:rPr>
        <w:t>导，深入贯彻习近平总书记系列重要讲话精神，坚持“四个全面” </w:t>
      </w:r>
      <w:r>
        <w:rPr>
          <w:spacing w:val="-15"/>
        </w:rPr>
        <w:t>战略布局，坚持发展第一要务，牢固树立并切实贯彻“创新、协</w:t>
      </w:r>
      <w:r>
        <w:rPr>
          <w:spacing w:val="-19"/>
        </w:rPr>
        <w:t>调、绿色、开放、共享”五大发展理念，紧盯“山水园林新港城、</w:t>
      </w:r>
      <w:r>
        <w:rPr>
          <w:spacing w:val="-17"/>
        </w:rPr>
        <w:t>高新产业增长极、循环经济示范区”战略定位，深入实施“工业</w:t>
      </w:r>
      <w:r>
        <w:rPr>
          <w:spacing w:val="-13"/>
        </w:rPr>
        <w:t>强区、转型发展”战略，稳步推进结构性改革，坚持工业高端高</w:t>
      </w:r>
      <w:r>
        <w:rPr>
          <w:spacing w:val="-12"/>
        </w:rPr>
        <w:t>新、农业特色特效、服务业借机借势、城市建设提速提升、基础</w:t>
      </w:r>
      <w:r>
        <w:rPr>
          <w:spacing w:val="-15"/>
        </w:rPr>
        <w:t>设施配套配强、发展成果共建共享的发展路径，统筹推进经济建</w:t>
      </w:r>
      <w:r>
        <w:rPr>
          <w:spacing w:val="-19"/>
        </w:rPr>
        <w:t>设、政治建设、文化建设、社会建设、生态文明建设和党的建设， </w:t>
      </w:r>
      <w:r>
        <w:rPr>
          <w:spacing w:val="-17"/>
        </w:rPr>
        <w:t>着力建设智慧、和谐、美丽、活力、幸福五通桥，先于全省、全</w:t>
      </w:r>
      <w:r>
        <w:rPr>
          <w:spacing w:val="-1"/>
        </w:rPr>
        <w:t>市全面建成小康社会。</w:t>
      </w:r>
    </w:p>
    <w:p>
      <w:pPr>
        <w:pStyle w:val="BodyText"/>
        <w:ind w:left="0"/>
      </w:pPr>
    </w:p>
    <w:p>
      <w:pPr>
        <w:pStyle w:val="BodyText"/>
        <w:tabs>
          <w:tab w:pos="1279" w:val="left" w:leader="none"/>
        </w:tabs>
        <w:spacing w:before="224"/>
        <w:ind w:left="0" w:right="117"/>
        <w:jc w:val="center"/>
        <w:rPr>
          <w:rFonts w:ascii="黑体" w:eastAsia="黑体" w:hint="eastAsia"/>
        </w:rPr>
      </w:pPr>
      <w:r>
        <w:rPr>
          <w:rFonts w:ascii="黑体" w:eastAsia="黑体" w:hint="eastAsia"/>
        </w:rPr>
        <w:t>第二节</w:t>
        <w:tab/>
      </w:r>
      <w:r>
        <w:rPr>
          <w:rFonts w:ascii="黑体" w:eastAsia="黑体" w:hint="eastAsia"/>
          <w:spacing w:val="-1"/>
        </w:rPr>
        <w:t>基本原则</w:t>
      </w:r>
    </w:p>
    <w:p>
      <w:pPr>
        <w:pStyle w:val="BodyText"/>
        <w:spacing w:line="343" w:lineRule="auto" w:before="181"/>
        <w:ind w:left="151" w:right="265" w:firstLine="643"/>
        <w:jc w:val="both"/>
      </w:pPr>
      <w:r>
        <w:rPr>
          <w:b/>
          <w:spacing w:val="-12"/>
        </w:rPr>
        <w:t>一、坚持统筹协调。</w:t>
      </w:r>
      <w:r>
        <w:rPr>
          <w:spacing w:val="-5"/>
        </w:rPr>
        <w:t>落实科学发展观要求，积极推动实现可</w:t>
      </w:r>
      <w:r>
        <w:rPr>
          <w:spacing w:val="-12"/>
        </w:rPr>
        <w:t>持续发展。坚持工业强区，大力优化工业结构，改造提升现有四</w:t>
      </w:r>
      <w:r>
        <w:rPr>
          <w:spacing w:val="-13"/>
        </w:rPr>
        <w:t>大支柱产业。发展壮大新兴产业，促进经济发展方式由速度规模</w:t>
      </w:r>
      <w:r>
        <w:rPr>
          <w:spacing w:val="-8"/>
        </w:rPr>
        <w:t>型粗放增长转向质量效益型集约增长，经济结构从增量扩能型转</w:t>
      </w:r>
    </w:p>
    <w:p>
      <w:pPr>
        <w:spacing w:after="0" w:line="343" w:lineRule="auto"/>
        <w:jc w:val="both"/>
        <w:sectPr>
          <w:pgSz w:w="11910" w:h="16840"/>
          <w:pgMar w:header="0" w:footer="998" w:top="1080" w:bottom="1180" w:left="1380" w:right="1260"/>
        </w:sectPr>
      </w:pPr>
    </w:p>
    <w:p>
      <w:pPr>
        <w:pStyle w:val="BodyText"/>
        <w:spacing w:line="405" w:lineRule="exact"/>
      </w:pPr>
      <w:r>
        <w:rPr/>
        <w:t>向存量抓提升、增量调结构的深度调整。大力发展现代服务业，</w:t>
      </w:r>
    </w:p>
    <w:p>
      <w:pPr>
        <w:pStyle w:val="BodyText"/>
        <w:spacing w:line="343" w:lineRule="auto" w:before="181"/>
        <w:ind w:right="106"/>
      </w:pPr>
      <w:r>
        <w:rPr>
          <w:spacing w:val="-19"/>
        </w:rPr>
        <w:t>带动消费扩大升级，促进服务业发展提速、比重提高、水平提升。坚持速度提升与结构调整相协调，质量提高与效益增长相协调。</w:t>
      </w:r>
      <w:r>
        <w:rPr>
          <w:spacing w:val="-22"/>
        </w:rPr>
        <w:t>正确认识和妥善解决发展中存在的问题和矛盾，更加注重安全环</w:t>
      </w:r>
      <w:r>
        <w:rPr>
          <w:spacing w:val="-15"/>
        </w:rPr>
        <w:t>保问题，更加注重人与自然和谐相处。坚持统筹城乡，协调处理</w:t>
      </w:r>
      <w:r>
        <w:rPr>
          <w:spacing w:val="-18"/>
        </w:rPr>
        <w:t>好城乡资源流动和配置关系，努力缩小城乡差距，实现经济发展</w:t>
      </w:r>
      <w:r>
        <w:rPr>
          <w:spacing w:val="-1"/>
        </w:rPr>
        <w:t>与社会和谐的有机统一。</w:t>
      </w:r>
    </w:p>
    <w:p>
      <w:pPr>
        <w:pStyle w:val="BodyText"/>
        <w:spacing w:line="343" w:lineRule="auto" w:before="43"/>
        <w:ind w:right="264" w:firstLine="643"/>
        <w:jc w:val="both"/>
      </w:pPr>
      <w:r>
        <w:rPr>
          <w:b/>
          <w:spacing w:val="-12"/>
        </w:rPr>
        <w:t>二、坚持改革开放。</w:t>
      </w:r>
      <w:r>
        <w:rPr>
          <w:spacing w:val="-3"/>
        </w:rPr>
        <w:t>坚持深化重点领域和关键环节改革，推</w:t>
      </w:r>
      <w:r>
        <w:rPr>
          <w:spacing w:val="-10"/>
        </w:rPr>
        <w:t>动各项改革举措落地生根、改有所成。全面实施创新驱动发展战</w:t>
      </w:r>
      <w:r>
        <w:rPr>
          <w:spacing w:val="-12"/>
        </w:rPr>
        <w:t>略，依靠科技进步转变发展方式，完善科技创新体系，深入推进</w:t>
      </w:r>
      <w:r>
        <w:rPr>
          <w:spacing w:val="-9"/>
        </w:rPr>
        <w:t>国家可持续发展实验区建设，全面推进创新型社会建设，实现经</w:t>
      </w:r>
      <w:r>
        <w:rPr>
          <w:spacing w:val="-10"/>
        </w:rPr>
        <w:t>济发展动力由投资驱动、要素驱动向创新驱动转变。坚持开放发</w:t>
      </w:r>
      <w:r>
        <w:rPr>
          <w:spacing w:val="-11"/>
        </w:rPr>
        <w:t>展，注重提升引进质量，构建广泛的利益共同体。探索资源、资</w:t>
      </w:r>
      <w:r>
        <w:rPr>
          <w:spacing w:val="-12"/>
        </w:rPr>
        <w:t>本、产业间的互换互补，加强城市内涵文化的对外宣传。把握国家推动“一带一路”和长江经济带建设契机，完善对外开放区域</w:t>
      </w:r>
      <w:r>
        <w:rPr>
          <w:spacing w:val="-1"/>
        </w:rPr>
        <w:t>布局、对外投资布局，在发展中扬长避短、乘势而上。</w:t>
      </w:r>
    </w:p>
    <w:p>
      <w:pPr>
        <w:pStyle w:val="BodyText"/>
        <w:spacing w:line="343" w:lineRule="auto" w:before="43"/>
        <w:ind w:right="257" w:firstLine="643"/>
        <w:jc w:val="both"/>
      </w:pPr>
      <w:r>
        <w:rPr>
          <w:b/>
          <w:spacing w:val="-9"/>
        </w:rPr>
        <w:t>三、坚持依法治理。</w:t>
      </w:r>
      <w:r>
        <w:rPr>
          <w:spacing w:val="-6"/>
        </w:rPr>
        <w:t>全面推进依法治区，坚持区委领导，坚</w:t>
      </w:r>
      <w:r>
        <w:rPr>
          <w:spacing w:val="-10"/>
        </w:rPr>
        <w:t>持人民群众的主体地位，坚持法律面前人人平等，坚持将法治精</w:t>
      </w:r>
      <w:r>
        <w:rPr>
          <w:spacing w:val="5"/>
        </w:rPr>
        <w:t>神与社会主义核心价值观紧密结合，坚持从五通桥区域实际出</w:t>
      </w:r>
      <w:r>
        <w:rPr>
          <w:spacing w:val="-12"/>
        </w:rPr>
        <w:t>发，突出学法、依法、用法、执法等重点环节，制定和完善一系</w:t>
      </w:r>
      <w:r>
        <w:rPr>
          <w:spacing w:val="-1"/>
        </w:rPr>
        <w:t>列机制、制度，构建起基层法治的社会体系。</w:t>
      </w:r>
    </w:p>
    <w:p>
      <w:pPr>
        <w:pStyle w:val="BodyText"/>
        <w:spacing w:line="343" w:lineRule="auto" w:before="43"/>
        <w:ind w:right="265" w:firstLine="643"/>
        <w:jc w:val="both"/>
      </w:pPr>
      <w:r>
        <w:rPr>
          <w:b/>
          <w:spacing w:val="-12"/>
        </w:rPr>
        <w:t>四、坚持生态优先。</w:t>
      </w:r>
      <w:r>
        <w:rPr>
          <w:spacing w:val="-4"/>
        </w:rPr>
        <w:t>坚持把建设资源节约型、环境友好型社</w:t>
      </w:r>
      <w:r>
        <w:rPr>
          <w:spacing w:val="-9"/>
        </w:rPr>
        <w:t>会作为可持续发展的根本举措，更加注重生态文明建设。充分发</w:t>
      </w:r>
    </w:p>
    <w:p>
      <w:pPr>
        <w:spacing w:after="0" w:line="343" w:lineRule="auto"/>
        <w:jc w:val="both"/>
        <w:sectPr>
          <w:pgSz w:w="11910" w:h="16840"/>
          <w:pgMar w:header="0" w:footer="998" w:top="1560" w:bottom="1180" w:left="1420" w:right="1260"/>
        </w:sectPr>
      </w:pPr>
    </w:p>
    <w:p>
      <w:pPr>
        <w:pStyle w:val="BodyText"/>
        <w:spacing w:line="20" w:lineRule="exact"/>
        <w:ind w:left="113"/>
        <w:rPr>
          <w:sz w:val="2"/>
        </w:rPr>
      </w:pPr>
      <w:r>
        <w:rPr>
          <w:sz w:val="2"/>
        </w:rPr>
        <w:pict>
          <v:group style="width:445.95pt;height:.75pt;mso-position-horizontal-relative:char;mso-position-vertical-relative:line" coordorigin="0,0" coordsize="8919,15">
            <v:line style="position:absolute" from="8,8" to="8912,8" stroked="true" strokeweight=".71997pt" strokecolor="#000000">
              <v:stroke dashstyle="solid"/>
            </v:line>
          </v:group>
        </w:pict>
      </w:r>
      <w:r>
        <w:rPr>
          <w:sz w:val="2"/>
        </w:rPr>
      </w:r>
    </w:p>
    <w:p>
      <w:pPr>
        <w:pStyle w:val="BodyText"/>
        <w:ind w:left="0"/>
        <w:rPr>
          <w:sz w:val="20"/>
        </w:rPr>
      </w:pPr>
    </w:p>
    <w:p>
      <w:pPr>
        <w:pStyle w:val="BodyText"/>
        <w:spacing w:before="12"/>
        <w:ind w:left="0"/>
        <w:rPr>
          <w:sz w:val="13"/>
        </w:rPr>
      </w:pPr>
    </w:p>
    <w:p>
      <w:pPr>
        <w:pStyle w:val="BodyText"/>
        <w:spacing w:line="343" w:lineRule="auto" w:before="2"/>
        <w:ind w:left="151" w:right="105"/>
      </w:pPr>
      <w:r>
        <w:rPr>
          <w:spacing w:val="-17"/>
        </w:rPr>
        <w:t>挥省级循环经济示范区带动作用，大力发展循环经济、低碳经济。</w:t>
      </w:r>
      <w:r>
        <w:rPr>
          <w:spacing w:val="-19"/>
        </w:rPr>
        <w:t>在不断拓展循环产业链的基础上，实现节约生产、清洁生产，促</w:t>
      </w:r>
      <w:r>
        <w:rPr>
          <w:spacing w:val="-1"/>
        </w:rPr>
        <w:t>进绿色发展。</w:t>
      </w:r>
    </w:p>
    <w:p>
      <w:pPr>
        <w:pStyle w:val="BodyText"/>
        <w:spacing w:line="343" w:lineRule="auto" w:before="43"/>
        <w:ind w:left="151" w:right="172" w:firstLine="643"/>
      </w:pPr>
      <w:r>
        <w:rPr>
          <w:b/>
          <w:spacing w:val="-9"/>
        </w:rPr>
        <w:t>五、坚持共建共享。</w:t>
      </w:r>
      <w:r>
        <w:rPr>
          <w:spacing w:val="-6"/>
        </w:rPr>
        <w:t>坚持发展为了人民、发展依靠人民、发</w:t>
      </w:r>
      <w:r>
        <w:rPr>
          <w:spacing w:val="-13"/>
        </w:rPr>
        <w:t>展成果由人民共享，注重民生、保障民生、改善民生，全面提高</w:t>
      </w:r>
      <w:r>
        <w:rPr>
          <w:spacing w:val="-1"/>
        </w:rPr>
        <w:t>公共服务共建能力和共享水平，满足老百姓多样化的民生需求， </w:t>
      </w:r>
      <w:r>
        <w:rPr>
          <w:spacing w:val="-7"/>
        </w:rPr>
        <w:t>让改革发展成果更多更公平惠及广大人民群众，使人民群众在共</w:t>
      </w:r>
      <w:r>
        <w:rPr>
          <w:spacing w:val="-1"/>
        </w:rPr>
        <w:t>建共享发展中有更多获得感。</w:t>
      </w:r>
    </w:p>
    <w:p>
      <w:pPr>
        <w:pStyle w:val="BodyText"/>
        <w:spacing w:before="7"/>
        <w:ind w:left="0"/>
        <w:rPr>
          <w:sz w:val="45"/>
        </w:rPr>
      </w:pPr>
    </w:p>
    <w:p>
      <w:pPr>
        <w:pStyle w:val="Heading2"/>
        <w:tabs>
          <w:tab w:pos="1439" w:val="left" w:leader="none"/>
        </w:tabs>
        <w:ind w:right="117"/>
      </w:pPr>
      <w:r>
        <w:rPr/>
        <w:t>第五章</w:t>
        <w:tab/>
        <w:t>战略定位和空间布局</w:t>
      </w:r>
    </w:p>
    <w:p>
      <w:pPr>
        <w:pStyle w:val="BodyText"/>
        <w:tabs>
          <w:tab w:pos="1279" w:val="left" w:leader="none"/>
        </w:tabs>
        <w:spacing w:before="175"/>
        <w:ind w:left="0" w:right="117"/>
        <w:jc w:val="center"/>
        <w:rPr>
          <w:rFonts w:ascii="黑体" w:eastAsia="黑体" w:hint="eastAsia"/>
        </w:rPr>
      </w:pPr>
      <w:r>
        <w:rPr>
          <w:rFonts w:ascii="黑体" w:eastAsia="黑体" w:hint="eastAsia"/>
        </w:rPr>
        <w:t>第一节</w:t>
        <w:tab/>
      </w:r>
      <w:r>
        <w:rPr>
          <w:rFonts w:ascii="黑体" w:eastAsia="黑体" w:hint="eastAsia"/>
          <w:spacing w:val="-1"/>
        </w:rPr>
        <w:t>战略定位</w:t>
      </w:r>
    </w:p>
    <w:p>
      <w:pPr>
        <w:pStyle w:val="BodyText"/>
        <w:spacing w:line="343" w:lineRule="auto" w:before="181"/>
        <w:ind w:left="151" w:right="172" w:firstLine="639"/>
      </w:pPr>
      <w:r>
        <w:rPr>
          <w:spacing w:val="-12"/>
        </w:rPr>
        <w:t>“十三五”期间的战略定位是：山水园林新港城、高新产业</w:t>
      </w:r>
      <w:r>
        <w:rPr>
          <w:spacing w:val="-1"/>
        </w:rPr>
        <w:t>增长极、循环经济示范区（简称新港城、增长极、示范区</w:t>
      </w:r>
      <w:r>
        <w:rPr>
          <w:spacing w:val="-161"/>
        </w:rPr>
        <w:t>）</w:t>
      </w:r>
      <w:r>
        <w:rPr>
          <w:spacing w:val="-1"/>
        </w:rPr>
        <w:t>。</w:t>
      </w:r>
    </w:p>
    <w:p>
      <w:pPr>
        <w:pStyle w:val="BodyText"/>
        <w:spacing w:line="343" w:lineRule="auto" w:before="43"/>
        <w:ind w:left="151" w:right="105" w:firstLine="639"/>
      </w:pPr>
      <w:r>
        <w:rPr>
          <w:spacing w:val="-20"/>
        </w:rPr>
        <w:t>——山水园林新港城：按照“依港兴城、港城联动”的思路， </w:t>
      </w:r>
      <w:r>
        <w:rPr>
          <w:spacing w:val="-16"/>
        </w:rPr>
        <w:t>主动融入乐山“双百”大城市建设，统筹临港新城建设、竹根滩</w:t>
      </w:r>
      <w:r>
        <w:rPr>
          <w:spacing w:val="-18"/>
        </w:rPr>
        <w:t>旧城改造和五通桥古镇打造，推动产城融合发展，完善城市基础设施，增强城市综合服务功能，不断提升城市形象，建设以山、</w:t>
      </w:r>
      <w:r>
        <w:rPr>
          <w:spacing w:val="-2"/>
        </w:rPr>
        <w:t>水、树、桥、城、港、航、产业为一体的山水园林城市。</w:t>
      </w:r>
    </w:p>
    <w:p>
      <w:pPr>
        <w:pStyle w:val="BodyText"/>
        <w:spacing w:line="343" w:lineRule="auto" w:before="43"/>
        <w:ind w:left="151" w:right="264" w:firstLine="639"/>
        <w:jc w:val="both"/>
      </w:pPr>
      <w:r>
        <w:rPr>
          <w:spacing w:val="-10"/>
        </w:rPr>
        <w:t>——高新产业增长极：依托三江临港经济开发区、临空经济</w:t>
      </w:r>
      <w:r>
        <w:rPr>
          <w:spacing w:val="-13"/>
        </w:rPr>
        <w:t>区、综合保税区等发展空间，引进培育战略性新兴产业和高端成</w:t>
      </w:r>
      <w:r>
        <w:rPr>
          <w:spacing w:val="-11"/>
        </w:rPr>
        <w:t>长型产业，重点发展新能源新材料、装备制造、电子信息等，形</w:t>
      </w:r>
      <w:r>
        <w:rPr>
          <w:spacing w:val="-9"/>
        </w:rPr>
        <w:t>成高新技术产业体系。对接“中国制造 </w:t>
      </w:r>
      <w:r>
        <w:rPr/>
        <w:t>2025”战略部署，运用</w:t>
      </w:r>
      <w:r>
        <w:rPr>
          <w:spacing w:val="-7"/>
        </w:rPr>
        <w:t>高新技术和先进适用技术改造提升盐磷化工、机电产品制造等传</w:t>
      </w:r>
    </w:p>
    <w:p>
      <w:pPr>
        <w:spacing w:after="0" w:line="343" w:lineRule="auto"/>
        <w:jc w:val="both"/>
        <w:sectPr>
          <w:pgSz w:w="11910" w:h="16840"/>
          <w:pgMar w:header="0" w:footer="998" w:top="1080" w:bottom="1180" w:left="1380" w:right="1260"/>
        </w:sectPr>
      </w:pPr>
    </w:p>
    <w:p>
      <w:pPr>
        <w:pStyle w:val="BodyText"/>
        <w:spacing w:line="405" w:lineRule="exact"/>
      </w:pPr>
      <w:r>
        <w:rPr/>
        <w:t>统产业，促进传统产业向中高端发展。大力发展现代物流、电子</w:t>
      </w:r>
    </w:p>
    <w:p>
      <w:pPr>
        <w:pStyle w:val="BodyText"/>
        <w:spacing w:line="343" w:lineRule="auto" w:before="181"/>
        <w:ind w:right="139"/>
      </w:pPr>
      <w:r>
        <w:rPr>
          <w:spacing w:val="-9"/>
        </w:rPr>
        <w:t>商务等新兴先导型服务业，大幅提高服务业发展水平，把五通桥</w:t>
      </w:r>
      <w:r>
        <w:rPr>
          <w:spacing w:val="-1"/>
        </w:rPr>
        <w:t>区打造成为乐山高新技术产业增长极。</w:t>
      </w:r>
    </w:p>
    <w:p>
      <w:pPr>
        <w:pStyle w:val="BodyText"/>
        <w:spacing w:line="343" w:lineRule="auto" w:before="43"/>
        <w:ind w:right="139" w:firstLine="639"/>
      </w:pPr>
      <w:r>
        <w:rPr>
          <w:spacing w:val="-9"/>
        </w:rPr>
        <w:t>——循环经济示范区：以生态循环理念为指导，以国家可持</w:t>
      </w:r>
      <w:r>
        <w:rPr>
          <w:spacing w:val="-19"/>
        </w:rPr>
        <w:t>续发展实验区为载体，以骨干企业为龙头，坚持走循环发展之路， </w:t>
      </w:r>
      <w:r>
        <w:rPr>
          <w:spacing w:val="-17"/>
        </w:rPr>
        <w:t>推进资源循环利用、能源梯级利用，有效保护环境，构建资源节</w:t>
      </w:r>
      <w:r>
        <w:rPr>
          <w:spacing w:val="-1"/>
        </w:rPr>
        <w:t>约型和环境友好型社会，争创国家级循环经济示范区。</w:t>
      </w:r>
    </w:p>
    <w:p>
      <w:pPr>
        <w:pStyle w:val="BodyText"/>
        <w:ind w:left="0"/>
      </w:pPr>
    </w:p>
    <w:p>
      <w:pPr>
        <w:pStyle w:val="BodyText"/>
        <w:tabs>
          <w:tab w:pos="1279" w:val="left" w:leader="none"/>
        </w:tabs>
        <w:spacing w:before="224"/>
        <w:ind w:left="0" w:right="157"/>
        <w:jc w:val="center"/>
        <w:rPr>
          <w:rFonts w:ascii="黑体" w:eastAsia="黑体" w:hint="eastAsia"/>
        </w:rPr>
      </w:pPr>
      <w:r>
        <w:rPr>
          <w:rFonts w:ascii="黑体" w:eastAsia="黑体" w:hint="eastAsia"/>
        </w:rPr>
        <w:t>第二节</w:t>
        <w:tab/>
      </w:r>
      <w:r>
        <w:rPr>
          <w:rFonts w:ascii="黑体" w:eastAsia="黑体" w:hint="eastAsia"/>
          <w:spacing w:val="-1"/>
        </w:rPr>
        <w:t>空间布局</w:t>
      </w:r>
    </w:p>
    <w:p>
      <w:pPr>
        <w:pStyle w:val="BodyText"/>
        <w:spacing w:line="343" w:lineRule="auto" w:before="180"/>
        <w:ind w:right="265" w:firstLine="639"/>
        <w:jc w:val="both"/>
      </w:pPr>
      <w:r>
        <w:rPr>
          <w:spacing w:val="-11"/>
        </w:rPr>
        <w:t>“十三五”期间，统筹全域规划和重大生产力布局，进一步优化城市发展格局、工业发展格局、农业发展格局、第三产业发</w:t>
      </w:r>
      <w:r>
        <w:rPr>
          <w:spacing w:val="-1"/>
        </w:rPr>
        <w:t>展格局和生态空间发展格局，促进区域协调发展。</w:t>
      </w:r>
    </w:p>
    <w:p>
      <w:pPr>
        <w:pStyle w:val="BodyText"/>
        <w:spacing w:line="343" w:lineRule="auto" w:before="43"/>
        <w:ind w:right="266" w:firstLine="639"/>
        <w:jc w:val="both"/>
      </w:pPr>
      <w:r>
        <w:rPr>
          <w:spacing w:val="-25"/>
        </w:rPr>
        <w:t>城市发展格局。按照“北接南限东启西扩”的思路，实施“三</w:t>
      </w:r>
      <w:r>
        <w:rPr>
          <w:spacing w:val="-12"/>
        </w:rPr>
        <w:t>城”同建：在冠英镇建设临港新城，以竹根滩和四望关等旧城区</w:t>
      </w:r>
      <w:r>
        <w:rPr>
          <w:spacing w:val="-11"/>
        </w:rPr>
        <w:t>为核心改造旧城，在两河口、工农街等区域打造古城；依托老工</w:t>
      </w:r>
      <w:r>
        <w:rPr>
          <w:spacing w:val="-10"/>
        </w:rPr>
        <w:t>业基地搬迁改造，加快牛华、杨柳、金山、桥沟、金粟等中心镇建设。</w:t>
      </w:r>
    </w:p>
    <w:p>
      <w:pPr>
        <w:pStyle w:val="BodyText"/>
        <w:spacing w:line="343" w:lineRule="auto" w:before="43"/>
        <w:ind w:right="106" w:firstLine="639"/>
      </w:pPr>
      <w:r>
        <w:rPr>
          <w:spacing w:val="-25"/>
        </w:rPr>
        <w:t>工业发展格局。按照“北抑南拓东限西进”的思路，打造“一</w:t>
      </w:r>
      <w:r>
        <w:rPr>
          <w:spacing w:val="-23"/>
        </w:rPr>
        <w:t>园、两区、四极”。一园：乐山</w:t>
      </w:r>
      <w:r>
        <w:rPr/>
        <w:t>（五通桥</w:t>
      </w:r>
      <w:r>
        <w:rPr>
          <w:spacing w:val="-21"/>
        </w:rPr>
        <w:t>）</w:t>
      </w:r>
      <w:r>
        <w:rPr/>
        <w:t>盐磷化工循环产业园， </w:t>
      </w:r>
      <w:r>
        <w:rPr>
          <w:spacing w:val="-11"/>
        </w:rPr>
        <w:t>构建和邦组团、新华组团、桥沟组团、西坝精细化工区，发展精</w:t>
      </w:r>
      <w:r>
        <w:rPr>
          <w:spacing w:val="-13"/>
        </w:rPr>
        <w:t>细化工。两区：加快建设乐山三江临港经济开发区，发展新能源新材料、现代装备制造、电子信息等新兴产业；依托乐山机场， </w:t>
      </w:r>
      <w:r>
        <w:rPr>
          <w:spacing w:val="-12"/>
        </w:rPr>
        <w:t>在冠英、蔡金建设临空经济区。四个增长极：在桥沟建设现代机</w:t>
      </w:r>
    </w:p>
    <w:p>
      <w:pPr>
        <w:spacing w:after="0" w:line="343" w:lineRule="auto"/>
        <w:sectPr>
          <w:pgSz w:w="11910" w:h="16840"/>
          <w:pgMar w:header="0" w:footer="998" w:top="1560" w:bottom="1180" w:left="1420" w:right="1260"/>
        </w:sectPr>
      </w:pPr>
    </w:p>
    <w:p>
      <w:pPr>
        <w:pStyle w:val="BodyText"/>
        <w:spacing w:line="20" w:lineRule="exact"/>
        <w:ind w:left="113"/>
        <w:rPr>
          <w:sz w:val="2"/>
        </w:rPr>
      </w:pPr>
      <w:r>
        <w:rPr>
          <w:sz w:val="2"/>
        </w:rPr>
        <w:pict>
          <v:group style="width:445.95pt;height:.75pt;mso-position-horizontal-relative:char;mso-position-vertical-relative:line" coordorigin="0,0" coordsize="8919,15">
            <v:line style="position:absolute" from="8,8" to="8912,8" stroked="true" strokeweight=".71997pt" strokecolor="#000000">
              <v:stroke dashstyle="solid"/>
            </v:line>
          </v:group>
        </w:pict>
      </w:r>
      <w:r>
        <w:rPr>
          <w:sz w:val="2"/>
        </w:rPr>
      </w:r>
    </w:p>
    <w:p>
      <w:pPr>
        <w:pStyle w:val="BodyText"/>
        <w:ind w:left="0"/>
        <w:rPr>
          <w:sz w:val="20"/>
        </w:rPr>
      </w:pPr>
    </w:p>
    <w:p>
      <w:pPr>
        <w:pStyle w:val="BodyText"/>
        <w:spacing w:before="12"/>
        <w:ind w:left="0"/>
        <w:rPr>
          <w:sz w:val="13"/>
        </w:rPr>
      </w:pPr>
    </w:p>
    <w:p>
      <w:pPr>
        <w:pStyle w:val="BodyText"/>
        <w:spacing w:line="343" w:lineRule="auto" w:before="2"/>
        <w:ind w:left="151" w:right="139"/>
      </w:pPr>
      <w:r>
        <w:rPr/>
        <w:t>电产业园；在金粟建设稀土产业园；在西坝建设农产品加工园； 在冠英建设新能源汽车产业园。</w:t>
      </w:r>
    </w:p>
    <w:p>
      <w:pPr>
        <w:pStyle w:val="BodyText"/>
        <w:spacing w:line="343" w:lineRule="auto" w:before="43"/>
        <w:ind w:left="151" w:right="105" w:firstLine="639"/>
      </w:pPr>
      <w:r>
        <w:rPr>
          <w:spacing w:val="-12"/>
        </w:rPr>
        <w:t>农业发展格局。打造“三带一业”。三带:依托花木科技园， </w:t>
      </w:r>
      <w:r>
        <w:rPr>
          <w:spacing w:val="-36"/>
        </w:rPr>
        <w:t>打造 </w:t>
      </w:r>
      <w:r>
        <w:rPr/>
        <w:t>10</w:t>
      </w:r>
      <w:r>
        <w:rPr>
          <w:spacing w:val="-20"/>
        </w:rPr>
        <w:t> 万亩花卉产业带；沿河东、河西片区建成 </w:t>
      </w:r>
      <w:r>
        <w:rPr/>
        <w:t>15</w:t>
      </w:r>
      <w:r>
        <w:rPr>
          <w:spacing w:val="-15"/>
        </w:rPr>
        <w:t> 万亩蔬菜基</w:t>
      </w:r>
    </w:p>
    <w:p>
      <w:pPr>
        <w:pStyle w:val="BodyText"/>
        <w:spacing w:line="343" w:lineRule="auto" w:before="43"/>
        <w:ind w:left="151" w:right="172"/>
      </w:pPr>
      <w:r>
        <w:rPr>
          <w:spacing w:val="-16"/>
        </w:rPr>
        <w:t>地；沿金辉路打造 </w:t>
      </w:r>
      <w:r>
        <w:rPr/>
        <w:t>5</w:t>
      </w:r>
      <w:r>
        <w:rPr>
          <w:spacing w:val="-14"/>
        </w:rPr>
        <w:t> 万亩现代茶叶示范区。一业：远离城镇和水</w:t>
      </w:r>
      <w:r>
        <w:rPr>
          <w:spacing w:val="-1"/>
        </w:rPr>
        <w:t>源保护区适度规模发展现代畜牧业。</w:t>
      </w:r>
    </w:p>
    <w:p>
      <w:pPr>
        <w:pStyle w:val="BodyText"/>
        <w:spacing w:line="343" w:lineRule="auto" w:before="43"/>
        <w:ind w:left="151" w:right="265" w:firstLine="639"/>
        <w:jc w:val="both"/>
      </w:pPr>
      <w:r>
        <w:rPr>
          <w:spacing w:val="-11"/>
        </w:rPr>
        <w:t>第三产业发展格局：在临空经济区发展与临空经济相关联的</w:t>
      </w:r>
      <w:r>
        <w:rPr>
          <w:spacing w:val="-12"/>
        </w:rPr>
        <w:t>现代服务业；在三江临港经济开发区建设文旅城，发展现代物流</w:t>
      </w:r>
      <w:r>
        <w:rPr>
          <w:spacing w:val="-11"/>
        </w:rPr>
        <w:t>等新兴服务业；在竹根镇易坝村建设乐山市文化创意产业园；在</w:t>
      </w:r>
      <w:r>
        <w:rPr>
          <w:spacing w:val="-8"/>
        </w:rPr>
        <w:t>中心城区和集镇提升传统服务业。沿花盐街、工农街古镇片区和</w:t>
      </w:r>
      <w:r>
        <w:rPr>
          <w:spacing w:val="-1"/>
        </w:rPr>
        <w:t>桫椤峡谷开发旅游业。</w:t>
      </w:r>
    </w:p>
    <w:p>
      <w:pPr>
        <w:pStyle w:val="BodyText"/>
        <w:spacing w:line="343" w:lineRule="auto" w:before="43"/>
        <w:ind w:left="151" w:right="105" w:firstLine="639"/>
      </w:pPr>
      <w:r>
        <w:rPr>
          <w:spacing w:val="-19"/>
        </w:rPr>
        <w:t>生态空间格局：石麟、金粟、蔡金等为生态保育限制开发区， 重点保护湿地生态系统；竹根、杨柳等为城市环境适宜开发区， </w:t>
      </w:r>
      <w:r>
        <w:rPr>
          <w:spacing w:val="-20"/>
        </w:rPr>
        <w:t>重点加强城市景观绿地系统建设；沿国</w:t>
      </w:r>
      <w:r>
        <w:rPr/>
        <w:t>（省</w:t>
      </w:r>
      <w:r>
        <w:rPr>
          <w:spacing w:val="-20"/>
        </w:rPr>
        <w:t>）</w:t>
      </w:r>
      <w:r>
        <w:rPr>
          <w:spacing w:val="-14"/>
        </w:rPr>
        <w:t>道、江</w:t>
      </w:r>
      <w:r>
        <w:rPr/>
        <w:t>（河</w:t>
      </w:r>
      <w:r>
        <w:rPr>
          <w:spacing w:val="-20"/>
        </w:rPr>
        <w:t>）</w:t>
      </w:r>
      <w:r>
        <w:rPr/>
        <w:t>为绿</w:t>
      </w:r>
      <w:r>
        <w:rPr>
          <w:spacing w:val="-1"/>
        </w:rPr>
        <w:t>色景观廊道。</w:t>
      </w:r>
    </w:p>
    <w:p>
      <w:pPr>
        <w:spacing w:after="0" w:line="343" w:lineRule="auto"/>
        <w:sectPr>
          <w:pgSz w:w="11910" w:h="16840"/>
          <w:pgMar w:header="0" w:footer="998" w:top="1080" w:bottom="1180" w:left="1380" w:right="1260"/>
        </w:sectPr>
      </w:pPr>
    </w:p>
    <w:p>
      <w:pPr>
        <w:pStyle w:val="BodyText"/>
        <w:spacing w:before="11"/>
        <w:ind w:left="0"/>
        <w:rPr>
          <w:rFonts w:ascii="Times New Roman"/>
          <w:sz w:val="26"/>
        </w:rPr>
      </w:pPr>
    </w:p>
    <w:p>
      <w:pPr>
        <w:pStyle w:val="BodyText"/>
        <w:rPr>
          <w:rFonts w:ascii="Times New Roman"/>
          <w:sz w:val="20"/>
        </w:rPr>
      </w:pPr>
      <w:r>
        <w:rPr>
          <w:rFonts w:ascii="Times New Roman"/>
          <w:sz w:val="20"/>
        </w:rPr>
        <w:drawing>
          <wp:inline distT="0" distB="0" distL="0" distR="0">
            <wp:extent cx="6036601" cy="7650956"/>
            <wp:effectExtent l="0" t="0" r="0" b="0"/>
            <wp:docPr id="3" name="image2.jpeg" descr=""/>
            <wp:cNvGraphicFramePr>
              <a:graphicFrameLocks noChangeAspect="1"/>
            </wp:cNvGraphicFramePr>
            <a:graphic>
              <a:graphicData uri="http://schemas.openxmlformats.org/drawingml/2006/picture">
                <pic:pic>
                  <pic:nvPicPr>
                    <pic:cNvPr id="4" name="image2.jpeg"/>
                    <pic:cNvPicPr/>
                  </pic:nvPicPr>
                  <pic:blipFill>
                    <a:blip r:embed="rId11" cstate="print"/>
                    <a:stretch>
                      <a:fillRect/>
                    </a:stretch>
                  </pic:blipFill>
                  <pic:spPr>
                    <a:xfrm>
                      <a:off x="0" y="0"/>
                      <a:ext cx="6036601" cy="7650956"/>
                    </a:xfrm>
                    <a:prstGeom prst="rect">
                      <a:avLst/>
                    </a:prstGeom>
                  </pic:spPr>
                </pic:pic>
              </a:graphicData>
            </a:graphic>
          </wp:inline>
        </w:drawing>
      </w:r>
      <w:r>
        <w:rPr>
          <w:rFonts w:ascii="Times New Roman"/>
          <w:sz w:val="20"/>
        </w:rPr>
      </w:r>
    </w:p>
    <w:p>
      <w:pPr>
        <w:spacing w:after="0"/>
        <w:rPr>
          <w:rFonts w:ascii="Times New Roman"/>
          <w:sz w:val="20"/>
        </w:rPr>
        <w:sectPr>
          <w:pgSz w:w="11910" w:h="16840"/>
          <w:pgMar w:header="0" w:footer="998" w:top="1600" w:bottom="1120" w:left="880" w:right="1160"/>
        </w:sectPr>
      </w:pPr>
    </w:p>
    <w:p>
      <w:pPr>
        <w:pStyle w:val="BodyText"/>
        <w:spacing w:line="20" w:lineRule="exact"/>
        <w:ind w:left="473"/>
        <w:rPr>
          <w:rFonts w:ascii="Times New Roman"/>
          <w:sz w:val="2"/>
        </w:rPr>
      </w:pPr>
      <w:r>
        <w:rPr>
          <w:rFonts w:ascii="Times New Roman"/>
          <w:sz w:val="2"/>
        </w:rPr>
        <w:pict>
          <v:group style="width:445.95pt;height:.75pt;mso-position-horizontal-relative:char;mso-position-vertical-relative:line" coordorigin="0,0" coordsize="8919,15">
            <v:line style="position:absolute" from="8,8" to="8912,8" stroked="true" strokeweight=".71997pt" strokecolor="#000000">
              <v:stroke dashstyle="solid"/>
            </v:line>
          </v:group>
        </w:pict>
      </w:r>
      <w:r>
        <w:rPr>
          <w:rFonts w:ascii="Times New Roman"/>
          <w:sz w:val="2"/>
        </w:rPr>
      </w:r>
    </w:p>
    <w:p>
      <w:pPr>
        <w:pStyle w:val="BodyText"/>
        <w:ind w:left="0"/>
        <w:rPr>
          <w:rFonts w:ascii="Times New Roman"/>
          <w:sz w:val="20"/>
        </w:rPr>
      </w:pPr>
    </w:p>
    <w:p>
      <w:pPr>
        <w:pStyle w:val="BodyText"/>
        <w:ind w:left="0"/>
        <w:rPr>
          <w:rFonts w:ascii="Times New Roman"/>
          <w:sz w:val="20"/>
        </w:rPr>
      </w:pPr>
    </w:p>
    <w:p>
      <w:pPr>
        <w:pStyle w:val="BodyText"/>
        <w:ind w:left="0"/>
        <w:rPr>
          <w:rFonts w:ascii="Times New Roman"/>
          <w:sz w:val="27"/>
        </w:rPr>
      </w:pPr>
      <w:r>
        <w:rPr/>
        <w:drawing>
          <wp:anchor distT="0" distB="0" distL="0" distR="0" allowOverlap="1" layoutInCell="1" locked="0" behindDoc="0" simplePos="0" relativeHeight="5560">
            <wp:simplePos x="0" y="0"/>
            <wp:positionH relativeFrom="page">
              <wp:posOffset>720090</wp:posOffset>
            </wp:positionH>
            <wp:positionV relativeFrom="paragraph">
              <wp:posOffset>222528</wp:posOffset>
            </wp:positionV>
            <wp:extent cx="6116768" cy="7735824"/>
            <wp:effectExtent l="0" t="0" r="0" b="0"/>
            <wp:wrapTopAndBottom/>
            <wp:docPr id="5" name="image3.jpeg" descr=""/>
            <wp:cNvGraphicFramePr>
              <a:graphicFrameLocks noChangeAspect="1"/>
            </wp:cNvGraphicFramePr>
            <a:graphic>
              <a:graphicData uri="http://schemas.openxmlformats.org/drawingml/2006/picture">
                <pic:pic>
                  <pic:nvPicPr>
                    <pic:cNvPr id="6" name="image3.jpeg"/>
                    <pic:cNvPicPr/>
                  </pic:nvPicPr>
                  <pic:blipFill>
                    <a:blip r:embed="rId12" cstate="print"/>
                    <a:stretch>
                      <a:fillRect/>
                    </a:stretch>
                  </pic:blipFill>
                  <pic:spPr>
                    <a:xfrm>
                      <a:off x="0" y="0"/>
                      <a:ext cx="6116768" cy="7735824"/>
                    </a:xfrm>
                    <a:prstGeom prst="rect">
                      <a:avLst/>
                    </a:prstGeom>
                  </pic:spPr>
                </pic:pic>
              </a:graphicData>
            </a:graphic>
          </wp:anchor>
        </w:drawing>
      </w:r>
    </w:p>
    <w:p>
      <w:pPr>
        <w:spacing w:after="0"/>
        <w:rPr>
          <w:rFonts w:ascii="Times New Roman"/>
          <w:sz w:val="27"/>
        </w:rPr>
        <w:sectPr>
          <w:pgSz w:w="11910" w:h="16840"/>
          <w:pgMar w:header="0" w:footer="998" w:top="1080" w:bottom="1120" w:left="1020" w:right="1020"/>
        </w:sectPr>
      </w:pPr>
    </w:p>
    <w:p>
      <w:pPr>
        <w:pStyle w:val="BodyText"/>
        <w:ind w:left="0"/>
        <w:rPr>
          <w:rFonts w:ascii="Times New Roman"/>
          <w:sz w:val="20"/>
        </w:rPr>
      </w:pPr>
    </w:p>
    <w:p>
      <w:pPr>
        <w:pStyle w:val="BodyText"/>
        <w:spacing w:before="4"/>
        <w:ind w:left="0"/>
        <w:rPr>
          <w:rFonts w:ascii="Times New Roman"/>
          <w:sz w:val="20"/>
        </w:rPr>
      </w:pPr>
    </w:p>
    <w:p>
      <w:pPr>
        <w:pStyle w:val="BodyText"/>
        <w:rPr>
          <w:rFonts w:ascii="Times New Roman"/>
          <w:sz w:val="20"/>
        </w:rPr>
      </w:pPr>
      <w:r>
        <w:rPr>
          <w:rFonts w:ascii="Times New Roman"/>
          <w:sz w:val="20"/>
        </w:rPr>
        <w:drawing>
          <wp:inline distT="0" distB="0" distL="0" distR="0">
            <wp:extent cx="6029502" cy="7620952"/>
            <wp:effectExtent l="0" t="0" r="0" b="0"/>
            <wp:docPr id="7" name="image4.jpeg" descr=""/>
            <wp:cNvGraphicFramePr>
              <a:graphicFrameLocks noChangeAspect="1"/>
            </wp:cNvGraphicFramePr>
            <a:graphic>
              <a:graphicData uri="http://schemas.openxmlformats.org/drawingml/2006/picture">
                <pic:pic>
                  <pic:nvPicPr>
                    <pic:cNvPr id="8" name="image4.jpeg"/>
                    <pic:cNvPicPr/>
                  </pic:nvPicPr>
                  <pic:blipFill>
                    <a:blip r:embed="rId13" cstate="print"/>
                    <a:stretch>
                      <a:fillRect/>
                    </a:stretch>
                  </pic:blipFill>
                  <pic:spPr>
                    <a:xfrm>
                      <a:off x="0" y="0"/>
                      <a:ext cx="6029502" cy="7620952"/>
                    </a:xfrm>
                    <a:prstGeom prst="rect">
                      <a:avLst/>
                    </a:prstGeom>
                  </pic:spPr>
                </pic:pic>
              </a:graphicData>
            </a:graphic>
          </wp:inline>
        </w:drawing>
      </w:r>
      <w:r>
        <w:rPr>
          <w:rFonts w:ascii="Times New Roman"/>
          <w:sz w:val="20"/>
        </w:rPr>
      </w:r>
    </w:p>
    <w:p>
      <w:pPr>
        <w:spacing w:after="0"/>
        <w:rPr>
          <w:rFonts w:ascii="Times New Roman"/>
          <w:sz w:val="20"/>
        </w:rPr>
        <w:sectPr>
          <w:pgSz w:w="11910" w:h="16840"/>
          <w:pgMar w:header="0" w:footer="998" w:top="1600" w:bottom="1120" w:left="880" w:right="1160"/>
        </w:sectPr>
      </w:pPr>
    </w:p>
    <w:p>
      <w:pPr>
        <w:pStyle w:val="BodyText"/>
        <w:spacing w:line="20" w:lineRule="exact"/>
        <w:ind w:left="473"/>
        <w:rPr>
          <w:rFonts w:ascii="Times New Roman"/>
          <w:sz w:val="2"/>
        </w:rPr>
      </w:pPr>
      <w:r>
        <w:rPr>
          <w:rFonts w:ascii="Times New Roman"/>
          <w:sz w:val="2"/>
        </w:rPr>
        <w:pict>
          <v:group style="width:445.95pt;height:.75pt;mso-position-horizontal-relative:char;mso-position-vertical-relative:line" coordorigin="0,0" coordsize="8919,15">
            <v:line style="position:absolute" from="8,8" to="8912,8" stroked="true" strokeweight=".71997pt" strokecolor="#000000">
              <v:stroke dashstyle="solid"/>
            </v:line>
          </v:group>
        </w:pict>
      </w:r>
      <w:r>
        <w:rPr>
          <w:rFonts w:ascii="Times New Roman"/>
          <w:sz w:val="2"/>
        </w:rPr>
      </w:r>
    </w:p>
    <w:p>
      <w:pPr>
        <w:pStyle w:val="BodyText"/>
        <w:ind w:left="0"/>
        <w:rPr>
          <w:rFonts w:ascii="Times New Roman"/>
          <w:sz w:val="20"/>
        </w:rPr>
      </w:pPr>
    </w:p>
    <w:p>
      <w:pPr>
        <w:pStyle w:val="BodyText"/>
        <w:ind w:left="0"/>
        <w:rPr>
          <w:rFonts w:ascii="Times New Roman"/>
          <w:sz w:val="20"/>
        </w:rPr>
      </w:pPr>
    </w:p>
    <w:p>
      <w:pPr>
        <w:pStyle w:val="BodyText"/>
        <w:ind w:left="0"/>
        <w:rPr>
          <w:rFonts w:ascii="Times New Roman"/>
          <w:sz w:val="20"/>
        </w:rPr>
      </w:pPr>
    </w:p>
    <w:p>
      <w:pPr>
        <w:pStyle w:val="BodyText"/>
        <w:ind w:left="0"/>
        <w:rPr>
          <w:rFonts w:ascii="Times New Roman"/>
          <w:sz w:val="20"/>
        </w:rPr>
      </w:pPr>
    </w:p>
    <w:p>
      <w:pPr>
        <w:pStyle w:val="BodyText"/>
        <w:spacing w:before="11"/>
        <w:ind w:left="0"/>
        <w:rPr>
          <w:rFonts w:ascii="Times New Roman"/>
          <w:sz w:val="22"/>
        </w:rPr>
      </w:pPr>
      <w:r>
        <w:rPr/>
        <w:drawing>
          <wp:anchor distT="0" distB="0" distL="0" distR="0" allowOverlap="1" layoutInCell="1" locked="0" behindDoc="0" simplePos="0" relativeHeight="5608">
            <wp:simplePos x="0" y="0"/>
            <wp:positionH relativeFrom="page">
              <wp:posOffset>720090</wp:posOffset>
            </wp:positionH>
            <wp:positionV relativeFrom="paragraph">
              <wp:posOffset>192581</wp:posOffset>
            </wp:positionV>
            <wp:extent cx="6030753" cy="7620952"/>
            <wp:effectExtent l="0" t="0" r="0" b="0"/>
            <wp:wrapTopAndBottom/>
            <wp:docPr id="9" name="image5.jpeg" descr=""/>
            <wp:cNvGraphicFramePr>
              <a:graphicFrameLocks noChangeAspect="1"/>
            </wp:cNvGraphicFramePr>
            <a:graphic>
              <a:graphicData uri="http://schemas.openxmlformats.org/drawingml/2006/picture">
                <pic:pic>
                  <pic:nvPicPr>
                    <pic:cNvPr id="10" name="image5.jpeg"/>
                    <pic:cNvPicPr/>
                  </pic:nvPicPr>
                  <pic:blipFill>
                    <a:blip r:embed="rId14" cstate="print"/>
                    <a:stretch>
                      <a:fillRect/>
                    </a:stretch>
                  </pic:blipFill>
                  <pic:spPr>
                    <a:xfrm>
                      <a:off x="0" y="0"/>
                      <a:ext cx="6030753" cy="7620952"/>
                    </a:xfrm>
                    <a:prstGeom prst="rect">
                      <a:avLst/>
                    </a:prstGeom>
                  </pic:spPr>
                </pic:pic>
              </a:graphicData>
            </a:graphic>
          </wp:anchor>
        </w:drawing>
      </w:r>
    </w:p>
    <w:p>
      <w:pPr>
        <w:spacing w:after="0"/>
        <w:rPr>
          <w:rFonts w:ascii="Times New Roman"/>
          <w:sz w:val="22"/>
        </w:rPr>
        <w:sectPr>
          <w:pgSz w:w="11910" w:h="16840"/>
          <w:pgMar w:header="0" w:footer="998" w:top="1080" w:bottom="1120" w:left="1020" w:right="1020"/>
        </w:sectPr>
      </w:pPr>
    </w:p>
    <w:p>
      <w:pPr>
        <w:pStyle w:val="BodyText"/>
        <w:ind w:left="0"/>
        <w:rPr>
          <w:rFonts w:ascii="Times New Roman"/>
          <w:sz w:val="20"/>
        </w:rPr>
      </w:pPr>
    </w:p>
    <w:p>
      <w:pPr>
        <w:pStyle w:val="BodyText"/>
        <w:ind w:left="0"/>
        <w:rPr>
          <w:rFonts w:ascii="Times New Roman"/>
          <w:sz w:val="20"/>
        </w:rPr>
      </w:pPr>
    </w:p>
    <w:p>
      <w:pPr>
        <w:pStyle w:val="BodyText"/>
        <w:spacing w:before="10"/>
        <w:ind w:left="0"/>
        <w:rPr>
          <w:rFonts w:ascii="Times New Roman"/>
          <w:sz w:val="22"/>
        </w:rPr>
      </w:pPr>
    </w:p>
    <w:p>
      <w:pPr>
        <w:pStyle w:val="BodyText"/>
        <w:ind w:left="112"/>
        <w:rPr>
          <w:rFonts w:ascii="Times New Roman"/>
          <w:sz w:val="20"/>
        </w:rPr>
      </w:pPr>
      <w:r>
        <w:rPr>
          <w:rFonts w:ascii="Times New Roman"/>
          <w:sz w:val="20"/>
        </w:rPr>
        <w:drawing>
          <wp:inline distT="0" distB="0" distL="0" distR="0">
            <wp:extent cx="6030703" cy="7620952"/>
            <wp:effectExtent l="0" t="0" r="0" b="0"/>
            <wp:docPr id="11" name="image6.jpeg" descr=""/>
            <wp:cNvGraphicFramePr>
              <a:graphicFrameLocks noChangeAspect="1"/>
            </wp:cNvGraphicFramePr>
            <a:graphic>
              <a:graphicData uri="http://schemas.openxmlformats.org/drawingml/2006/picture">
                <pic:pic>
                  <pic:nvPicPr>
                    <pic:cNvPr id="12" name="image6.jpeg"/>
                    <pic:cNvPicPr/>
                  </pic:nvPicPr>
                  <pic:blipFill>
                    <a:blip r:embed="rId15" cstate="print"/>
                    <a:stretch>
                      <a:fillRect/>
                    </a:stretch>
                  </pic:blipFill>
                  <pic:spPr>
                    <a:xfrm>
                      <a:off x="0" y="0"/>
                      <a:ext cx="6030703" cy="7620952"/>
                    </a:xfrm>
                    <a:prstGeom prst="rect">
                      <a:avLst/>
                    </a:prstGeom>
                  </pic:spPr>
                </pic:pic>
              </a:graphicData>
            </a:graphic>
          </wp:inline>
        </w:drawing>
      </w:r>
      <w:r>
        <w:rPr>
          <w:rFonts w:ascii="Times New Roman"/>
          <w:sz w:val="20"/>
        </w:rPr>
      </w:r>
    </w:p>
    <w:p>
      <w:pPr>
        <w:spacing w:after="0"/>
        <w:rPr>
          <w:rFonts w:ascii="Times New Roman"/>
          <w:sz w:val="20"/>
        </w:rPr>
        <w:sectPr>
          <w:pgSz w:w="11910" w:h="16840"/>
          <w:pgMar w:header="0" w:footer="998" w:top="1600" w:bottom="1120" w:left="1020" w:right="1020"/>
        </w:sectPr>
      </w:pPr>
    </w:p>
    <w:p>
      <w:pPr>
        <w:pStyle w:val="BodyText"/>
        <w:spacing w:line="20" w:lineRule="exact"/>
        <w:ind w:left="113"/>
        <w:rPr>
          <w:rFonts w:ascii="Times New Roman"/>
          <w:sz w:val="2"/>
        </w:rPr>
      </w:pPr>
      <w:r>
        <w:rPr>
          <w:rFonts w:ascii="Times New Roman"/>
          <w:sz w:val="2"/>
        </w:rPr>
        <w:pict>
          <v:group style="width:445.95pt;height:.75pt;mso-position-horizontal-relative:char;mso-position-vertical-relative:line" coordorigin="0,0" coordsize="8919,15">
            <v:line style="position:absolute" from="8,8" to="8912,8" stroked="true" strokeweight=".71997pt" strokecolor="#000000">
              <v:stroke dashstyle="solid"/>
            </v:line>
          </v:group>
        </w:pict>
      </w:r>
      <w:r>
        <w:rPr>
          <w:rFonts w:ascii="Times New Roman"/>
          <w:sz w:val="2"/>
        </w:rPr>
      </w:r>
    </w:p>
    <w:p>
      <w:pPr>
        <w:pStyle w:val="BodyText"/>
        <w:ind w:left="0"/>
        <w:rPr>
          <w:rFonts w:ascii="Times New Roman"/>
          <w:sz w:val="20"/>
        </w:rPr>
      </w:pPr>
    </w:p>
    <w:p>
      <w:pPr>
        <w:pStyle w:val="BodyText"/>
        <w:spacing w:before="8"/>
        <w:ind w:left="0"/>
        <w:rPr>
          <w:rFonts w:ascii="Times New Roman"/>
          <w:sz w:val="15"/>
        </w:rPr>
      </w:pPr>
    </w:p>
    <w:p>
      <w:pPr>
        <w:pStyle w:val="Heading2"/>
        <w:tabs>
          <w:tab w:pos="1439" w:val="left" w:leader="none"/>
        </w:tabs>
        <w:spacing w:line="460" w:lineRule="exact"/>
        <w:ind w:right="117"/>
      </w:pPr>
      <w:r>
        <w:rPr/>
        <w:t>第六章</w:t>
        <w:tab/>
        <w:t>发展目标</w:t>
      </w:r>
    </w:p>
    <w:p>
      <w:pPr>
        <w:pStyle w:val="BodyText"/>
        <w:spacing w:line="343" w:lineRule="auto" w:before="175"/>
        <w:ind w:left="151" w:right="149" w:firstLine="639"/>
        <w:jc w:val="both"/>
      </w:pPr>
      <w:r>
        <w:rPr>
          <w:spacing w:val="-7"/>
        </w:rPr>
        <w:t>紧紧围绕全面建成小康社会宏伟目标，综合考虑未来五年发</w:t>
      </w:r>
      <w:r>
        <w:rPr>
          <w:spacing w:val="-13"/>
          <w:w w:val="100"/>
        </w:rPr>
        <w:t>展趋势，“十三五”时期全区经济社会发展的总体目标是：加快</w:t>
      </w:r>
      <w:r>
        <w:rPr>
          <w:spacing w:val="-9"/>
        </w:rPr>
        <w:t>建设智慧五通桥、和谐五通桥、美丽五通桥、活力五通桥、幸福</w:t>
      </w:r>
      <w:r>
        <w:rPr>
          <w:spacing w:val="-14"/>
        </w:rPr>
        <w:t>五通桥，全区地区生产总值、人均地区生产总值、城乡居民人均</w:t>
      </w:r>
      <w:r>
        <w:rPr>
          <w:spacing w:val="-21"/>
        </w:rPr>
        <w:t>可支配收入在 </w:t>
      </w:r>
      <w:r>
        <w:rPr/>
        <w:t>2010</w:t>
      </w:r>
      <w:r>
        <w:rPr>
          <w:spacing w:val="-9"/>
        </w:rPr>
        <w:t> 年基础上实现翻番，力争城乡居民人均可支</w:t>
      </w:r>
      <w:r>
        <w:rPr>
          <w:spacing w:val="-2"/>
        </w:rPr>
        <w:t>配收入达到全国平均水平，先于全省、全市全面建成小康社会。</w:t>
      </w:r>
    </w:p>
    <w:p>
      <w:pPr>
        <w:pStyle w:val="BodyText"/>
        <w:spacing w:line="343" w:lineRule="auto" w:before="43"/>
        <w:ind w:left="151" w:right="105" w:firstLine="639"/>
      </w:pPr>
      <w:r>
        <w:rPr>
          <w:spacing w:val="-7"/>
        </w:rPr>
        <w:t>——综合经济实力显著增强。地区生产总值年均增长 </w:t>
      </w:r>
      <w:r>
        <w:rPr/>
        <w:t>8.5%； </w:t>
      </w:r>
      <w:r>
        <w:rPr>
          <w:spacing w:val="0"/>
        </w:rPr>
        <w:t>规模以上工业增加值年均增长 </w:t>
      </w:r>
      <w:r>
        <w:rPr/>
        <w:t>9%；全社会固定资产投资五年累</w:t>
      </w:r>
      <w:r>
        <w:rPr>
          <w:spacing w:val="-12"/>
        </w:rPr>
        <w:t>计达到 </w:t>
      </w:r>
      <w:r>
        <w:rPr/>
        <w:t>700</w:t>
      </w:r>
      <w:r>
        <w:rPr>
          <w:spacing w:val="-9"/>
        </w:rPr>
        <w:t> 亿元；地方一般公共预算收入年均增长 </w:t>
      </w:r>
      <w:r>
        <w:rPr/>
        <w:t>5.5%；社会</w:t>
      </w:r>
      <w:r>
        <w:rPr>
          <w:spacing w:val="-7"/>
        </w:rPr>
        <w:t>消费品零售总额年均增长 </w:t>
      </w:r>
      <w:r>
        <w:rPr>
          <w:spacing w:val="-10"/>
        </w:rPr>
        <w:t>13%</w:t>
      </w:r>
      <w:r>
        <w:rPr>
          <w:spacing w:val="-3"/>
        </w:rPr>
        <w:t>；农村居民人均可支配收入年均增</w:t>
      </w:r>
      <w:r>
        <w:rPr>
          <w:spacing w:val="-46"/>
        </w:rPr>
        <w:t>长 </w:t>
      </w:r>
      <w:r>
        <w:rPr/>
        <w:t>10.5%；</w:t>
      </w:r>
      <w:r>
        <w:rPr>
          <w:spacing w:val="-6"/>
        </w:rPr>
        <w:t>城镇居民人均可支配收入年均增长 </w:t>
      </w:r>
      <w:r>
        <w:rPr/>
        <w:t>9.5%。</w:t>
      </w:r>
    </w:p>
    <w:p>
      <w:pPr>
        <w:pStyle w:val="BodyText"/>
        <w:spacing w:line="343" w:lineRule="auto" w:before="43"/>
        <w:ind w:left="151" w:right="105" w:firstLine="639"/>
      </w:pPr>
      <w:r>
        <w:rPr/>
        <w:t>——结构调整取得重大突破。大幅提高服务业增加值比重， </w:t>
      </w:r>
      <w:r>
        <w:rPr>
          <w:spacing w:val="-22"/>
        </w:rPr>
        <w:t>力争到 </w:t>
      </w:r>
      <w:r>
        <w:rPr/>
        <w:t>2020</w:t>
      </w:r>
      <w:r>
        <w:rPr>
          <w:spacing w:val="-35"/>
        </w:rPr>
        <w:t> 年达到 </w:t>
      </w:r>
      <w:r>
        <w:rPr/>
        <w:t>30%</w:t>
      </w:r>
      <w:r>
        <w:rPr>
          <w:spacing w:val="-7"/>
        </w:rPr>
        <w:t>左右。工业结构进一步优化，盐磷化工、</w:t>
      </w:r>
      <w:r>
        <w:rPr>
          <w:spacing w:val="-13"/>
        </w:rPr>
        <w:t>硅材料、稀土应用、机电产品制造四大支柱产业完成向中高端方</w:t>
      </w:r>
      <w:r>
        <w:rPr>
          <w:spacing w:val="-2"/>
        </w:rPr>
        <w:t>向的转变。新兴产业逐步发展成为优势产业、支柱产业。</w:t>
      </w:r>
    </w:p>
    <w:p>
      <w:pPr>
        <w:pStyle w:val="BodyText"/>
        <w:spacing w:line="343" w:lineRule="auto" w:before="43"/>
        <w:ind w:left="151" w:right="264" w:firstLine="639"/>
        <w:jc w:val="both"/>
      </w:pPr>
      <w:r>
        <w:rPr>
          <w:spacing w:val="-6"/>
          <w:w w:val="100"/>
        </w:rPr>
        <w:t>——创新驱动迈出更大步伐。科技创新能力大幅提升，“十</w:t>
      </w:r>
      <w:r>
        <w:rPr>
          <w:spacing w:val="-12"/>
        </w:rPr>
        <w:t>三五”期间全区总体进入创新驱动发展阶段，科技创新体系逐步完善，深入推进国家可持续发展实验区建设，科技和经济社会发</w:t>
      </w:r>
      <w:r>
        <w:rPr>
          <w:spacing w:val="-14"/>
        </w:rPr>
        <w:t>展深度融合，科技进步对经济增长贡献率达 </w:t>
      </w:r>
      <w:r>
        <w:rPr/>
        <w:t>60%</w:t>
      </w:r>
      <w:r>
        <w:rPr>
          <w:spacing w:val="-5"/>
        </w:rPr>
        <w:t>以上。全区高新</w:t>
      </w:r>
      <w:r>
        <w:rPr>
          <w:spacing w:val="-11"/>
        </w:rPr>
        <w:t>技术产业产值占工业总产值比重达到 </w:t>
      </w:r>
      <w:r>
        <w:rPr/>
        <w:t>62%</w:t>
      </w:r>
      <w:r>
        <w:rPr>
          <w:spacing w:val="-6"/>
        </w:rPr>
        <w:t>以上。每万人口发明专</w:t>
      </w:r>
      <w:r>
        <w:rPr>
          <w:spacing w:val="-17"/>
        </w:rPr>
        <w:t>利授权数达到 </w:t>
      </w:r>
      <w:r>
        <w:rPr/>
        <w:t>3</w:t>
      </w:r>
      <w:r>
        <w:rPr>
          <w:spacing w:val="-28"/>
        </w:rPr>
        <w:t> 件。</w:t>
      </w:r>
    </w:p>
    <w:p>
      <w:pPr>
        <w:pStyle w:val="BodyText"/>
        <w:spacing w:before="43"/>
        <w:ind w:left="790"/>
      </w:pPr>
      <w:r>
        <w:rPr/>
        <w:t>——可持续发展能力进一步增强。人口、资源、环境与经济</w:t>
      </w:r>
    </w:p>
    <w:p>
      <w:pPr>
        <w:spacing w:after="0"/>
        <w:sectPr>
          <w:pgSz w:w="11910" w:h="16840"/>
          <w:pgMar w:header="0" w:footer="998" w:top="1080" w:bottom="1120" w:left="1380" w:right="1260"/>
        </w:sectPr>
      </w:pPr>
    </w:p>
    <w:p>
      <w:pPr>
        <w:pStyle w:val="BodyText"/>
        <w:spacing w:line="405" w:lineRule="exact"/>
        <w:jc w:val="both"/>
      </w:pPr>
      <w:r>
        <w:rPr>
          <w:spacing w:val="-9"/>
        </w:rPr>
        <w:t>发展日趋协调。城镇化率达到 </w:t>
      </w:r>
      <w:r>
        <w:rPr/>
        <w:t>60%</w:t>
      </w:r>
      <w:r>
        <w:rPr>
          <w:spacing w:val="-6"/>
        </w:rPr>
        <w:t>。城镇垃圾、污水处理率分别</w:t>
      </w:r>
    </w:p>
    <w:p>
      <w:pPr>
        <w:pStyle w:val="BodyText"/>
        <w:spacing w:line="343" w:lineRule="auto" w:before="181"/>
        <w:ind w:right="106"/>
        <w:jc w:val="both"/>
      </w:pPr>
      <w:r>
        <w:rPr>
          <w:spacing w:val="-18"/>
        </w:rPr>
        <w:t>达到 </w:t>
      </w:r>
      <w:r>
        <w:rPr/>
        <w:t>100%</w:t>
      </w:r>
      <w:r>
        <w:rPr>
          <w:spacing w:val="-27"/>
        </w:rPr>
        <w:t>和 </w:t>
      </w:r>
      <w:r>
        <w:rPr/>
        <w:t>95%</w:t>
      </w:r>
      <w:r>
        <w:rPr>
          <w:spacing w:val="-5"/>
        </w:rPr>
        <w:t>以上。森林覆盖率达到 </w:t>
      </w:r>
      <w:r>
        <w:rPr/>
        <w:t>36.54%</w:t>
      </w:r>
      <w:r>
        <w:rPr>
          <w:spacing w:val="-14"/>
        </w:rPr>
        <w:t>。万元 </w:t>
      </w:r>
      <w:r>
        <w:rPr/>
        <w:t>GDP</w:t>
      </w:r>
      <w:r>
        <w:rPr>
          <w:spacing w:val="-28"/>
        </w:rPr>
        <w:t> 综合</w:t>
      </w:r>
      <w:r>
        <w:rPr>
          <w:spacing w:val="-35"/>
        </w:rPr>
        <w:t>能耗五年累计下降 </w:t>
      </w:r>
      <w:r>
        <w:rPr>
          <w:spacing w:val="-4"/>
        </w:rPr>
        <w:t>15%</w:t>
      </w:r>
      <w:r>
        <w:rPr>
          <w:spacing w:val="-6"/>
        </w:rPr>
        <w:t>，二氧化硫、化学需氧量、氨氮、氮氧化</w:t>
      </w:r>
      <w:r>
        <w:rPr>
          <w:spacing w:val="-1"/>
        </w:rPr>
        <w:t>物排放量达到市下标准，环境质量进一步提高。</w:t>
      </w:r>
    </w:p>
    <w:p>
      <w:pPr>
        <w:pStyle w:val="BodyText"/>
        <w:spacing w:line="343" w:lineRule="auto" w:before="43"/>
        <w:ind w:right="104" w:firstLine="639"/>
        <w:jc w:val="both"/>
      </w:pPr>
      <w:r>
        <w:rPr>
          <w:spacing w:val="-9"/>
        </w:rPr>
        <w:t>——人民生活水平和质量普遍提高。人均地区生产总值年均</w:t>
      </w:r>
      <w:r>
        <w:rPr>
          <w:spacing w:val="-34"/>
        </w:rPr>
        <w:t>增长 </w:t>
      </w:r>
      <w:r>
        <w:rPr>
          <w:spacing w:val="-13"/>
        </w:rPr>
        <w:t>8.5%</w:t>
      </w:r>
      <w:r>
        <w:rPr>
          <w:spacing w:val="-9"/>
        </w:rPr>
        <w:t>，城乡居民人均可支配收入年均增长 </w:t>
      </w:r>
      <w:r>
        <w:rPr/>
        <w:t>10%</w:t>
      </w:r>
      <w:r>
        <w:rPr>
          <w:spacing w:val="-10"/>
        </w:rPr>
        <w:t>。基本实现充</w:t>
      </w:r>
      <w:r>
        <w:rPr>
          <w:spacing w:val="-9"/>
        </w:rPr>
        <w:t>分就业，五年新增就业人数达 </w:t>
      </w:r>
      <w:r>
        <w:rPr/>
        <w:t>2 万人，城镇登记失业率控制在</w:t>
      </w:r>
    </w:p>
    <w:p>
      <w:pPr>
        <w:pStyle w:val="BodyText"/>
        <w:spacing w:line="343" w:lineRule="auto" w:before="43"/>
        <w:ind w:right="105"/>
        <w:jc w:val="both"/>
      </w:pPr>
      <w:r>
        <w:rPr>
          <w:spacing w:val="-1"/>
        </w:rPr>
        <w:t>4.2%</w:t>
      </w:r>
      <w:r>
        <w:rPr>
          <w:spacing w:val="-12"/>
        </w:rPr>
        <w:t>以内。基本实现城乡居民“五险”全覆盖。教育事业协调发展，教育质量明显提高。城乡居民医疗保健水平普遍提高，人人</w:t>
      </w:r>
      <w:r>
        <w:rPr>
          <w:spacing w:val="-10"/>
        </w:rPr>
        <w:t>享有优质的基本医疗卫生服务。文化产业占地区生产总值比重达</w:t>
      </w:r>
      <w:r>
        <w:rPr>
          <w:spacing w:val="-10"/>
          <w:w w:val="100"/>
        </w:rPr>
        <w:t>到</w:t>
      </w:r>
      <w:r>
        <w:rPr>
          <w:spacing w:val="-10"/>
        </w:rPr>
        <w:t> </w:t>
      </w:r>
      <w:r>
        <w:rPr>
          <w:spacing w:val="-1"/>
          <w:w w:val="100"/>
        </w:rPr>
        <w:t>5.1%</w:t>
      </w:r>
      <w:r>
        <w:rPr>
          <w:spacing w:val="-15"/>
          <w:w w:val="100"/>
        </w:rPr>
        <w:t>，“文化强区”建设取得阶段性成果。全面完成</w:t>
      </w:r>
      <w:r>
        <w:rPr>
          <w:spacing w:val="-15"/>
        </w:rPr>
        <w:t> </w:t>
      </w:r>
      <w:r>
        <w:rPr>
          <w:spacing w:val="-1"/>
          <w:w w:val="100"/>
        </w:rPr>
        <w:t>200</w:t>
      </w:r>
      <w:r>
        <w:rPr>
          <w:w w:val="100"/>
        </w:rPr>
        <w:t>0</w:t>
      </w:r>
      <w:r>
        <w:rPr/>
        <w:t> </w:t>
      </w:r>
      <w:r>
        <w:rPr>
          <w:w w:val="100"/>
        </w:rPr>
        <w:t>余</w:t>
      </w:r>
      <w:r>
        <w:rPr/>
        <w:t>名精准贫困人口脱贫任务，29 个市列贫困村全部摘帽。社会治</w:t>
      </w:r>
      <w:r>
        <w:rPr>
          <w:spacing w:val="-10"/>
        </w:rPr>
        <w:t>安和安全生产状况良好，依法治区深入推进，民主法治和精神文</w:t>
      </w:r>
      <w:r>
        <w:rPr>
          <w:spacing w:val="-1"/>
        </w:rPr>
        <w:t>明建设等取得新进展。</w:t>
      </w:r>
    </w:p>
    <w:p>
      <w:pPr>
        <w:spacing w:after="0" w:line="343" w:lineRule="auto"/>
        <w:jc w:val="both"/>
        <w:sectPr>
          <w:pgSz w:w="11910" w:h="16840"/>
          <w:pgMar w:header="0" w:footer="998" w:top="1560" w:bottom="1120" w:left="1420" w:right="1420"/>
        </w:sectPr>
      </w:pPr>
    </w:p>
    <w:p>
      <w:pPr>
        <w:pStyle w:val="BodyText"/>
        <w:spacing w:line="405" w:lineRule="exact"/>
        <w:ind w:left="2132"/>
        <w:rPr>
          <w:rFonts w:ascii="黑体" w:hAnsi="黑体" w:eastAsia="黑体" w:hint="eastAsia"/>
        </w:rPr>
      </w:pPr>
      <w:r>
        <w:rPr>
          <w:rFonts w:ascii="黑体" w:hAnsi="黑体" w:eastAsia="黑体" w:hint="eastAsia"/>
          <w:spacing w:val="-15"/>
          <w:w w:val="100"/>
        </w:rPr>
        <w:t>专栏：“十三五”时期经济社会发展主要目标</w:t>
      </w:r>
    </w:p>
    <w:p>
      <w:pPr>
        <w:pStyle w:val="BodyText"/>
        <w:ind w:left="0"/>
        <w:rPr>
          <w:rFonts w:ascii="黑体"/>
          <w:sz w:val="20"/>
        </w:rPr>
      </w:pPr>
    </w:p>
    <w:p>
      <w:pPr>
        <w:pStyle w:val="BodyText"/>
        <w:spacing w:before="3"/>
        <w:ind w:left="0"/>
        <w:rPr>
          <w:rFonts w:ascii="黑体"/>
          <w:sz w:val="13"/>
        </w:rPr>
      </w:pPr>
    </w:p>
    <w:tbl>
      <w:tblPr>
        <w:tblW w:w="0" w:type="auto"/>
        <w:jc w:val="lef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082"/>
        <w:gridCol w:w="2342"/>
        <w:gridCol w:w="1147"/>
        <w:gridCol w:w="956"/>
        <w:gridCol w:w="959"/>
        <w:gridCol w:w="1144"/>
        <w:gridCol w:w="1009"/>
      </w:tblGrid>
      <w:tr>
        <w:trPr>
          <w:trHeight w:val="620" w:hRule="atLeast"/>
        </w:trPr>
        <w:tc>
          <w:tcPr>
            <w:tcW w:w="4424" w:type="dxa"/>
            <w:gridSpan w:val="2"/>
          </w:tcPr>
          <w:p>
            <w:pPr>
              <w:pStyle w:val="TableParagraph"/>
              <w:spacing w:before="116"/>
              <w:ind w:left="1886" w:right="1887"/>
              <w:jc w:val="center"/>
              <w:rPr>
                <w:rFonts w:ascii="黑体" w:eastAsia="黑体" w:hint="eastAsia"/>
                <w:sz w:val="24"/>
              </w:rPr>
            </w:pPr>
            <w:r>
              <w:rPr>
                <w:rFonts w:ascii="黑体" w:eastAsia="黑体" w:hint="eastAsia"/>
                <w:sz w:val="24"/>
              </w:rPr>
              <w:t>指 标</w:t>
            </w:r>
          </w:p>
        </w:tc>
        <w:tc>
          <w:tcPr>
            <w:tcW w:w="1147" w:type="dxa"/>
          </w:tcPr>
          <w:p>
            <w:pPr>
              <w:pStyle w:val="TableParagraph"/>
              <w:spacing w:before="116"/>
              <w:ind w:left="221" w:right="221"/>
              <w:jc w:val="center"/>
              <w:rPr>
                <w:rFonts w:ascii="黑体" w:eastAsia="黑体" w:hint="eastAsia"/>
                <w:sz w:val="24"/>
              </w:rPr>
            </w:pPr>
            <w:r>
              <w:rPr>
                <w:rFonts w:ascii="黑体" w:eastAsia="黑体" w:hint="eastAsia"/>
                <w:sz w:val="24"/>
              </w:rPr>
              <w:t>单位</w:t>
            </w:r>
          </w:p>
        </w:tc>
        <w:tc>
          <w:tcPr>
            <w:tcW w:w="956" w:type="dxa"/>
          </w:tcPr>
          <w:p>
            <w:pPr>
              <w:pStyle w:val="TableParagraph"/>
              <w:spacing w:before="139"/>
              <w:ind w:left="111" w:right="112"/>
              <w:jc w:val="center"/>
              <w:rPr>
                <w:rFonts w:ascii="黑体" w:eastAsia="黑体" w:hint="eastAsia"/>
                <w:sz w:val="21"/>
              </w:rPr>
            </w:pPr>
            <w:r>
              <w:rPr>
                <w:rFonts w:ascii="Times New Roman" w:eastAsia="Times New Roman"/>
                <w:sz w:val="21"/>
              </w:rPr>
              <w:t>2015 </w:t>
            </w:r>
            <w:r>
              <w:rPr>
                <w:rFonts w:ascii="黑体" w:eastAsia="黑体" w:hint="eastAsia"/>
                <w:sz w:val="21"/>
              </w:rPr>
              <w:t>年</w:t>
            </w:r>
          </w:p>
        </w:tc>
        <w:tc>
          <w:tcPr>
            <w:tcW w:w="959" w:type="dxa"/>
          </w:tcPr>
          <w:p>
            <w:pPr>
              <w:pStyle w:val="TableParagraph"/>
              <w:spacing w:line="282" w:lineRule="exact" w:before="3"/>
              <w:ind w:left="112" w:right="113"/>
              <w:jc w:val="center"/>
              <w:rPr>
                <w:rFonts w:ascii="黑体" w:eastAsia="黑体" w:hint="eastAsia"/>
                <w:sz w:val="21"/>
              </w:rPr>
            </w:pPr>
            <w:r>
              <w:rPr>
                <w:rFonts w:ascii="Times New Roman" w:eastAsia="Times New Roman"/>
                <w:sz w:val="21"/>
              </w:rPr>
              <w:t>2020 </w:t>
            </w:r>
            <w:r>
              <w:rPr>
                <w:rFonts w:ascii="黑体" w:eastAsia="黑体" w:hint="eastAsia"/>
                <w:sz w:val="21"/>
              </w:rPr>
              <w:t>年</w:t>
            </w:r>
          </w:p>
          <w:p>
            <w:pPr>
              <w:pStyle w:val="TableParagraph"/>
              <w:spacing w:line="266" w:lineRule="exact"/>
              <w:ind w:left="112" w:right="113"/>
              <w:jc w:val="center"/>
              <w:rPr>
                <w:rFonts w:ascii="黑体" w:eastAsia="黑体" w:hint="eastAsia"/>
                <w:sz w:val="21"/>
              </w:rPr>
            </w:pPr>
            <w:r>
              <w:rPr>
                <w:rFonts w:ascii="黑体" w:eastAsia="黑体" w:hint="eastAsia"/>
                <w:sz w:val="21"/>
              </w:rPr>
              <w:t>目标</w:t>
            </w:r>
          </w:p>
        </w:tc>
        <w:tc>
          <w:tcPr>
            <w:tcW w:w="1144" w:type="dxa"/>
          </w:tcPr>
          <w:p>
            <w:pPr>
              <w:pStyle w:val="TableParagraph"/>
              <w:spacing w:line="237" w:lineRule="auto" w:before="5"/>
              <w:ind w:left="146" w:right="127"/>
              <w:rPr>
                <w:rFonts w:ascii="黑体" w:eastAsia="黑体" w:hint="eastAsia"/>
                <w:sz w:val="21"/>
              </w:rPr>
            </w:pPr>
            <w:r>
              <w:rPr>
                <w:rFonts w:ascii="黑体" w:eastAsia="黑体" w:hint="eastAsia"/>
                <w:sz w:val="21"/>
              </w:rPr>
              <w:t>年均增速或累计数</w:t>
            </w:r>
          </w:p>
        </w:tc>
        <w:tc>
          <w:tcPr>
            <w:tcW w:w="1009" w:type="dxa"/>
          </w:tcPr>
          <w:p>
            <w:pPr>
              <w:pStyle w:val="TableParagraph"/>
              <w:spacing w:line="273" w:lineRule="exact"/>
              <w:ind w:left="259"/>
              <w:rPr>
                <w:rFonts w:ascii="黑体" w:eastAsia="黑体" w:hint="eastAsia"/>
                <w:sz w:val="24"/>
              </w:rPr>
            </w:pPr>
            <w:r>
              <w:rPr>
                <w:rFonts w:ascii="黑体" w:eastAsia="黑体" w:hint="eastAsia"/>
                <w:sz w:val="24"/>
              </w:rPr>
              <w:t>指标</w:t>
            </w:r>
          </w:p>
          <w:p>
            <w:pPr>
              <w:pStyle w:val="TableParagraph"/>
              <w:spacing w:line="312" w:lineRule="exact"/>
              <w:ind w:left="259"/>
              <w:rPr>
                <w:rFonts w:ascii="黑体" w:eastAsia="黑体" w:hint="eastAsia"/>
                <w:sz w:val="24"/>
              </w:rPr>
            </w:pPr>
            <w:r>
              <w:rPr>
                <w:rFonts w:ascii="黑体" w:eastAsia="黑体" w:hint="eastAsia"/>
                <w:sz w:val="24"/>
              </w:rPr>
              <w:t>属性</w:t>
            </w:r>
          </w:p>
        </w:tc>
      </w:tr>
      <w:tr>
        <w:trPr>
          <w:trHeight w:val="440" w:hRule="atLeast"/>
        </w:trPr>
        <w:tc>
          <w:tcPr>
            <w:tcW w:w="4424" w:type="dxa"/>
            <w:gridSpan w:val="2"/>
          </w:tcPr>
          <w:p>
            <w:pPr>
              <w:pStyle w:val="TableParagraph"/>
              <w:spacing w:before="102"/>
              <w:ind w:left="102"/>
              <w:rPr>
                <w:sz w:val="21"/>
              </w:rPr>
            </w:pPr>
            <w:r>
              <w:rPr>
                <w:sz w:val="21"/>
              </w:rPr>
              <w:t>（</w:t>
            </w:r>
            <w:r>
              <w:rPr>
                <w:rFonts w:ascii="Times New Roman" w:eastAsia="Times New Roman"/>
                <w:sz w:val="21"/>
              </w:rPr>
              <w:t>1</w:t>
            </w:r>
            <w:r>
              <w:rPr>
                <w:sz w:val="21"/>
              </w:rPr>
              <w:t>）地区生产总值</w:t>
            </w:r>
          </w:p>
        </w:tc>
        <w:tc>
          <w:tcPr>
            <w:tcW w:w="1147" w:type="dxa"/>
          </w:tcPr>
          <w:p>
            <w:pPr>
              <w:pStyle w:val="TableParagraph"/>
              <w:spacing w:before="151"/>
              <w:jc w:val="center"/>
              <w:rPr>
                <w:rFonts w:ascii="Times New Roman"/>
                <w:sz w:val="21"/>
              </w:rPr>
            </w:pPr>
            <w:r>
              <w:rPr>
                <w:rFonts w:ascii="Times New Roman"/>
                <w:w w:val="99"/>
                <w:sz w:val="21"/>
              </w:rPr>
              <w:t>%</w:t>
            </w:r>
          </w:p>
        </w:tc>
        <w:tc>
          <w:tcPr>
            <w:tcW w:w="956" w:type="dxa"/>
          </w:tcPr>
          <w:p>
            <w:pPr>
              <w:pStyle w:val="TableParagraph"/>
              <w:spacing w:before="151"/>
              <w:ind w:left="111" w:right="112"/>
              <w:jc w:val="center"/>
              <w:rPr>
                <w:rFonts w:ascii="Times New Roman"/>
                <w:sz w:val="21"/>
              </w:rPr>
            </w:pPr>
            <w:r>
              <w:rPr>
                <w:rFonts w:ascii="Times New Roman"/>
                <w:sz w:val="21"/>
              </w:rPr>
              <w:t>9.2</w:t>
            </w:r>
          </w:p>
        </w:tc>
        <w:tc>
          <w:tcPr>
            <w:tcW w:w="959" w:type="dxa"/>
          </w:tcPr>
          <w:p>
            <w:pPr>
              <w:pStyle w:val="TableParagraph"/>
              <w:spacing w:before="71"/>
              <w:jc w:val="center"/>
              <w:rPr>
                <w:sz w:val="21"/>
              </w:rPr>
            </w:pPr>
            <w:r>
              <w:rPr>
                <w:sz w:val="21"/>
              </w:rPr>
              <w:t>—</w:t>
            </w:r>
          </w:p>
        </w:tc>
        <w:tc>
          <w:tcPr>
            <w:tcW w:w="1144" w:type="dxa"/>
          </w:tcPr>
          <w:p>
            <w:pPr>
              <w:pStyle w:val="TableParagraph"/>
              <w:spacing w:before="151"/>
              <w:ind w:left="213" w:right="214"/>
              <w:jc w:val="center"/>
              <w:rPr>
                <w:rFonts w:ascii="Times New Roman"/>
                <w:sz w:val="21"/>
              </w:rPr>
            </w:pPr>
            <w:r>
              <w:rPr>
                <w:rFonts w:ascii="Times New Roman"/>
                <w:sz w:val="21"/>
              </w:rPr>
              <w:t>8.5</w:t>
            </w:r>
          </w:p>
        </w:tc>
        <w:tc>
          <w:tcPr>
            <w:tcW w:w="1009" w:type="dxa"/>
          </w:tcPr>
          <w:p>
            <w:pPr>
              <w:pStyle w:val="TableParagraph"/>
              <w:spacing w:before="102"/>
              <w:ind w:left="184"/>
              <w:rPr>
                <w:sz w:val="21"/>
              </w:rPr>
            </w:pPr>
            <w:r>
              <w:rPr>
                <w:sz w:val="21"/>
              </w:rPr>
              <w:t>预期性</w:t>
            </w:r>
          </w:p>
        </w:tc>
      </w:tr>
      <w:tr>
        <w:trPr>
          <w:trHeight w:val="440" w:hRule="atLeast"/>
        </w:trPr>
        <w:tc>
          <w:tcPr>
            <w:tcW w:w="4424" w:type="dxa"/>
            <w:gridSpan w:val="2"/>
          </w:tcPr>
          <w:p>
            <w:pPr>
              <w:pStyle w:val="TableParagraph"/>
              <w:spacing w:before="102"/>
              <w:ind w:left="102"/>
              <w:rPr>
                <w:sz w:val="21"/>
              </w:rPr>
            </w:pPr>
            <w:r>
              <w:rPr>
                <w:sz w:val="21"/>
              </w:rPr>
              <w:t>（</w:t>
            </w:r>
            <w:r>
              <w:rPr>
                <w:rFonts w:ascii="Times New Roman" w:eastAsia="Times New Roman"/>
                <w:sz w:val="21"/>
              </w:rPr>
              <w:t>2</w:t>
            </w:r>
            <w:r>
              <w:rPr>
                <w:sz w:val="21"/>
              </w:rPr>
              <w:t>）地方一般公共预算收入</w:t>
            </w:r>
          </w:p>
        </w:tc>
        <w:tc>
          <w:tcPr>
            <w:tcW w:w="1147" w:type="dxa"/>
          </w:tcPr>
          <w:p>
            <w:pPr>
              <w:pStyle w:val="TableParagraph"/>
              <w:spacing w:before="151"/>
              <w:jc w:val="center"/>
              <w:rPr>
                <w:rFonts w:ascii="Times New Roman"/>
                <w:sz w:val="21"/>
              </w:rPr>
            </w:pPr>
            <w:r>
              <w:rPr>
                <w:rFonts w:ascii="Times New Roman"/>
                <w:w w:val="99"/>
                <w:sz w:val="21"/>
              </w:rPr>
              <w:t>%</w:t>
            </w:r>
          </w:p>
        </w:tc>
        <w:tc>
          <w:tcPr>
            <w:tcW w:w="956" w:type="dxa"/>
          </w:tcPr>
          <w:p>
            <w:pPr>
              <w:pStyle w:val="TableParagraph"/>
              <w:spacing w:before="151"/>
              <w:ind w:left="111" w:right="112"/>
              <w:jc w:val="center"/>
              <w:rPr>
                <w:rFonts w:ascii="Times New Roman"/>
                <w:sz w:val="21"/>
              </w:rPr>
            </w:pPr>
            <w:r>
              <w:rPr>
                <w:rFonts w:ascii="Times New Roman"/>
                <w:sz w:val="21"/>
              </w:rPr>
              <w:t>9.1</w:t>
            </w:r>
          </w:p>
        </w:tc>
        <w:tc>
          <w:tcPr>
            <w:tcW w:w="959" w:type="dxa"/>
          </w:tcPr>
          <w:p>
            <w:pPr>
              <w:pStyle w:val="TableParagraph"/>
              <w:spacing w:before="102"/>
              <w:jc w:val="center"/>
              <w:rPr>
                <w:sz w:val="21"/>
              </w:rPr>
            </w:pPr>
            <w:r>
              <w:rPr>
                <w:sz w:val="21"/>
              </w:rPr>
              <w:t>—</w:t>
            </w:r>
          </w:p>
        </w:tc>
        <w:tc>
          <w:tcPr>
            <w:tcW w:w="1144" w:type="dxa"/>
          </w:tcPr>
          <w:p>
            <w:pPr>
              <w:pStyle w:val="TableParagraph"/>
              <w:spacing w:before="151"/>
              <w:ind w:left="213" w:right="214"/>
              <w:jc w:val="center"/>
              <w:rPr>
                <w:rFonts w:ascii="Times New Roman"/>
                <w:sz w:val="21"/>
              </w:rPr>
            </w:pPr>
            <w:r>
              <w:rPr>
                <w:rFonts w:ascii="Times New Roman"/>
                <w:sz w:val="21"/>
              </w:rPr>
              <w:t>5.5</w:t>
            </w:r>
          </w:p>
        </w:tc>
        <w:tc>
          <w:tcPr>
            <w:tcW w:w="1009" w:type="dxa"/>
          </w:tcPr>
          <w:p>
            <w:pPr>
              <w:pStyle w:val="TableParagraph"/>
              <w:spacing w:before="102"/>
              <w:ind w:left="184"/>
              <w:rPr>
                <w:sz w:val="21"/>
              </w:rPr>
            </w:pPr>
            <w:r>
              <w:rPr>
                <w:sz w:val="21"/>
              </w:rPr>
              <w:t>预期性</w:t>
            </w:r>
          </w:p>
        </w:tc>
      </w:tr>
      <w:tr>
        <w:trPr>
          <w:trHeight w:val="440" w:hRule="atLeast"/>
        </w:trPr>
        <w:tc>
          <w:tcPr>
            <w:tcW w:w="4424" w:type="dxa"/>
            <w:gridSpan w:val="2"/>
          </w:tcPr>
          <w:p>
            <w:pPr>
              <w:pStyle w:val="TableParagraph"/>
              <w:spacing w:before="102"/>
              <w:ind w:left="102"/>
              <w:rPr>
                <w:sz w:val="21"/>
              </w:rPr>
            </w:pPr>
            <w:r>
              <w:rPr>
                <w:sz w:val="21"/>
              </w:rPr>
              <w:t>（</w:t>
            </w:r>
            <w:r>
              <w:rPr>
                <w:rFonts w:ascii="Times New Roman" w:eastAsia="Times New Roman"/>
                <w:sz w:val="21"/>
              </w:rPr>
              <w:t>3</w:t>
            </w:r>
            <w:r>
              <w:rPr>
                <w:sz w:val="21"/>
              </w:rPr>
              <w:t>）规模以上工业增加值</w:t>
            </w:r>
          </w:p>
        </w:tc>
        <w:tc>
          <w:tcPr>
            <w:tcW w:w="1147" w:type="dxa"/>
          </w:tcPr>
          <w:p>
            <w:pPr>
              <w:pStyle w:val="TableParagraph"/>
              <w:spacing w:before="151"/>
              <w:jc w:val="center"/>
              <w:rPr>
                <w:rFonts w:ascii="Times New Roman"/>
                <w:sz w:val="21"/>
              </w:rPr>
            </w:pPr>
            <w:r>
              <w:rPr>
                <w:rFonts w:ascii="Times New Roman"/>
                <w:w w:val="99"/>
                <w:sz w:val="21"/>
              </w:rPr>
              <w:t>%</w:t>
            </w:r>
          </w:p>
        </w:tc>
        <w:tc>
          <w:tcPr>
            <w:tcW w:w="956" w:type="dxa"/>
          </w:tcPr>
          <w:p>
            <w:pPr>
              <w:pStyle w:val="TableParagraph"/>
              <w:spacing w:before="151"/>
              <w:ind w:left="111" w:right="112"/>
              <w:jc w:val="center"/>
              <w:rPr>
                <w:rFonts w:ascii="Times New Roman"/>
                <w:sz w:val="21"/>
              </w:rPr>
            </w:pPr>
            <w:r>
              <w:rPr>
                <w:rFonts w:ascii="Times New Roman"/>
                <w:sz w:val="21"/>
              </w:rPr>
              <w:t>11</w:t>
            </w:r>
          </w:p>
        </w:tc>
        <w:tc>
          <w:tcPr>
            <w:tcW w:w="959" w:type="dxa"/>
          </w:tcPr>
          <w:p>
            <w:pPr>
              <w:pStyle w:val="TableParagraph"/>
              <w:spacing w:before="102"/>
              <w:jc w:val="center"/>
              <w:rPr>
                <w:sz w:val="21"/>
              </w:rPr>
            </w:pPr>
            <w:r>
              <w:rPr>
                <w:sz w:val="21"/>
              </w:rPr>
              <w:t>—</w:t>
            </w:r>
          </w:p>
        </w:tc>
        <w:tc>
          <w:tcPr>
            <w:tcW w:w="1144" w:type="dxa"/>
          </w:tcPr>
          <w:p>
            <w:pPr>
              <w:pStyle w:val="TableParagraph"/>
              <w:spacing w:before="151"/>
              <w:ind w:right="1"/>
              <w:jc w:val="center"/>
              <w:rPr>
                <w:rFonts w:ascii="Times New Roman"/>
                <w:sz w:val="21"/>
              </w:rPr>
            </w:pPr>
            <w:r>
              <w:rPr>
                <w:rFonts w:ascii="Times New Roman"/>
                <w:sz w:val="21"/>
              </w:rPr>
              <w:t>9</w:t>
            </w:r>
          </w:p>
        </w:tc>
        <w:tc>
          <w:tcPr>
            <w:tcW w:w="1009" w:type="dxa"/>
          </w:tcPr>
          <w:p>
            <w:pPr>
              <w:pStyle w:val="TableParagraph"/>
              <w:spacing w:before="102"/>
              <w:ind w:left="184"/>
              <w:rPr>
                <w:sz w:val="21"/>
              </w:rPr>
            </w:pPr>
            <w:r>
              <w:rPr>
                <w:sz w:val="21"/>
              </w:rPr>
              <w:t>预期性</w:t>
            </w:r>
          </w:p>
        </w:tc>
      </w:tr>
      <w:tr>
        <w:trPr>
          <w:trHeight w:val="440" w:hRule="atLeast"/>
        </w:trPr>
        <w:tc>
          <w:tcPr>
            <w:tcW w:w="4424" w:type="dxa"/>
            <w:gridSpan w:val="2"/>
          </w:tcPr>
          <w:p>
            <w:pPr>
              <w:pStyle w:val="TableParagraph"/>
              <w:spacing w:before="102"/>
              <w:ind w:left="102"/>
              <w:rPr>
                <w:sz w:val="21"/>
              </w:rPr>
            </w:pPr>
            <w:r>
              <w:rPr>
                <w:sz w:val="21"/>
              </w:rPr>
              <w:t>（</w:t>
            </w:r>
            <w:r>
              <w:rPr>
                <w:rFonts w:ascii="Times New Roman" w:eastAsia="Times New Roman"/>
                <w:sz w:val="21"/>
              </w:rPr>
              <w:t>4</w:t>
            </w:r>
            <w:r>
              <w:rPr>
                <w:sz w:val="21"/>
              </w:rPr>
              <w:t>）全社会固定资产投资</w:t>
            </w:r>
          </w:p>
        </w:tc>
        <w:tc>
          <w:tcPr>
            <w:tcW w:w="1147" w:type="dxa"/>
          </w:tcPr>
          <w:p>
            <w:pPr>
              <w:pStyle w:val="TableParagraph"/>
              <w:spacing w:before="102"/>
              <w:ind w:left="221" w:right="221"/>
              <w:jc w:val="center"/>
              <w:rPr>
                <w:sz w:val="21"/>
              </w:rPr>
            </w:pPr>
            <w:r>
              <w:rPr>
                <w:sz w:val="21"/>
              </w:rPr>
              <w:t>亿元</w:t>
            </w:r>
          </w:p>
        </w:tc>
        <w:tc>
          <w:tcPr>
            <w:tcW w:w="956" w:type="dxa"/>
          </w:tcPr>
          <w:p>
            <w:pPr>
              <w:pStyle w:val="TableParagraph"/>
              <w:spacing w:before="151"/>
              <w:ind w:left="111" w:right="111"/>
              <w:jc w:val="center"/>
              <w:rPr>
                <w:rFonts w:ascii="Times New Roman"/>
                <w:sz w:val="21"/>
              </w:rPr>
            </w:pPr>
            <w:r>
              <w:rPr>
                <w:rFonts w:ascii="Times New Roman"/>
                <w:sz w:val="21"/>
              </w:rPr>
              <w:t>100.5</w:t>
            </w:r>
          </w:p>
        </w:tc>
        <w:tc>
          <w:tcPr>
            <w:tcW w:w="959" w:type="dxa"/>
          </w:tcPr>
          <w:p>
            <w:pPr>
              <w:pStyle w:val="TableParagraph"/>
              <w:spacing w:before="102"/>
              <w:jc w:val="center"/>
              <w:rPr>
                <w:sz w:val="21"/>
              </w:rPr>
            </w:pPr>
            <w:r>
              <w:rPr>
                <w:sz w:val="21"/>
              </w:rPr>
              <w:t>—</w:t>
            </w:r>
          </w:p>
        </w:tc>
        <w:tc>
          <w:tcPr>
            <w:tcW w:w="1144" w:type="dxa"/>
          </w:tcPr>
          <w:p>
            <w:pPr>
              <w:pStyle w:val="TableParagraph"/>
              <w:spacing w:before="151"/>
              <w:ind w:left="338"/>
              <w:rPr>
                <w:rFonts w:ascii="Times New Roman"/>
                <w:sz w:val="21"/>
              </w:rPr>
            </w:pPr>
            <w:r>
              <w:rPr>
                <w:rFonts w:ascii="Times New Roman"/>
                <w:sz w:val="21"/>
              </w:rPr>
              <w:t>[700]</w:t>
            </w:r>
          </w:p>
        </w:tc>
        <w:tc>
          <w:tcPr>
            <w:tcW w:w="1009" w:type="dxa"/>
          </w:tcPr>
          <w:p>
            <w:pPr>
              <w:pStyle w:val="TableParagraph"/>
              <w:spacing w:before="102"/>
              <w:ind w:left="184"/>
              <w:rPr>
                <w:sz w:val="21"/>
              </w:rPr>
            </w:pPr>
            <w:r>
              <w:rPr>
                <w:sz w:val="21"/>
              </w:rPr>
              <w:t>预期性</w:t>
            </w:r>
          </w:p>
        </w:tc>
      </w:tr>
      <w:tr>
        <w:trPr>
          <w:trHeight w:val="440" w:hRule="atLeast"/>
        </w:trPr>
        <w:tc>
          <w:tcPr>
            <w:tcW w:w="4424" w:type="dxa"/>
            <w:gridSpan w:val="2"/>
          </w:tcPr>
          <w:p>
            <w:pPr>
              <w:pStyle w:val="TableParagraph"/>
              <w:spacing w:before="102"/>
              <w:ind w:left="102"/>
              <w:rPr>
                <w:sz w:val="21"/>
              </w:rPr>
            </w:pPr>
            <w:r>
              <w:rPr>
                <w:sz w:val="21"/>
              </w:rPr>
              <w:t>（</w:t>
            </w:r>
            <w:r>
              <w:rPr>
                <w:rFonts w:ascii="Times New Roman" w:eastAsia="Times New Roman"/>
                <w:sz w:val="21"/>
              </w:rPr>
              <w:t>5</w:t>
            </w:r>
            <w:r>
              <w:rPr>
                <w:sz w:val="21"/>
              </w:rPr>
              <w:t>）社会消费品零售总额</w:t>
            </w:r>
          </w:p>
        </w:tc>
        <w:tc>
          <w:tcPr>
            <w:tcW w:w="1147" w:type="dxa"/>
          </w:tcPr>
          <w:p>
            <w:pPr>
              <w:pStyle w:val="TableParagraph"/>
              <w:spacing w:before="102"/>
              <w:ind w:left="221" w:right="221"/>
              <w:jc w:val="center"/>
              <w:rPr>
                <w:rFonts w:ascii="Times New Roman" w:eastAsia="Times New Roman"/>
                <w:sz w:val="21"/>
              </w:rPr>
            </w:pPr>
            <w:r>
              <w:rPr>
                <w:sz w:val="21"/>
              </w:rPr>
              <w:t>亿元</w:t>
            </w:r>
            <w:r>
              <w:rPr>
                <w:rFonts w:ascii="Times New Roman" w:eastAsia="Times New Roman"/>
                <w:sz w:val="21"/>
              </w:rPr>
              <w:t>/%</w:t>
            </w:r>
          </w:p>
        </w:tc>
        <w:tc>
          <w:tcPr>
            <w:tcW w:w="956" w:type="dxa"/>
          </w:tcPr>
          <w:p>
            <w:pPr>
              <w:pStyle w:val="TableParagraph"/>
              <w:spacing w:before="151"/>
              <w:ind w:left="111" w:right="111"/>
              <w:jc w:val="center"/>
              <w:rPr>
                <w:rFonts w:ascii="Times New Roman"/>
                <w:sz w:val="21"/>
              </w:rPr>
            </w:pPr>
            <w:r>
              <w:rPr>
                <w:rFonts w:ascii="Times New Roman"/>
                <w:sz w:val="21"/>
              </w:rPr>
              <w:t>46.9</w:t>
            </w:r>
          </w:p>
        </w:tc>
        <w:tc>
          <w:tcPr>
            <w:tcW w:w="959" w:type="dxa"/>
          </w:tcPr>
          <w:p>
            <w:pPr>
              <w:pStyle w:val="TableParagraph"/>
              <w:spacing w:before="151"/>
              <w:ind w:left="112" w:right="112"/>
              <w:jc w:val="center"/>
              <w:rPr>
                <w:rFonts w:ascii="Times New Roman"/>
                <w:sz w:val="21"/>
              </w:rPr>
            </w:pPr>
            <w:r>
              <w:rPr>
                <w:rFonts w:ascii="Times New Roman"/>
                <w:sz w:val="21"/>
              </w:rPr>
              <w:t>84</w:t>
            </w:r>
          </w:p>
        </w:tc>
        <w:tc>
          <w:tcPr>
            <w:tcW w:w="1144" w:type="dxa"/>
          </w:tcPr>
          <w:p>
            <w:pPr>
              <w:pStyle w:val="TableParagraph"/>
              <w:spacing w:before="151"/>
              <w:ind w:left="214" w:right="214"/>
              <w:jc w:val="center"/>
              <w:rPr>
                <w:rFonts w:ascii="Times New Roman"/>
                <w:sz w:val="21"/>
              </w:rPr>
            </w:pPr>
            <w:r>
              <w:rPr>
                <w:rFonts w:ascii="Times New Roman"/>
                <w:sz w:val="21"/>
              </w:rPr>
              <w:t>13</w:t>
            </w:r>
          </w:p>
        </w:tc>
        <w:tc>
          <w:tcPr>
            <w:tcW w:w="1009" w:type="dxa"/>
          </w:tcPr>
          <w:p>
            <w:pPr>
              <w:pStyle w:val="TableParagraph"/>
              <w:spacing w:before="102"/>
              <w:ind w:left="184"/>
              <w:rPr>
                <w:sz w:val="21"/>
              </w:rPr>
            </w:pPr>
            <w:r>
              <w:rPr>
                <w:sz w:val="21"/>
              </w:rPr>
              <w:t>预期性</w:t>
            </w:r>
          </w:p>
        </w:tc>
      </w:tr>
      <w:tr>
        <w:trPr>
          <w:trHeight w:val="440" w:hRule="atLeast"/>
        </w:trPr>
        <w:tc>
          <w:tcPr>
            <w:tcW w:w="4424" w:type="dxa"/>
            <w:gridSpan w:val="2"/>
          </w:tcPr>
          <w:p>
            <w:pPr>
              <w:pStyle w:val="TableParagraph"/>
              <w:spacing w:before="102"/>
              <w:ind w:left="102"/>
              <w:rPr>
                <w:sz w:val="21"/>
              </w:rPr>
            </w:pPr>
            <w:r>
              <w:rPr>
                <w:sz w:val="21"/>
              </w:rPr>
              <w:t>（</w:t>
            </w:r>
            <w:r>
              <w:rPr>
                <w:rFonts w:ascii="Times New Roman" w:eastAsia="Times New Roman"/>
                <w:sz w:val="21"/>
              </w:rPr>
              <w:t>6</w:t>
            </w:r>
            <w:r>
              <w:rPr>
                <w:sz w:val="21"/>
              </w:rPr>
              <w:t>）全员劳动生产率</w:t>
            </w:r>
          </w:p>
        </w:tc>
        <w:tc>
          <w:tcPr>
            <w:tcW w:w="1147" w:type="dxa"/>
          </w:tcPr>
          <w:p>
            <w:pPr>
              <w:pStyle w:val="TableParagraph"/>
              <w:spacing w:before="102"/>
              <w:ind w:left="221" w:right="221"/>
              <w:jc w:val="center"/>
              <w:rPr>
                <w:sz w:val="21"/>
              </w:rPr>
            </w:pPr>
            <w:r>
              <w:rPr>
                <w:sz w:val="21"/>
              </w:rPr>
              <w:t>万元</w:t>
            </w:r>
          </w:p>
        </w:tc>
        <w:tc>
          <w:tcPr>
            <w:tcW w:w="956" w:type="dxa"/>
          </w:tcPr>
          <w:p>
            <w:pPr>
              <w:pStyle w:val="TableParagraph"/>
              <w:spacing w:before="151"/>
              <w:ind w:left="111" w:right="112"/>
              <w:jc w:val="center"/>
              <w:rPr>
                <w:rFonts w:ascii="Times New Roman"/>
                <w:sz w:val="21"/>
              </w:rPr>
            </w:pPr>
            <w:r>
              <w:rPr>
                <w:rFonts w:ascii="Times New Roman"/>
                <w:sz w:val="21"/>
              </w:rPr>
              <w:t>5.8</w:t>
            </w:r>
          </w:p>
        </w:tc>
        <w:tc>
          <w:tcPr>
            <w:tcW w:w="959" w:type="dxa"/>
          </w:tcPr>
          <w:p>
            <w:pPr>
              <w:pStyle w:val="TableParagraph"/>
              <w:spacing w:before="151"/>
              <w:jc w:val="center"/>
              <w:rPr>
                <w:rFonts w:ascii="Times New Roman"/>
                <w:sz w:val="21"/>
              </w:rPr>
            </w:pPr>
            <w:r>
              <w:rPr>
                <w:rFonts w:ascii="Times New Roman"/>
                <w:sz w:val="21"/>
              </w:rPr>
              <w:t>8</w:t>
            </w:r>
          </w:p>
        </w:tc>
        <w:tc>
          <w:tcPr>
            <w:tcW w:w="1144" w:type="dxa"/>
          </w:tcPr>
          <w:p>
            <w:pPr>
              <w:pStyle w:val="TableParagraph"/>
              <w:spacing w:before="151"/>
              <w:ind w:left="364"/>
              <w:rPr>
                <w:rFonts w:ascii="Times New Roman"/>
                <w:sz w:val="21"/>
              </w:rPr>
            </w:pPr>
            <w:r>
              <w:rPr>
                <w:rFonts w:ascii="Times New Roman"/>
                <w:sz w:val="21"/>
              </w:rPr>
              <w:t>[2.2]</w:t>
            </w:r>
          </w:p>
        </w:tc>
        <w:tc>
          <w:tcPr>
            <w:tcW w:w="1009" w:type="dxa"/>
          </w:tcPr>
          <w:p>
            <w:pPr>
              <w:pStyle w:val="TableParagraph"/>
              <w:spacing w:before="75"/>
              <w:ind w:left="184"/>
              <w:rPr>
                <w:sz w:val="21"/>
              </w:rPr>
            </w:pPr>
            <w:r>
              <w:rPr>
                <w:sz w:val="21"/>
              </w:rPr>
              <w:t>预期性</w:t>
            </w:r>
          </w:p>
        </w:tc>
      </w:tr>
      <w:tr>
        <w:trPr>
          <w:trHeight w:val="440" w:hRule="atLeast"/>
        </w:trPr>
        <w:tc>
          <w:tcPr>
            <w:tcW w:w="4424" w:type="dxa"/>
            <w:gridSpan w:val="2"/>
          </w:tcPr>
          <w:p>
            <w:pPr>
              <w:pStyle w:val="TableParagraph"/>
              <w:spacing w:before="102"/>
              <w:ind w:left="102"/>
              <w:rPr>
                <w:sz w:val="21"/>
              </w:rPr>
            </w:pPr>
            <w:r>
              <w:rPr>
                <w:sz w:val="21"/>
              </w:rPr>
              <w:t>（</w:t>
            </w:r>
            <w:r>
              <w:rPr>
                <w:rFonts w:ascii="Times New Roman" w:eastAsia="Times New Roman"/>
                <w:sz w:val="21"/>
              </w:rPr>
              <w:t>7</w:t>
            </w:r>
            <w:r>
              <w:rPr>
                <w:sz w:val="21"/>
              </w:rPr>
              <w:t>）固定宽带家庭普及率</w:t>
            </w:r>
          </w:p>
        </w:tc>
        <w:tc>
          <w:tcPr>
            <w:tcW w:w="1147" w:type="dxa"/>
          </w:tcPr>
          <w:p>
            <w:pPr>
              <w:pStyle w:val="TableParagraph"/>
              <w:spacing w:before="151"/>
              <w:jc w:val="center"/>
              <w:rPr>
                <w:rFonts w:ascii="Times New Roman"/>
                <w:sz w:val="21"/>
              </w:rPr>
            </w:pPr>
            <w:r>
              <w:rPr>
                <w:rFonts w:ascii="Times New Roman"/>
                <w:w w:val="99"/>
                <w:sz w:val="21"/>
              </w:rPr>
              <w:t>%</w:t>
            </w:r>
          </w:p>
        </w:tc>
        <w:tc>
          <w:tcPr>
            <w:tcW w:w="956" w:type="dxa"/>
          </w:tcPr>
          <w:p>
            <w:pPr>
              <w:pStyle w:val="TableParagraph"/>
              <w:spacing w:before="151"/>
              <w:ind w:left="111" w:right="111"/>
              <w:jc w:val="center"/>
              <w:rPr>
                <w:rFonts w:ascii="Times New Roman"/>
                <w:sz w:val="21"/>
              </w:rPr>
            </w:pPr>
            <w:r>
              <w:rPr>
                <w:rFonts w:ascii="Times New Roman"/>
                <w:sz w:val="21"/>
              </w:rPr>
              <w:t>50</w:t>
            </w:r>
          </w:p>
        </w:tc>
        <w:tc>
          <w:tcPr>
            <w:tcW w:w="959" w:type="dxa"/>
          </w:tcPr>
          <w:p>
            <w:pPr>
              <w:pStyle w:val="TableParagraph"/>
              <w:spacing w:before="151"/>
              <w:ind w:left="112" w:right="113"/>
              <w:jc w:val="center"/>
              <w:rPr>
                <w:rFonts w:ascii="Times New Roman"/>
                <w:sz w:val="21"/>
              </w:rPr>
            </w:pPr>
            <w:r>
              <w:rPr>
                <w:rFonts w:ascii="Times New Roman"/>
                <w:sz w:val="21"/>
              </w:rPr>
              <w:t>70</w:t>
            </w:r>
          </w:p>
        </w:tc>
        <w:tc>
          <w:tcPr>
            <w:tcW w:w="1144" w:type="dxa"/>
          </w:tcPr>
          <w:p>
            <w:pPr>
              <w:pStyle w:val="TableParagraph"/>
              <w:spacing w:before="151"/>
              <w:ind w:left="214" w:right="214"/>
              <w:jc w:val="center"/>
              <w:rPr>
                <w:rFonts w:ascii="Times New Roman"/>
                <w:sz w:val="21"/>
              </w:rPr>
            </w:pPr>
            <w:r>
              <w:rPr>
                <w:rFonts w:ascii="Times New Roman"/>
                <w:sz w:val="21"/>
              </w:rPr>
              <w:t>[20]</w:t>
            </w:r>
          </w:p>
        </w:tc>
        <w:tc>
          <w:tcPr>
            <w:tcW w:w="1009" w:type="dxa"/>
          </w:tcPr>
          <w:p>
            <w:pPr>
              <w:pStyle w:val="TableParagraph"/>
              <w:spacing w:before="75"/>
              <w:ind w:left="184"/>
              <w:rPr>
                <w:sz w:val="21"/>
              </w:rPr>
            </w:pPr>
            <w:r>
              <w:rPr>
                <w:sz w:val="21"/>
              </w:rPr>
              <w:t>预期性</w:t>
            </w:r>
          </w:p>
        </w:tc>
      </w:tr>
      <w:tr>
        <w:trPr>
          <w:trHeight w:val="440" w:hRule="atLeast"/>
        </w:trPr>
        <w:tc>
          <w:tcPr>
            <w:tcW w:w="4424" w:type="dxa"/>
            <w:gridSpan w:val="2"/>
          </w:tcPr>
          <w:p>
            <w:pPr>
              <w:pStyle w:val="TableParagraph"/>
              <w:spacing w:before="102"/>
              <w:ind w:left="102"/>
              <w:rPr>
                <w:sz w:val="21"/>
              </w:rPr>
            </w:pPr>
            <w:r>
              <w:rPr>
                <w:sz w:val="21"/>
              </w:rPr>
              <w:t>（</w:t>
            </w:r>
            <w:r>
              <w:rPr>
                <w:rFonts w:ascii="Times New Roman" w:eastAsia="Times New Roman"/>
                <w:sz w:val="21"/>
              </w:rPr>
              <w:t>8</w:t>
            </w:r>
            <w:r>
              <w:rPr>
                <w:sz w:val="21"/>
              </w:rPr>
              <w:t>）实际利用外资</w:t>
            </w:r>
          </w:p>
        </w:tc>
        <w:tc>
          <w:tcPr>
            <w:tcW w:w="1147" w:type="dxa"/>
          </w:tcPr>
          <w:p>
            <w:pPr>
              <w:pStyle w:val="TableParagraph"/>
              <w:spacing w:before="102"/>
              <w:ind w:left="220" w:right="221"/>
              <w:jc w:val="center"/>
              <w:rPr>
                <w:sz w:val="21"/>
              </w:rPr>
            </w:pPr>
            <w:r>
              <w:rPr>
                <w:sz w:val="21"/>
              </w:rPr>
              <w:t>万美元</w:t>
            </w:r>
          </w:p>
        </w:tc>
        <w:tc>
          <w:tcPr>
            <w:tcW w:w="956" w:type="dxa"/>
          </w:tcPr>
          <w:p>
            <w:pPr>
              <w:pStyle w:val="TableParagraph"/>
              <w:spacing w:before="151"/>
              <w:ind w:left="111" w:right="111"/>
              <w:jc w:val="center"/>
              <w:rPr>
                <w:rFonts w:ascii="Times New Roman"/>
                <w:sz w:val="21"/>
              </w:rPr>
            </w:pPr>
            <w:r>
              <w:rPr>
                <w:rFonts w:ascii="Times New Roman"/>
                <w:sz w:val="21"/>
              </w:rPr>
              <w:t>1200</w:t>
            </w:r>
          </w:p>
        </w:tc>
        <w:tc>
          <w:tcPr>
            <w:tcW w:w="959" w:type="dxa"/>
          </w:tcPr>
          <w:p>
            <w:pPr>
              <w:pStyle w:val="TableParagraph"/>
              <w:spacing w:before="102"/>
              <w:jc w:val="center"/>
              <w:rPr>
                <w:sz w:val="21"/>
              </w:rPr>
            </w:pPr>
            <w:r>
              <w:rPr>
                <w:sz w:val="21"/>
              </w:rPr>
              <w:t>—</w:t>
            </w:r>
          </w:p>
        </w:tc>
        <w:tc>
          <w:tcPr>
            <w:tcW w:w="1144" w:type="dxa"/>
          </w:tcPr>
          <w:p>
            <w:pPr>
              <w:pStyle w:val="TableParagraph"/>
              <w:spacing w:before="151"/>
              <w:ind w:right="284"/>
              <w:jc w:val="right"/>
              <w:rPr>
                <w:rFonts w:ascii="Times New Roman"/>
                <w:sz w:val="21"/>
              </w:rPr>
            </w:pPr>
            <w:r>
              <w:rPr>
                <w:rFonts w:ascii="Times New Roman"/>
                <w:sz w:val="21"/>
              </w:rPr>
              <w:t>[6960]</w:t>
            </w:r>
          </w:p>
        </w:tc>
        <w:tc>
          <w:tcPr>
            <w:tcW w:w="1009" w:type="dxa"/>
          </w:tcPr>
          <w:p>
            <w:pPr>
              <w:pStyle w:val="TableParagraph"/>
              <w:spacing w:before="75"/>
              <w:ind w:left="184"/>
              <w:rPr>
                <w:sz w:val="21"/>
              </w:rPr>
            </w:pPr>
            <w:r>
              <w:rPr>
                <w:sz w:val="21"/>
              </w:rPr>
              <w:t>预期性</w:t>
            </w:r>
          </w:p>
        </w:tc>
      </w:tr>
      <w:tr>
        <w:trPr>
          <w:trHeight w:val="440" w:hRule="atLeast"/>
        </w:trPr>
        <w:tc>
          <w:tcPr>
            <w:tcW w:w="4424" w:type="dxa"/>
            <w:gridSpan w:val="2"/>
          </w:tcPr>
          <w:p>
            <w:pPr>
              <w:pStyle w:val="TableParagraph"/>
              <w:spacing w:before="102"/>
              <w:ind w:left="102"/>
              <w:rPr>
                <w:sz w:val="21"/>
              </w:rPr>
            </w:pPr>
            <w:r>
              <w:rPr>
                <w:sz w:val="21"/>
              </w:rPr>
              <w:t>（</w:t>
            </w:r>
            <w:r>
              <w:rPr>
                <w:rFonts w:ascii="Times New Roman" w:eastAsia="Times New Roman"/>
                <w:sz w:val="21"/>
              </w:rPr>
              <w:t>9</w:t>
            </w:r>
            <w:r>
              <w:rPr>
                <w:sz w:val="21"/>
              </w:rPr>
              <w:t>）城镇化率</w:t>
            </w:r>
          </w:p>
        </w:tc>
        <w:tc>
          <w:tcPr>
            <w:tcW w:w="1147" w:type="dxa"/>
          </w:tcPr>
          <w:p>
            <w:pPr>
              <w:pStyle w:val="TableParagraph"/>
              <w:spacing w:before="151"/>
              <w:jc w:val="center"/>
              <w:rPr>
                <w:rFonts w:ascii="Times New Roman"/>
                <w:sz w:val="21"/>
              </w:rPr>
            </w:pPr>
            <w:r>
              <w:rPr>
                <w:rFonts w:ascii="Times New Roman"/>
                <w:w w:val="99"/>
                <w:sz w:val="21"/>
              </w:rPr>
              <w:t>%</w:t>
            </w:r>
          </w:p>
        </w:tc>
        <w:tc>
          <w:tcPr>
            <w:tcW w:w="956" w:type="dxa"/>
          </w:tcPr>
          <w:p>
            <w:pPr>
              <w:pStyle w:val="TableParagraph"/>
              <w:spacing w:before="151"/>
              <w:ind w:left="111" w:right="111"/>
              <w:jc w:val="center"/>
              <w:rPr>
                <w:rFonts w:ascii="Times New Roman"/>
                <w:sz w:val="21"/>
              </w:rPr>
            </w:pPr>
            <w:r>
              <w:rPr>
                <w:rFonts w:ascii="Times New Roman"/>
                <w:sz w:val="21"/>
              </w:rPr>
              <w:t>53.1</w:t>
            </w:r>
          </w:p>
        </w:tc>
        <w:tc>
          <w:tcPr>
            <w:tcW w:w="959" w:type="dxa"/>
          </w:tcPr>
          <w:p>
            <w:pPr>
              <w:pStyle w:val="TableParagraph"/>
              <w:spacing w:before="151"/>
              <w:ind w:left="112" w:right="112"/>
              <w:jc w:val="center"/>
              <w:rPr>
                <w:rFonts w:ascii="Times New Roman"/>
                <w:sz w:val="21"/>
              </w:rPr>
            </w:pPr>
            <w:r>
              <w:rPr>
                <w:rFonts w:ascii="Times New Roman"/>
                <w:sz w:val="21"/>
              </w:rPr>
              <w:t>60</w:t>
            </w:r>
          </w:p>
        </w:tc>
        <w:tc>
          <w:tcPr>
            <w:tcW w:w="1144" w:type="dxa"/>
          </w:tcPr>
          <w:p>
            <w:pPr>
              <w:pStyle w:val="TableParagraph"/>
              <w:spacing w:before="151"/>
              <w:ind w:left="363"/>
              <w:rPr>
                <w:rFonts w:ascii="Times New Roman"/>
                <w:sz w:val="21"/>
              </w:rPr>
            </w:pPr>
            <w:r>
              <w:rPr>
                <w:rFonts w:ascii="Times New Roman"/>
                <w:sz w:val="21"/>
              </w:rPr>
              <w:t>[6.9]</w:t>
            </w:r>
          </w:p>
        </w:tc>
        <w:tc>
          <w:tcPr>
            <w:tcW w:w="1009" w:type="dxa"/>
          </w:tcPr>
          <w:p>
            <w:pPr>
              <w:pStyle w:val="TableParagraph"/>
              <w:spacing w:before="75"/>
              <w:ind w:left="184"/>
              <w:rPr>
                <w:sz w:val="21"/>
              </w:rPr>
            </w:pPr>
            <w:r>
              <w:rPr>
                <w:sz w:val="21"/>
              </w:rPr>
              <w:t>预期性</w:t>
            </w:r>
          </w:p>
        </w:tc>
      </w:tr>
      <w:tr>
        <w:trPr>
          <w:trHeight w:val="440" w:hRule="atLeast"/>
        </w:trPr>
        <w:tc>
          <w:tcPr>
            <w:tcW w:w="4424" w:type="dxa"/>
            <w:gridSpan w:val="2"/>
          </w:tcPr>
          <w:p>
            <w:pPr>
              <w:pStyle w:val="TableParagraph"/>
              <w:spacing w:before="102"/>
              <w:ind w:left="102"/>
              <w:rPr>
                <w:sz w:val="21"/>
              </w:rPr>
            </w:pPr>
            <w:r>
              <w:rPr>
                <w:sz w:val="21"/>
              </w:rPr>
              <w:t>（</w:t>
            </w:r>
            <w:r>
              <w:rPr>
                <w:rFonts w:ascii="Times New Roman" w:eastAsia="Times New Roman"/>
                <w:sz w:val="21"/>
              </w:rPr>
              <w:t>10</w:t>
            </w:r>
            <w:r>
              <w:rPr>
                <w:sz w:val="21"/>
              </w:rPr>
              <w:t>）服务业增加值比重</w:t>
            </w:r>
          </w:p>
        </w:tc>
        <w:tc>
          <w:tcPr>
            <w:tcW w:w="1147" w:type="dxa"/>
          </w:tcPr>
          <w:p>
            <w:pPr>
              <w:pStyle w:val="TableParagraph"/>
              <w:spacing w:before="151"/>
              <w:jc w:val="center"/>
              <w:rPr>
                <w:rFonts w:ascii="Times New Roman"/>
                <w:sz w:val="21"/>
              </w:rPr>
            </w:pPr>
            <w:r>
              <w:rPr>
                <w:rFonts w:ascii="Times New Roman"/>
                <w:w w:val="99"/>
                <w:sz w:val="21"/>
              </w:rPr>
              <w:t>%</w:t>
            </w:r>
          </w:p>
        </w:tc>
        <w:tc>
          <w:tcPr>
            <w:tcW w:w="956" w:type="dxa"/>
          </w:tcPr>
          <w:p>
            <w:pPr>
              <w:pStyle w:val="TableParagraph"/>
              <w:spacing w:before="151"/>
              <w:ind w:left="111" w:right="111"/>
              <w:jc w:val="center"/>
              <w:rPr>
                <w:rFonts w:ascii="Times New Roman"/>
                <w:sz w:val="21"/>
              </w:rPr>
            </w:pPr>
            <w:r>
              <w:rPr>
                <w:rFonts w:ascii="Times New Roman"/>
                <w:sz w:val="21"/>
              </w:rPr>
              <w:t>20.2</w:t>
            </w:r>
          </w:p>
        </w:tc>
        <w:tc>
          <w:tcPr>
            <w:tcW w:w="959" w:type="dxa"/>
          </w:tcPr>
          <w:p>
            <w:pPr>
              <w:pStyle w:val="TableParagraph"/>
              <w:spacing w:before="151"/>
              <w:ind w:left="112" w:right="113"/>
              <w:jc w:val="center"/>
              <w:rPr>
                <w:rFonts w:ascii="Times New Roman"/>
                <w:sz w:val="21"/>
              </w:rPr>
            </w:pPr>
            <w:r>
              <w:rPr>
                <w:rFonts w:ascii="Times New Roman"/>
                <w:sz w:val="21"/>
              </w:rPr>
              <w:t>30</w:t>
            </w:r>
          </w:p>
        </w:tc>
        <w:tc>
          <w:tcPr>
            <w:tcW w:w="1144" w:type="dxa"/>
          </w:tcPr>
          <w:p>
            <w:pPr>
              <w:pStyle w:val="TableParagraph"/>
              <w:spacing w:before="151"/>
              <w:ind w:right="310"/>
              <w:jc w:val="right"/>
              <w:rPr>
                <w:rFonts w:ascii="Times New Roman"/>
                <w:sz w:val="21"/>
              </w:rPr>
            </w:pPr>
            <w:r>
              <w:rPr>
                <w:rFonts w:ascii="Times New Roman"/>
                <w:sz w:val="21"/>
              </w:rPr>
              <w:t>[10.5]</w:t>
            </w:r>
          </w:p>
        </w:tc>
        <w:tc>
          <w:tcPr>
            <w:tcW w:w="1009" w:type="dxa"/>
          </w:tcPr>
          <w:p>
            <w:pPr>
              <w:pStyle w:val="TableParagraph"/>
              <w:spacing w:before="102"/>
              <w:ind w:left="184"/>
              <w:rPr>
                <w:sz w:val="21"/>
              </w:rPr>
            </w:pPr>
            <w:r>
              <w:rPr>
                <w:sz w:val="21"/>
              </w:rPr>
              <w:t>预期性</w:t>
            </w:r>
          </w:p>
        </w:tc>
      </w:tr>
      <w:tr>
        <w:trPr>
          <w:trHeight w:val="440" w:hRule="atLeast"/>
        </w:trPr>
        <w:tc>
          <w:tcPr>
            <w:tcW w:w="4424" w:type="dxa"/>
            <w:gridSpan w:val="2"/>
          </w:tcPr>
          <w:p>
            <w:pPr>
              <w:pStyle w:val="TableParagraph"/>
              <w:spacing w:before="102"/>
              <w:ind w:left="102"/>
              <w:rPr>
                <w:sz w:val="18"/>
              </w:rPr>
            </w:pPr>
            <w:r>
              <w:rPr>
                <w:sz w:val="21"/>
              </w:rPr>
              <w:t>（</w:t>
            </w:r>
            <w:r>
              <w:rPr>
                <w:rFonts w:ascii="Times New Roman" w:eastAsia="Times New Roman"/>
                <w:sz w:val="21"/>
              </w:rPr>
              <w:t>11</w:t>
            </w:r>
            <w:r>
              <w:rPr>
                <w:sz w:val="21"/>
              </w:rPr>
              <w:t>）</w:t>
            </w:r>
            <w:r>
              <w:rPr>
                <w:sz w:val="18"/>
              </w:rPr>
              <w:t>高新技术产业产值占工业总产值比重</w:t>
            </w:r>
          </w:p>
        </w:tc>
        <w:tc>
          <w:tcPr>
            <w:tcW w:w="1147" w:type="dxa"/>
          </w:tcPr>
          <w:p>
            <w:pPr>
              <w:pStyle w:val="TableParagraph"/>
              <w:spacing w:before="151"/>
              <w:jc w:val="center"/>
              <w:rPr>
                <w:rFonts w:ascii="Times New Roman"/>
                <w:sz w:val="21"/>
              </w:rPr>
            </w:pPr>
            <w:r>
              <w:rPr>
                <w:rFonts w:ascii="Times New Roman"/>
                <w:w w:val="99"/>
                <w:sz w:val="21"/>
              </w:rPr>
              <w:t>%</w:t>
            </w:r>
          </w:p>
        </w:tc>
        <w:tc>
          <w:tcPr>
            <w:tcW w:w="956" w:type="dxa"/>
          </w:tcPr>
          <w:p>
            <w:pPr>
              <w:pStyle w:val="TableParagraph"/>
              <w:spacing w:before="151"/>
              <w:ind w:left="111" w:right="112"/>
              <w:jc w:val="center"/>
              <w:rPr>
                <w:rFonts w:ascii="Times New Roman"/>
                <w:sz w:val="21"/>
              </w:rPr>
            </w:pPr>
            <w:r>
              <w:rPr>
                <w:rFonts w:ascii="Times New Roman"/>
                <w:sz w:val="21"/>
              </w:rPr>
              <w:t>55</w:t>
            </w:r>
          </w:p>
        </w:tc>
        <w:tc>
          <w:tcPr>
            <w:tcW w:w="959" w:type="dxa"/>
          </w:tcPr>
          <w:p>
            <w:pPr>
              <w:pStyle w:val="TableParagraph"/>
              <w:spacing w:before="151"/>
              <w:ind w:left="112" w:right="113"/>
              <w:jc w:val="center"/>
              <w:rPr>
                <w:rFonts w:ascii="Times New Roman"/>
                <w:sz w:val="21"/>
              </w:rPr>
            </w:pPr>
            <w:r>
              <w:rPr>
                <w:rFonts w:ascii="Times New Roman"/>
                <w:sz w:val="21"/>
              </w:rPr>
              <w:t>62</w:t>
            </w:r>
          </w:p>
        </w:tc>
        <w:tc>
          <w:tcPr>
            <w:tcW w:w="1144" w:type="dxa"/>
          </w:tcPr>
          <w:p>
            <w:pPr>
              <w:pStyle w:val="TableParagraph"/>
              <w:spacing w:before="151"/>
              <w:ind w:left="213" w:right="214"/>
              <w:jc w:val="center"/>
              <w:rPr>
                <w:rFonts w:ascii="Times New Roman"/>
                <w:sz w:val="21"/>
              </w:rPr>
            </w:pPr>
            <w:r>
              <w:rPr>
                <w:rFonts w:ascii="Times New Roman"/>
                <w:sz w:val="21"/>
              </w:rPr>
              <w:t>[7]</w:t>
            </w:r>
          </w:p>
        </w:tc>
        <w:tc>
          <w:tcPr>
            <w:tcW w:w="1009" w:type="dxa"/>
          </w:tcPr>
          <w:p>
            <w:pPr>
              <w:pStyle w:val="TableParagraph"/>
              <w:spacing w:before="102"/>
              <w:ind w:left="184"/>
              <w:rPr>
                <w:sz w:val="21"/>
              </w:rPr>
            </w:pPr>
            <w:r>
              <w:rPr>
                <w:sz w:val="21"/>
              </w:rPr>
              <w:t>预期性</w:t>
            </w:r>
          </w:p>
        </w:tc>
      </w:tr>
      <w:tr>
        <w:trPr>
          <w:trHeight w:val="440" w:hRule="atLeast"/>
        </w:trPr>
        <w:tc>
          <w:tcPr>
            <w:tcW w:w="4424" w:type="dxa"/>
            <w:gridSpan w:val="2"/>
          </w:tcPr>
          <w:p>
            <w:pPr>
              <w:pStyle w:val="TableParagraph"/>
              <w:spacing w:before="102"/>
              <w:ind w:left="102"/>
              <w:rPr>
                <w:sz w:val="21"/>
              </w:rPr>
            </w:pPr>
            <w:r>
              <w:rPr>
                <w:sz w:val="21"/>
              </w:rPr>
              <w:t>（</w:t>
            </w:r>
            <w:r>
              <w:rPr>
                <w:rFonts w:ascii="Times New Roman" w:eastAsia="Times New Roman"/>
                <w:sz w:val="21"/>
              </w:rPr>
              <w:t>12</w:t>
            </w:r>
            <w:r>
              <w:rPr>
                <w:sz w:val="21"/>
              </w:rPr>
              <w:t>）旅游综合收入</w:t>
            </w:r>
          </w:p>
        </w:tc>
        <w:tc>
          <w:tcPr>
            <w:tcW w:w="1147" w:type="dxa"/>
          </w:tcPr>
          <w:p>
            <w:pPr>
              <w:pStyle w:val="TableParagraph"/>
              <w:spacing w:before="102"/>
              <w:ind w:left="221" w:right="221"/>
              <w:jc w:val="center"/>
              <w:rPr>
                <w:rFonts w:ascii="Times New Roman" w:eastAsia="Times New Roman"/>
                <w:sz w:val="21"/>
              </w:rPr>
            </w:pPr>
            <w:r>
              <w:rPr>
                <w:sz w:val="21"/>
              </w:rPr>
              <w:t>亿元</w:t>
            </w:r>
            <w:r>
              <w:rPr>
                <w:rFonts w:ascii="Times New Roman" w:eastAsia="Times New Roman"/>
                <w:sz w:val="21"/>
              </w:rPr>
              <w:t>/%</w:t>
            </w:r>
          </w:p>
        </w:tc>
        <w:tc>
          <w:tcPr>
            <w:tcW w:w="956" w:type="dxa"/>
          </w:tcPr>
          <w:p>
            <w:pPr>
              <w:pStyle w:val="TableParagraph"/>
              <w:spacing w:before="151"/>
              <w:ind w:left="111" w:right="111"/>
              <w:jc w:val="center"/>
              <w:rPr>
                <w:rFonts w:ascii="Times New Roman"/>
                <w:sz w:val="21"/>
              </w:rPr>
            </w:pPr>
            <w:r>
              <w:rPr>
                <w:rFonts w:ascii="Times New Roman"/>
                <w:sz w:val="21"/>
              </w:rPr>
              <w:t>33.3</w:t>
            </w:r>
          </w:p>
        </w:tc>
        <w:tc>
          <w:tcPr>
            <w:tcW w:w="959" w:type="dxa"/>
          </w:tcPr>
          <w:p>
            <w:pPr>
              <w:pStyle w:val="TableParagraph"/>
              <w:spacing w:before="151"/>
              <w:ind w:left="112" w:right="112"/>
              <w:jc w:val="center"/>
              <w:rPr>
                <w:rFonts w:ascii="Times New Roman"/>
                <w:sz w:val="21"/>
              </w:rPr>
            </w:pPr>
            <w:r>
              <w:rPr>
                <w:rFonts w:ascii="Times New Roman"/>
                <w:sz w:val="21"/>
              </w:rPr>
              <w:t>65</w:t>
            </w:r>
          </w:p>
        </w:tc>
        <w:tc>
          <w:tcPr>
            <w:tcW w:w="1144" w:type="dxa"/>
          </w:tcPr>
          <w:p>
            <w:pPr>
              <w:pStyle w:val="TableParagraph"/>
              <w:spacing w:before="151"/>
              <w:ind w:left="214" w:right="214"/>
              <w:jc w:val="center"/>
              <w:rPr>
                <w:rFonts w:ascii="Times New Roman"/>
                <w:sz w:val="21"/>
              </w:rPr>
            </w:pPr>
            <w:r>
              <w:rPr>
                <w:rFonts w:ascii="Times New Roman"/>
                <w:sz w:val="21"/>
              </w:rPr>
              <w:t>14.3</w:t>
            </w:r>
          </w:p>
        </w:tc>
        <w:tc>
          <w:tcPr>
            <w:tcW w:w="1009" w:type="dxa"/>
          </w:tcPr>
          <w:p>
            <w:pPr>
              <w:pStyle w:val="TableParagraph"/>
              <w:spacing w:before="102"/>
              <w:ind w:left="184"/>
              <w:rPr>
                <w:sz w:val="21"/>
              </w:rPr>
            </w:pPr>
            <w:r>
              <w:rPr>
                <w:sz w:val="21"/>
              </w:rPr>
              <w:t>预期性</w:t>
            </w:r>
          </w:p>
        </w:tc>
      </w:tr>
      <w:tr>
        <w:trPr>
          <w:trHeight w:val="440" w:hRule="atLeast"/>
        </w:trPr>
        <w:tc>
          <w:tcPr>
            <w:tcW w:w="4424" w:type="dxa"/>
            <w:gridSpan w:val="2"/>
          </w:tcPr>
          <w:p>
            <w:pPr>
              <w:pStyle w:val="TableParagraph"/>
              <w:spacing w:before="102"/>
              <w:ind w:left="102"/>
              <w:rPr>
                <w:sz w:val="18"/>
              </w:rPr>
            </w:pPr>
            <w:r>
              <w:rPr>
                <w:sz w:val="21"/>
              </w:rPr>
              <w:t>（</w:t>
            </w:r>
            <w:r>
              <w:rPr>
                <w:rFonts w:ascii="Times New Roman" w:eastAsia="Times New Roman"/>
                <w:sz w:val="21"/>
              </w:rPr>
              <w:t>13</w:t>
            </w:r>
            <w:r>
              <w:rPr>
                <w:sz w:val="21"/>
              </w:rPr>
              <w:t>）</w:t>
            </w:r>
            <w:r>
              <w:rPr>
                <w:sz w:val="18"/>
              </w:rPr>
              <w:t>研究与试验发展（</w:t>
            </w:r>
            <w:r>
              <w:rPr>
                <w:rFonts w:ascii="Times New Roman" w:eastAsia="Times New Roman"/>
                <w:sz w:val="18"/>
              </w:rPr>
              <w:t>R&amp;D</w:t>
            </w:r>
            <w:r>
              <w:rPr>
                <w:sz w:val="18"/>
              </w:rPr>
              <w:t>）经费投入强度</w:t>
            </w:r>
          </w:p>
        </w:tc>
        <w:tc>
          <w:tcPr>
            <w:tcW w:w="1147" w:type="dxa"/>
          </w:tcPr>
          <w:p>
            <w:pPr>
              <w:pStyle w:val="TableParagraph"/>
              <w:spacing w:before="151"/>
              <w:jc w:val="center"/>
              <w:rPr>
                <w:rFonts w:ascii="Times New Roman"/>
                <w:sz w:val="21"/>
              </w:rPr>
            </w:pPr>
            <w:r>
              <w:rPr>
                <w:rFonts w:ascii="Times New Roman"/>
                <w:w w:val="99"/>
                <w:sz w:val="21"/>
              </w:rPr>
              <w:t>%</w:t>
            </w:r>
          </w:p>
        </w:tc>
        <w:tc>
          <w:tcPr>
            <w:tcW w:w="956" w:type="dxa"/>
          </w:tcPr>
          <w:p>
            <w:pPr>
              <w:pStyle w:val="TableParagraph"/>
              <w:spacing w:before="151"/>
              <w:ind w:left="111" w:right="112"/>
              <w:jc w:val="center"/>
              <w:rPr>
                <w:rFonts w:ascii="Times New Roman"/>
                <w:sz w:val="21"/>
              </w:rPr>
            </w:pPr>
            <w:r>
              <w:rPr>
                <w:rFonts w:ascii="Times New Roman"/>
                <w:sz w:val="21"/>
              </w:rPr>
              <w:t>2.2</w:t>
            </w:r>
          </w:p>
        </w:tc>
        <w:tc>
          <w:tcPr>
            <w:tcW w:w="959" w:type="dxa"/>
          </w:tcPr>
          <w:p>
            <w:pPr>
              <w:pStyle w:val="TableParagraph"/>
              <w:spacing w:before="151"/>
              <w:ind w:left="112" w:right="113"/>
              <w:jc w:val="center"/>
              <w:rPr>
                <w:rFonts w:ascii="Times New Roman"/>
                <w:sz w:val="21"/>
              </w:rPr>
            </w:pPr>
            <w:r>
              <w:rPr>
                <w:rFonts w:ascii="Times New Roman"/>
                <w:sz w:val="21"/>
              </w:rPr>
              <w:t>2.5</w:t>
            </w:r>
          </w:p>
        </w:tc>
        <w:tc>
          <w:tcPr>
            <w:tcW w:w="1144" w:type="dxa"/>
          </w:tcPr>
          <w:p>
            <w:pPr>
              <w:pStyle w:val="TableParagraph"/>
              <w:spacing w:before="151"/>
              <w:ind w:left="364"/>
              <w:rPr>
                <w:rFonts w:ascii="Times New Roman"/>
                <w:sz w:val="21"/>
              </w:rPr>
            </w:pPr>
            <w:r>
              <w:rPr>
                <w:rFonts w:ascii="Times New Roman"/>
                <w:sz w:val="21"/>
              </w:rPr>
              <w:t>[0.3]</w:t>
            </w:r>
          </w:p>
        </w:tc>
        <w:tc>
          <w:tcPr>
            <w:tcW w:w="1009" w:type="dxa"/>
          </w:tcPr>
          <w:p>
            <w:pPr>
              <w:pStyle w:val="TableParagraph"/>
              <w:spacing w:before="102"/>
              <w:ind w:left="184"/>
              <w:rPr>
                <w:sz w:val="21"/>
              </w:rPr>
            </w:pPr>
            <w:r>
              <w:rPr>
                <w:sz w:val="21"/>
              </w:rPr>
              <w:t>预期性</w:t>
            </w:r>
          </w:p>
        </w:tc>
      </w:tr>
      <w:tr>
        <w:trPr>
          <w:trHeight w:val="440" w:hRule="atLeast"/>
        </w:trPr>
        <w:tc>
          <w:tcPr>
            <w:tcW w:w="4424" w:type="dxa"/>
            <w:gridSpan w:val="2"/>
          </w:tcPr>
          <w:p>
            <w:pPr>
              <w:pStyle w:val="TableParagraph"/>
              <w:spacing w:before="102"/>
              <w:ind w:left="102"/>
              <w:rPr>
                <w:sz w:val="21"/>
              </w:rPr>
            </w:pPr>
            <w:r>
              <w:rPr>
                <w:sz w:val="21"/>
              </w:rPr>
              <w:t>（</w:t>
            </w:r>
            <w:r>
              <w:rPr>
                <w:rFonts w:ascii="Times New Roman" w:eastAsia="Times New Roman"/>
                <w:sz w:val="21"/>
              </w:rPr>
              <w:t>14</w:t>
            </w:r>
            <w:r>
              <w:rPr>
                <w:sz w:val="21"/>
              </w:rPr>
              <w:t>）每万人口发明专利拥有量</w:t>
            </w:r>
          </w:p>
        </w:tc>
        <w:tc>
          <w:tcPr>
            <w:tcW w:w="1147" w:type="dxa"/>
          </w:tcPr>
          <w:p>
            <w:pPr>
              <w:pStyle w:val="TableParagraph"/>
              <w:spacing w:before="102"/>
              <w:ind w:right="1"/>
              <w:jc w:val="center"/>
              <w:rPr>
                <w:sz w:val="21"/>
              </w:rPr>
            </w:pPr>
            <w:r>
              <w:rPr>
                <w:sz w:val="21"/>
              </w:rPr>
              <w:t>件</w:t>
            </w:r>
          </w:p>
        </w:tc>
        <w:tc>
          <w:tcPr>
            <w:tcW w:w="956" w:type="dxa"/>
          </w:tcPr>
          <w:p>
            <w:pPr>
              <w:pStyle w:val="TableParagraph"/>
              <w:spacing w:before="151"/>
              <w:ind w:right="1"/>
              <w:jc w:val="center"/>
              <w:rPr>
                <w:rFonts w:ascii="Times New Roman"/>
                <w:sz w:val="21"/>
              </w:rPr>
            </w:pPr>
            <w:r>
              <w:rPr>
                <w:rFonts w:ascii="Times New Roman"/>
                <w:sz w:val="21"/>
              </w:rPr>
              <w:t>2</w:t>
            </w:r>
          </w:p>
        </w:tc>
        <w:tc>
          <w:tcPr>
            <w:tcW w:w="959" w:type="dxa"/>
          </w:tcPr>
          <w:p>
            <w:pPr>
              <w:pStyle w:val="TableParagraph"/>
              <w:spacing w:before="151"/>
              <w:jc w:val="center"/>
              <w:rPr>
                <w:rFonts w:ascii="Times New Roman"/>
                <w:sz w:val="21"/>
              </w:rPr>
            </w:pPr>
            <w:r>
              <w:rPr>
                <w:rFonts w:ascii="Times New Roman"/>
                <w:sz w:val="21"/>
              </w:rPr>
              <w:t>3</w:t>
            </w:r>
          </w:p>
        </w:tc>
        <w:tc>
          <w:tcPr>
            <w:tcW w:w="1144" w:type="dxa"/>
          </w:tcPr>
          <w:p>
            <w:pPr>
              <w:pStyle w:val="TableParagraph"/>
              <w:spacing w:before="151"/>
              <w:ind w:left="214" w:right="214"/>
              <w:jc w:val="center"/>
              <w:rPr>
                <w:rFonts w:ascii="Times New Roman"/>
                <w:sz w:val="21"/>
              </w:rPr>
            </w:pPr>
            <w:r>
              <w:rPr>
                <w:rFonts w:ascii="Times New Roman"/>
                <w:sz w:val="21"/>
              </w:rPr>
              <w:t>[1]</w:t>
            </w:r>
          </w:p>
        </w:tc>
        <w:tc>
          <w:tcPr>
            <w:tcW w:w="1009" w:type="dxa"/>
          </w:tcPr>
          <w:p>
            <w:pPr>
              <w:pStyle w:val="TableParagraph"/>
              <w:spacing w:before="102"/>
              <w:ind w:left="184"/>
              <w:rPr>
                <w:sz w:val="21"/>
              </w:rPr>
            </w:pPr>
            <w:r>
              <w:rPr>
                <w:sz w:val="21"/>
              </w:rPr>
              <w:t>预期性</w:t>
            </w:r>
          </w:p>
        </w:tc>
      </w:tr>
      <w:tr>
        <w:trPr>
          <w:trHeight w:val="440" w:hRule="atLeast"/>
        </w:trPr>
        <w:tc>
          <w:tcPr>
            <w:tcW w:w="4424" w:type="dxa"/>
            <w:gridSpan w:val="2"/>
          </w:tcPr>
          <w:p>
            <w:pPr>
              <w:pStyle w:val="TableParagraph"/>
              <w:spacing w:before="102"/>
              <w:ind w:left="102"/>
              <w:rPr>
                <w:sz w:val="21"/>
              </w:rPr>
            </w:pPr>
            <w:r>
              <w:rPr>
                <w:sz w:val="21"/>
              </w:rPr>
              <w:t>（</w:t>
            </w:r>
            <w:r>
              <w:rPr>
                <w:rFonts w:ascii="Times New Roman" w:eastAsia="Times New Roman"/>
                <w:sz w:val="21"/>
              </w:rPr>
              <w:t>15</w:t>
            </w:r>
            <w:r>
              <w:rPr>
                <w:sz w:val="21"/>
              </w:rPr>
              <w:t>）单位 </w:t>
            </w:r>
            <w:r>
              <w:rPr>
                <w:rFonts w:ascii="Times New Roman" w:eastAsia="Times New Roman"/>
                <w:sz w:val="21"/>
              </w:rPr>
              <w:t>GDP </w:t>
            </w:r>
            <w:r>
              <w:rPr>
                <w:sz w:val="21"/>
              </w:rPr>
              <w:t>能源消耗降低</w:t>
            </w:r>
          </w:p>
        </w:tc>
        <w:tc>
          <w:tcPr>
            <w:tcW w:w="1147" w:type="dxa"/>
          </w:tcPr>
          <w:p>
            <w:pPr>
              <w:pStyle w:val="TableParagraph"/>
              <w:spacing w:before="124"/>
              <w:jc w:val="center"/>
              <w:rPr>
                <w:rFonts w:ascii="Times New Roman"/>
                <w:sz w:val="21"/>
              </w:rPr>
            </w:pPr>
            <w:r>
              <w:rPr>
                <w:rFonts w:ascii="Times New Roman"/>
                <w:w w:val="99"/>
                <w:sz w:val="21"/>
              </w:rPr>
              <w:t>%</w:t>
            </w:r>
          </w:p>
        </w:tc>
        <w:tc>
          <w:tcPr>
            <w:tcW w:w="956" w:type="dxa"/>
          </w:tcPr>
          <w:p>
            <w:pPr>
              <w:pStyle w:val="TableParagraph"/>
              <w:spacing w:before="151"/>
              <w:ind w:left="111" w:right="112"/>
              <w:jc w:val="center"/>
              <w:rPr>
                <w:rFonts w:ascii="Times New Roman"/>
                <w:sz w:val="21"/>
              </w:rPr>
            </w:pPr>
            <w:r>
              <w:rPr>
                <w:rFonts w:ascii="Times New Roman"/>
                <w:sz w:val="21"/>
              </w:rPr>
              <w:t>2.8</w:t>
            </w:r>
          </w:p>
        </w:tc>
        <w:tc>
          <w:tcPr>
            <w:tcW w:w="959" w:type="dxa"/>
          </w:tcPr>
          <w:p>
            <w:pPr>
              <w:pStyle w:val="TableParagraph"/>
              <w:spacing w:before="102"/>
              <w:jc w:val="center"/>
              <w:rPr>
                <w:sz w:val="21"/>
              </w:rPr>
            </w:pPr>
            <w:r>
              <w:rPr>
                <w:sz w:val="21"/>
              </w:rPr>
              <w:t>—</w:t>
            </w:r>
          </w:p>
        </w:tc>
        <w:tc>
          <w:tcPr>
            <w:tcW w:w="1144" w:type="dxa"/>
          </w:tcPr>
          <w:p>
            <w:pPr>
              <w:pStyle w:val="TableParagraph"/>
              <w:spacing w:before="151"/>
              <w:ind w:left="214" w:right="214"/>
              <w:jc w:val="center"/>
              <w:rPr>
                <w:rFonts w:ascii="Times New Roman"/>
                <w:sz w:val="21"/>
              </w:rPr>
            </w:pPr>
            <w:r>
              <w:rPr>
                <w:rFonts w:ascii="Times New Roman"/>
                <w:sz w:val="21"/>
              </w:rPr>
              <w:t>[15]</w:t>
            </w:r>
          </w:p>
        </w:tc>
        <w:tc>
          <w:tcPr>
            <w:tcW w:w="1009" w:type="dxa"/>
          </w:tcPr>
          <w:p>
            <w:pPr>
              <w:pStyle w:val="TableParagraph"/>
              <w:spacing w:before="102"/>
              <w:ind w:left="184"/>
              <w:rPr>
                <w:sz w:val="21"/>
              </w:rPr>
            </w:pPr>
            <w:r>
              <w:rPr>
                <w:sz w:val="21"/>
              </w:rPr>
              <w:t>约束性</w:t>
            </w:r>
          </w:p>
        </w:tc>
      </w:tr>
      <w:tr>
        <w:trPr>
          <w:trHeight w:val="440" w:hRule="atLeast"/>
        </w:trPr>
        <w:tc>
          <w:tcPr>
            <w:tcW w:w="4424" w:type="dxa"/>
            <w:gridSpan w:val="2"/>
          </w:tcPr>
          <w:p>
            <w:pPr>
              <w:pStyle w:val="TableParagraph"/>
              <w:spacing w:before="102"/>
              <w:ind w:left="102"/>
              <w:rPr>
                <w:sz w:val="21"/>
              </w:rPr>
            </w:pPr>
            <w:r>
              <w:rPr>
                <w:sz w:val="21"/>
              </w:rPr>
              <w:t>（</w:t>
            </w:r>
            <w:r>
              <w:rPr>
                <w:rFonts w:ascii="Times New Roman" w:eastAsia="Times New Roman"/>
                <w:sz w:val="21"/>
              </w:rPr>
              <w:t>16</w:t>
            </w:r>
            <w:r>
              <w:rPr>
                <w:sz w:val="21"/>
              </w:rPr>
              <w:t>）单位 </w:t>
            </w:r>
            <w:r>
              <w:rPr>
                <w:rFonts w:ascii="Times New Roman" w:eastAsia="Times New Roman"/>
                <w:sz w:val="21"/>
              </w:rPr>
              <w:t>GDP </w:t>
            </w:r>
            <w:r>
              <w:rPr>
                <w:sz w:val="21"/>
              </w:rPr>
              <w:t>二氧化碳排放降低</w:t>
            </w:r>
          </w:p>
        </w:tc>
        <w:tc>
          <w:tcPr>
            <w:tcW w:w="1147" w:type="dxa"/>
          </w:tcPr>
          <w:p>
            <w:pPr>
              <w:pStyle w:val="TableParagraph"/>
              <w:spacing w:before="124"/>
              <w:jc w:val="center"/>
              <w:rPr>
                <w:rFonts w:ascii="Times New Roman"/>
                <w:sz w:val="21"/>
              </w:rPr>
            </w:pPr>
            <w:r>
              <w:rPr>
                <w:rFonts w:ascii="Times New Roman"/>
                <w:w w:val="99"/>
                <w:sz w:val="21"/>
              </w:rPr>
              <w:t>%</w:t>
            </w:r>
          </w:p>
        </w:tc>
        <w:tc>
          <w:tcPr>
            <w:tcW w:w="956" w:type="dxa"/>
          </w:tcPr>
          <w:p>
            <w:pPr>
              <w:pStyle w:val="TableParagraph"/>
              <w:spacing w:before="151"/>
              <w:ind w:right="1"/>
              <w:jc w:val="center"/>
              <w:rPr>
                <w:rFonts w:ascii="Times New Roman"/>
                <w:sz w:val="21"/>
              </w:rPr>
            </w:pPr>
            <w:r>
              <w:rPr>
                <w:rFonts w:ascii="Times New Roman"/>
                <w:sz w:val="21"/>
              </w:rPr>
              <w:t>5</w:t>
            </w:r>
          </w:p>
        </w:tc>
        <w:tc>
          <w:tcPr>
            <w:tcW w:w="959" w:type="dxa"/>
          </w:tcPr>
          <w:p>
            <w:pPr>
              <w:pStyle w:val="TableParagraph"/>
              <w:spacing w:before="102"/>
              <w:jc w:val="center"/>
              <w:rPr>
                <w:sz w:val="21"/>
              </w:rPr>
            </w:pPr>
            <w:r>
              <w:rPr>
                <w:sz w:val="21"/>
              </w:rPr>
              <w:t>—</w:t>
            </w:r>
          </w:p>
        </w:tc>
        <w:tc>
          <w:tcPr>
            <w:tcW w:w="1144" w:type="dxa"/>
          </w:tcPr>
          <w:p>
            <w:pPr>
              <w:pStyle w:val="TableParagraph"/>
              <w:spacing w:before="151"/>
              <w:ind w:left="214" w:right="214"/>
              <w:jc w:val="center"/>
              <w:rPr>
                <w:rFonts w:ascii="Times New Roman"/>
                <w:sz w:val="21"/>
              </w:rPr>
            </w:pPr>
            <w:r>
              <w:rPr>
                <w:rFonts w:ascii="Times New Roman"/>
                <w:sz w:val="21"/>
              </w:rPr>
              <w:t>[18]</w:t>
            </w:r>
          </w:p>
        </w:tc>
        <w:tc>
          <w:tcPr>
            <w:tcW w:w="1009" w:type="dxa"/>
          </w:tcPr>
          <w:p>
            <w:pPr>
              <w:pStyle w:val="TableParagraph"/>
              <w:spacing w:before="102"/>
              <w:ind w:left="184"/>
              <w:rPr>
                <w:sz w:val="21"/>
              </w:rPr>
            </w:pPr>
            <w:r>
              <w:rPr>
                <w:sz w:val="21"/>
              </w:rPr>
              <w:t>约束性</w:t>
            </w:r>
          </w:p>
        </w:tc>
      </w:tr>
      <w:tr>
        <w:trPr>
          <w:trHeight w:val="440" w:hRule="atLeast"/>
        </w:trPr>
        <w:tc>
          <w:tcPr>
            <w:tcW w:w="4424" w:type="dxa"/>
            <w:gridSpan w:val="2"/>
          </w:tcPr>
          <w:p>
            <w:pPr>
              <w:pStyle w:val="TableParagraph"/>
              <w:spacing w:before="102"/>
              <w:ind w:left="102"/>
              <w:rPr>
                <w:sz w:val="21"/>
              </w:rPr>
            </w:pPr>
            <w:r>
              <w:rPr>
                <w:sz w:val="21"/>
              </w:rPr>
              <w:t>（</w:t>
            </w:r>
            <w:r>
              <w:rPr>
                <w:rFonts w:ascii="Times New Roman" w:eastAsia="Times New Roman"/>
                <w:sz w:val="21"/>
              </w:rPr>
              <w:t>17</w:t>
            </w:r>
            <w:r>
              <w:rPr>
                <w:sz w:val="21"/>
              </w:rPr>
              <w:t>）万元 </w:t>
            </w:r>
            <w:r>
              <w:rPr>
                <w:rFonts w:ascii="Times New Roman" w:eastAsia="Times New Roman"/>
                <w:sz w:val="21"/>
              </w:rPr>
              <w:t>GDP </w:t>
            </w:r>
            <w:r>
              <w:rPr>
                <w:sz w:val="21"/>
              </w:rPr>
              <w:t>用量水</w:t>
            </w:r>
          </w:p>
        </w:tc>
        <w:tc>
          <w:tcPr>
            <w:tcW w:w="1147" w:type="dxa"/>
          </w:tcPr>
          <w:p>
            <w:pPr>
              <w:pStyle w:val="TableParagraph"/>
              <w:spacing w:before="75"/>
              <w:ind w:left="220" w:right="221"/>
              <w:jc w:val="center"/>
              <w:rPr>
                <w:sz w:val="21"/>
              </w:rPr>
            </w:pPr>
            <w:r>
              <w:rPr>
                <w:sz w:val="21"/>
              </w:rPr>
              <w:t>立方米</w:t>
            </w:r>
          </w:p>
        </w:tc>
        <w:tc>
          <w:tcPr>
            <w:tcW w:w="956" w:type="dxa"/>
          </w:tcPr>
          <w:p>
            <w:pPr>
              <w:pStyle w:val="TableParagraph"/>
              <w:spacing w:before="151"/>
              <w:ind w:left="111" w:right="111"/>
              <w:jc w:val="center"/>
              <w:rPr>
                <w:rFonts w:ascii="Times New Roman"/>
                <w:sz w:val="21"/>
              </w:rPr>
            </w:pPr>
            <w:r>
              <w:rPr>
                <w:rFonts w:ascii="Times New Roman"/>
                <w:sz w:val="21"/>
              </w:rPr>
              <w:t>120</w:t>
            </w:r>
          </w:p>
        </w:tc>
        <w:tc>
          <w:tcPr>
            <w:tcW w:w="959" w:type="dxa"/>
          </w:tcPr>
          <w:p>
            <w:pPr>
              <w:pStyle w:val="TableParagraph"/>
              <w:spacing w:before="151"/>
              <w:ind w:left="112" w:right="113"/>
              <w:jc w:val="center"/>
              <w:rPr>
                <w:rFonts w:ascii="Times New Roman"/>
                <w:sz w:val="21"/>
              </w:rPr>
            </w:pPr>
            <w:r>
              <w:rPr>
                <w:rFonts w:ascii="Times New Roman"/>
                <w:sz w:val="21"/>
              </w:rPr>
              <w:t>80</w:t>
            </w:r>
          </w:p>
        </w:tc>
        <w:tc>
          <w:tcPr>
            <w:tcW w:w="1144" w:type="dxa"/>
          </w:tcPr>
          <w:p>
            <w:pPr>
              <w:pStyle w:val="TableParagraph"/>
              <w:spacing w:before="151"/>
              <w:ind w:left="214" w:right="214"/>
              <w:jc w:val="center"/>
              <w:rPr>
                <w:rFonts w:ascii="Times New Roman"/>
                <w:sz w:val="21"/>
              </w:rPr>
            </w:pPr>
            <w:r>
              <w:rPr>
                <w:rFonts w:ascii="Times New Roman"/>
                <w:sz w:val="21"/>
              </w:rPr>
              <w:t>[40]</w:t>
            </w:r>
          </w:p>
        </w:tc>
        <w:tc>
          <w:tcPr>
            <w:tcW w:w="1009" w:type="dxa"/>
          </w:tcPr>
          <w:p>
            <w:pPr>
              <w:pStyle w:val="TableParagraph"/>
              <w:spacing w:before="102"/>
              <w:ind w:left="184"/>
              <w:rPr>
                <w:sz w:val="21"/>
              </w:rPr>
            </w:pPr>
            <w:r>
              <w:rPr>
                <w:sz w:val="21"/>
              </w:rPr>
              <w:t>约束性</w:t>
            </w:r>
          </w:p>
        </w:tc>
      </w:tr>
      <w:tr>
        <w:trPr>
          <w:trHeight w:val="440" w:hRule="atLeast"/>
        </w:trPr>
        <w:tc>
          <w:tcPr>
            <w:tcW w:w="4424" w:type="dxa"/>
            <w:gridSpan w:val="2"/>
          </w:tcPr>
          <w:p>
            <w:pPr>
              <w:pStyle w:val="TableParagraph"/>
              <w:spacing w:before="102"/>
              <w:ind w:left="102"/>
              <w:rPr>
                <w:sz w:val="21"/>
              </w:rPr>
            </w:pPr>
            <w:r>
              <w:rPr>
                <w:w w:val="90"/>
                <w:sz w:val="21"/>
              </w:rPr>
              <w:t>（</w:t>
            </w:r>
            <w:r>
              <w:rPr>
                <w:rFonts w:ascii="Times New Roman" w:eastAsia="Times New Roman"/>
                <w:w w:val="90"/>
                <w:sz w:val="21"/>
              </w:rPr>
              <w:t>18</w:t>
            </w:r>
            <w:r>
              <w:rPr>
                <w:w w:val="90"/>
                <w:sz w:val="21"/>
              </w:rPr>
              <w:t>）非化石能源占一次能源消费比重</w:t>
            </w:r>
          </w:p>
        </w:tc>
        <w:tc>
          <w:tcPr>
            <w:tcW w:w="1147" w:type="dxa"/>
          </w:tcPr>
          <w:p>
            <w:pPr>
              <w:pStyle w:val="TableParagraph"/>
              <w:spacing w:before="124"/>
              <w:jc w:val="center"/>
              <w:rPr>
                <w:rFonts w:ascii="Times New Roman"/>
                <w:sz w:val="21"/>
              </w:rPr>
            </w:pPr>
            <w:r>
              <w:rPr>
                <w:rFonts w:ascii="Times New Roman"/>
                <w:w w:val="99"/>
                <w:sz w:val="21"/>
              </w:rPr>
              <w:t>%</w:t>
            </w:r>
          </w:p>
        </w:tc>
        <w:tc>
          <w:tcPr>
            <w:tcW w:w="956" w:type="dxa"/>
          </w:tcPr>
          <w:p>
            <w:pPr>
              <w:pStyle w:val="TableParagraph"/>
              <w:spacing w:before="151"/>
              <w:ind w:left="111" w:right="111"/>
              <w:jc w:val="center"/>
              <w:rPr>
                <w:rFonts w:ascii="Times New Roman"/>
                <w:sz w:val="21"/>
              </w:rPr>
            </w:pPr>
            <w:r>
              <w:rPr>
                <w:rFonts w:ascii="Times New Roman"/>
                <w:sz w:val="21"/>
              </w:rPr>
              <w:t>36.5</w:t>
            </w:r>
          </w:p>
        </w:tc>
        <w:tc>
          <w:tcPr>
            <w:tcW w:w="959" w:type="dxa"/>
          </w:tcPr>
          <w:p>
            <w:pPr>
              <w:pStyle w:val="TableParagraph"/>
              <w:spacing w:before="151"/>
              <w:ind w:left="112" w:right="112"/>
              <w:jc w:val="center"/>
              <w:rPr>
                <w:rFonts w:ascii="Times New Roman"/>
                <w:sz w:val="21"/>
              </w:rPr>
            </w:pPr>
            <w:r>
              <w:rPr>
                <w:rFonts w:ascii="Times New Roman"/>
                <w:sz w:val="21"/>
              </w:rPr>
              <w:t>38</w:t>
            </w:r>
          </w:p>
        </w:tc>
        <w:tc>
          <w:tcPr>
            <w:tcW w:w="1144" w:type="dxa"/>
          </w:tcPr>
          <w:p>
            <w:pPr>
              <w:pStyle w:val="TableParagraph"/>
              <w:spacing w:before="151"/>
              <w:ind w:left="364"/>
              <w:rPr>
                <w:rFonts w:ascii="Times New Roman"/>
                <w:sz w:val="21"/>
              </w:rPr>
            </w:pPr>
            <w:r>
              <w:rPr>
                <w:rFonts w:ascii="Times New Roman"/>
                <w:sz w:val="21"/>
              </w:rPr>
              <w:t>[1.5]</w:t>
            </w:r>
          </w:p>
        </w:tc>
        <w:tc>
          <w:tcPr>
            <w:tcW w:w="1009" w:type="dxa"/>
          </w:tcPr>
          <w:p>
            <w:pPr>
              <w:pStyle w:val="TableParagraph"/>
              <w:spacing w:before="102"/>
              <w:ind w:left="184"/>
              <w:rPr>
                <w:sz w:val="21"/>
              </w:rPr>
            </w:pPr>
            <w:r>
              <w:rPr>
                <w:sz w:val="21"/>
              </w:rPr>
              <w:t>约束性</w:t>
            </w:r>
          </w:p>
        </w:tc>
      </w:tr>
      <w:tr>
        <w:trPr>
          <w:trHeight w:val="440" w:hRule="atLeast"/>
        </w:trPr>
        <w:tc>
          <w:tcPr>
            <w:tcW w:w="2082" w:type="dxa"/>
            <w:vMerge w:val="restart"/>
          </w:tcPr>
          <w:p>
            <w:pPr>
              <w:pStyle w:val="TableParagraph"/>
              <w:rPr>
                <w:rFonts w:ascii="黑体"/>
                <w:sz w:val="20"/>
              </w:rPr>
            </w:pPr>
          </w:p>
          <w:p>
            <w:pPr>
              <w:pStyle w:val="TableParagraph"/>
              <w:spacing w:before="3"/>
              <w:rPr>
                <w:rFonts w:ascii="黑体"/>
                <w:sz w:val="25"/>
              </w:rPr>
            </w:pPr>
          </w:p>
          <w:p>
            <w:pPr>
              <w:pStyle w:val="TableParagraph"/>
              <w:spacing w:line="328" w:lineRule="auto"/>
              <w:ind w:left="509" w:hanging="407"/>
              <w:rPr>
                <w:sz w:val="21"/>
              </w:rPr>
            </w:pPr>
            <w:r>
              <w:rPr>
                <w:sz w:val="21"/>
              </w:rPr>
              <w:t>（</w:t>
            </w:r>
            <w:r>
              <w:rPr>
                <w:rFonts w:ascii="Times New Roman" w:eastAsia="Times New Roman"/>
                <w:sz w:val="21"/>
              </w:rPr>
              <w:t>19</w:t>
            </w:r>
            <w:r>
              <w:rPr>
                <w:sz w:val="21"/>
              </w:rPr>
              <w:t>）主要污染物排放总量减少</w:t>
            </w:r>
          </w:p>
        </w:tc>
        <w:tc>
          <w:tcPr>
            <w:tcW w:w="2342" w:type="dxa"/>
          </w:tcPr>
          <w:p>
            <w:pPr>
              <w:pStyle w:val="TableParagraph"/>
              <w:spacing w:before="102"/>
              <w:ind w:left="621" w:right="620"/>
              <w:jc w:val="center"/>
              <w:rPr>
                <w:sz w:val="21"/>
              </w:rPr>
            </w:pPr>
            <w:r>
              <w:rPr>
                <w:sz w:val="21"/>
              </w:rPr>
              <w:t>化学需氧量</w:t>
            </w:r>
          </w:p>
        </w:tc>
        <w:tc>
          <w:tcPr>
            <w:tcW w:w="1147" w:type="dxa"/>
          </w:tcPr>
          <w:p>
            <w:pPr>
              <w:pStyle w:val="TableParagraph"/>
              <w:spacing w:before="124"/>
              <w:jc w:val="center"/>
              <w:rPr>
                <w:rFonts w:ascii="Times New Roman"/>
                <w:sz w:val="21"/>
              </w:rPr>
            </w:pPr>
            <w:r>
              <w:rPr>
                <w:rFonts w:ascii="Times New Roman"/>
                <w:w w:val="99"/>
                <w:sz w:val="21"/>
              </w:rPr>
              <w:t>%</w:t>
            </w:r>
          </w:p>
        </w:tc>
        <w:tc>
          <w:tcPr>
            <w:tcW w:w="956" w:type="dxa"/>
          </w:tcPr>
          <w:p>
            <w:pPr>
              <w:pStyle w:val="TableParagraph"/>
              <w:spacing w:before="151"/>
              <w:ind w:left="111" w:right="111"/>
              <w:jc w:val="center"/>
              <w:rPr>
                <w:rFonts w:ascii="Times New Roman"/>
                <w:sz w:val="21"/>
              </w:rPr>
            </w:pPr>
            <w:r>
              <w:rPr>
                <w:rFonts w:ascii="Times New Roman"/>
                <w:sz w:val="21"/>
              </w:rPr>
              <w:t>12.46</w:t>
            </w:r>
          </w:p>
        </w:tc>
        <w:tc>
          <w:tcPr>
            <w:tcW w:w="2102" w:type="dxa"/>
            <w:gridSpan w:val="2"/>
            <w:vMerge w:val="restart"/>
          </w:tcPr>
          <w:p>
            <w:pPr>
              <w:pStyle w:val="TableParagraph"/>
              <w:rPr>
                <w:rFonts w:ascii="黑体"/>
                <w:sz w:val="20"/>
              </w:rPr>
            </w:pPr>
          </w:p>
          <w:p>
            <w:pPr>
              <w:pStyle w:val="TableParagraph"/>
              <w:spacing w:before="3"/>
              <w:rPr>
                <w:rFonts w:ascii="黑体"/>
                <w:sz w:val="25"/>
              </w:rPr>
            </w:pPr>
          </w:p>
          <w:p>
            <w:pPr>
              <w:pStyle w:val="TableParagraph"/>
              <w:spacing w:line="348" w:lineRule="auto"/>
              <w:ind w:left="731" w:right="187" w:hanging="526"/>
              <w:rPr>
                <w:sz w:val="21"/>
              </w:rPr>
            </w:pPr>
            <w:r>
              <w:rPr>
                <w:sz w:val="21"/>
              </w:rPr>
              <w:t>完成省市下达的目标任务</w:t>
            </w:r>
          </w:p>
        </w:tc>
        <w:tc>
          <w:tcPr>
            <w:tcW w:w="1009" w:type="dxa"/>
            <w:vMerge w:val="restart"/>
          </w:tcPr>
          <w:p>
            <w:pPr>
              <w:pStyle w:val="TableParagraph"/>
              <w:rPr>
                <w:rFonts w:ascii="黑体"/>
                <w:sz w:val="20"/>
              </w:rPr>
            </w:pPr>
          </w:p>
          <w:p>
            <w:pPr>
              <w:pStyle w:val="TableParagraph"/>
              <w:rPr>
                <w:rFonts w:ascii="黑体"/>
                <w:sz w:val="20"/>
              </w:rPr>
            </w:pPr>
          </w:p>
          <w:p>
            <w:pPr>
              <w:pStyle w:val="TableParagraph"/>
              <w:spacing w:before="7"/>
              <w:rPr>
                <w:rFonts w:ascii="黑体"/>
                <w:sz w:val="20"/>
              </w:rPr>
            </w:pPr>
          </w:p>
          <w:p>
            <w:pPr>
              <w:pStyle w:val="TableParagraph"/>
              <w:ind w:left="184"/>
              <w:rPr>
                <w:sz w:val="21"/>
              </w:rPr>
            </w:pPr>
            <w:r>
              <w:rPr>
                <w:sz w:val="21"/>
              </w:rPr>
              <w:t>约束性</w:t>
            </w:r>
          </w:p>
        </w:tc>
      </w:tr>
      <w:tr>
        <w:trPr>
          <w:trHeight w:val="440" w:hRule="atLeast"/>
        </w:trPr>
        <w:tc>
          <w:tcPr>
            <w:tcW w:w="2082" w:type="dxa"/>
            <w:vMerge/>
            <w:tcBorders>
              <w:top w:val="nil"/>
            </w:tcBorders>
          </w:tcPr>
          <w:p>
            <w:pPr>
              <w:rPr>
                <w:sz w:val="2"/>
                <w:szCs w:val="2"/>
              </w:rPr>
            </w:pPr>
          </w:p>
        </w:tc>
        <w:tc>
          <w:tcPr>
            <w:tcW w:w="2342" w:type="dxa"/>
          </w:tcPr>
          <w:p>
            <w:pPr>
              <w:pStyle w:val="TableParagraph"/>
              <w:spacing w:before="102"/>
              <w:ind w:left="620" w:right="620"/>
              <w:jc w:val="center"/>
              <w:rPr>
                <w:sz w:val="21"/>
              </w:rPr>
            </w:pPr>
            <w:r>
              <w:rPr>
                <w:sz w:val="21"/>
              </w:rPr>
              <w:t>氨氮</w:t>
            </w:r>
          </w:p>
        </w:tc>
        <w:tc>
          <w:tcPr>
            <w:tcW w:w="1147" w:type="dxa"/>
          </w:tcPr>
          <w:p>
            <w:pPr>
              <w:pStyle w:val="TableParagraph"/>
              <w:spacing w:before="124"/>
              <w:jc w:val="center"/>
              <w:rPr>
                <w:rFonts w:ascii="Times New Roman"/>
                <w:sz w:val="21"/>
              </w:rPr>
            </w:pPr>
            <w:r>
              <w:rPr>
                <w:rFonts w:ascii="Times New Roman"/>
                <w:w w:val="99"/>
                <w:sz w:val="21"/>
              </w:rPr>
              <w:t>%</w:t>
            </w:r>
          </w:p>
        </w:tc>
        <w:tc>
          <w:tcPr>
            <w:tcW w:w="956" w:type="dxa"/>
          </w:tcPr>
          <w:p>
            <w:pPr>
              <w:pStyle w:val="TableParagraph"/>
              <w:spacing w:before="151"/>
              <w:ind w:left="111" w:right="111"/>
              <w:jc w:val="center"/>
              <w:rPr>
                <w:rFonts w:ascii="Times New Roman"/>
                <w:sz w:val="21"/>
              </w:rPr>
            </w:pPr>
            <w:r>
              <w:rPr>
                <w:rFonts w:ascii="Times New Roman"/>
                <w:sz w:val="21"/>
              </w:rPr>
              <w:t>2.19</w:t>
            </w:r>
          </w:p>
        </w:tc>
        <w:tc>
          <w:tcPr>
            <w:tcW w:w="2102" w:type="dxa"/>
            <w:gridSpan w:val="2"/>
            <w:vMerge/>
            <w:tcBorders>
              <w:top w:val="nil"/>
            </w:tcBorders>
          </w:tcPr>
          <w:p>
            <w:pPr>
              <w:rPr>
                <w:sz w:val="2"/>
                <w:szCs w:val="2"/>
              </w:rPr>
            </w:pPr>
          </w:p>
        </w:tc>
        <w:tc>
          <w:tcPr>
            <w:tcW w:w="1009" w:type="dxa"/>
            <w:vMerge/>
            <w:tcBorders>
              <w:top w:val="nil"/>
            </w:tcBorders>
          </w:tcPr>
          <w:p>
            <w:pPr>
              <w:rPr>
                <w:sz w:val="2"/>
                <w:szCs w:val="2"/>
              </w:rPr>
            </w:pPr>
          </w:p>
        </w:tc>
      </w:tr>
      <w:tr>
        <w:trPr>
          <w:trHeight w:val="440" w:hRule="atLeast"/>
        </w:trPr>
        <w:tc>
          <w:tcPr>
            <w:tcW w:w="2082" w:type="dxa"/>
            <w:vMerge/>
            <w:tcBorders>
              <w:top w:val="nil"/>
            </w:tcBorders>
          </w:tcPr>
          <w:p>
            <w:pPr>
              <w:rPr>
                <w:sz w:val="2"/>
                <w:szCs w:val="2"/>
              </w:rPr>
            </w:pPr>
          </w:p>
        </w:tc>
        <w:tc>
          <w:tcPr>
            <w:tcW w:w="2342" w:type="dxa"/>
          </w:tcPr>
          <w:p>
            <w:pPr>
              <w:pStyle w:val="TableParagraph"/>
              <w:spacing w:before="102"/>
              <w:ind w:left="620" w:right="620"/>
              <w:jc w:val="center"/>
              <w:rPr>
                <w:sz w:val="21"/>
              </w:rPr>
            </w:pPr>
            <w:r>
              <w:rPr>
                <w:sz w:val="21"/>
              </w:rPr>
              <w:t>二氧化硫</w:t>
            </w:r>
          </w:p>
        </w:tc>
        <w:tc>
          <w:tcPr>
            <w:tcW w:w="1147" w:type="dxa"/>
          </w:tcPr>
          <w:p>
            <w:pPr>
              <w:pStyle w:val="TableParagraph"/>
              <w:spacing w:before="124"/>
              <w:jc w:val="center"/>
              <w:rPr>
                <w:rFonts w:ascii="Times New Roman"/>
                <w:sz w:val="21"/>
              </w:rPr>
            </w:pPr>
            <w:r>
              <w:rPr>
                <w:rFonts w:ascii="Times New Roman"/>
                <w:w w:val="99"/>
                <w:sz w:val="21"/>
              </w:rPr>
              <w:t>%</w:t>
            </w:r>
          </w:p>
        </w:tc>
        <w:tc>
          <w:tcPr>
            <w:tcW w:w="956" w:type="dxa"/>
          </w:tcPr>
          <w:p>
            <w:pPr>
              <w:pStyle w:val="TableParagraph"/>
              <w:spacing w:before="151"/>
              <w:ind w:left="111" w:right="111"/>
              <w:jc w:val="center"/>
              <w:rPr>
                <w:rFonts w:ascii="Times New Roman"/>
                <w:sz w:val="21"/>
              </w:rPr>
            </w:pPr>
            <w:r>
              <w:rPr>
                <w:rFonts w:ascii="Times New Roman"/>
                <w:sz w:val="21"/>
              </w:rPr>
              <w:t>100</w:t>
            </w:r>
          </w:p>
        </w:tc>
        <w:tc>
          <w:tcPr>
            <w:tcW w:w="2102" w:type="dxa"/>
            <w:gridSpan w:val="2"/>
            <w:vMerge/>
            <w:tcBorders>
              <w:top w:val="nil"/>
            </w:tcBorders>
          </w:tcPr>
          <w:p>
            <w:pPr>
              <w:rPr>
                <w:sz w:val="2"/>
                <w:szCs w:val="2"/>
              </w:rPr>
            </w:pPr>
          </w:p>
        </w:tc>
        <w:tc>
          <w:tcPr>
            <w:tcW w:w="1009" w:type="dxa"/>
            <w:vMerge/>
            <w:tcBorders>
              <w:top w:val="nil"/>
            </w:tcBorders>
          </w:tcPr>
          <w:p>
            <w:pPr>
              <w:rPr>
                <w:sz w:val="2"/>
                <w:szCs w:val="2"/>
              </w:rPr>
            </w:pPr>
          </w:p>
        </w:tc>
      </w:tr>
      <w:tr>
        <w:trPr>
          <w:trHeight w:val="440" w:hRule="atLeast"/>
        </w:trPr>
        <w:tc>
          <w:tcPr>
            <w:tcW w:w="2082" w:type="dxa"/>
            <w:vMerge/>
            <w:tcBorders>
              <w:top w:val="nil"/>
            </w:tcBorders>
          </w:tcPr>
          <w:p>
            <w:pPr>
              <w:rPr>
                <w:sz w:val="2"/>
                <w:szCs w:val="2"/>
              </w:rPr>
            </w:pPr>
          </w:p>
        </w:tc>
        <w:tc>
          <w:tcPr>
            <w:tcW w:w="2342" w:type="dxa"/>
          </w:tcPr>
          <w:p>
            <w:pPr>
              <w:pStyle w:val="TableParagraph"/>
              <w:spacing w:before="102"/>
              <w:ind w:left="620" w:right="620"/>
              <w:jc w:val="center"/>
              <w:rPr>
                <w:sz w:val="21"/>
              </w:rPr>
            </w:pPr>
            <w:r>
              <w:rPr>
                <w:sz w:val="21"/>
              </w:rPr>
              <w:t>氮氧化物</w:t>
            </w:r>
          </w:p>
        </w:tc>
        <w:tc>
          <w:tcPr>
            <w:tcW w:w="1147" w:type="dxa"/>
          </w:tcPr>
          <w:p>
            <w:pPr>
              <w:pStyle w:val="TableParagraph"/>
              <w:spacing w:before="124"/>
              <w:jc w:val="center"/>
              <w:rPr>
                <w:rFonts w:ascii="Times New Roman"/>
                <w:sz w:val="21"/>
              </w:rPr>
            </w:pPr>
            <w:r>
              <w:rPr>
                <w:rFonts w:ascii="Times New Roman"/>
                <w:w w:val="99"/>
                <w:sz w:val="21"/>
              </w:rPr>
              <w:t>%</w:t>
            </w:r>
          </w:p>
        </w:tc>
        <w:tc>
          <w:tcPr>
            <w:tcW w:w="956" w:type="dxa"/>
          </w:tcPr>
          <w:p>
            <w:pPr>
              <w:pStyle w:val="TableParagraph"/>
              <w:spacing w:before="151"/>
              <w:ind w:left="111" w:right="111"/>
              <w:jc w:val="center"/>
              <w:rPr>
                <w:rFonts w:ascii="Times New Roman"/>
                <w:sz w:val="21"/>
              </w:rPr>
            </w:pPr>
            <w:r>
              <w:rPr>
                <w:rFonts w:ascii="Times New Roman"/>
                <w:sz w:val="21"/>
              </w:rPr>
              <w:t>100</w:t>
            </w:r>
          </w:p>
        </w:tc>
        <w:tc>
          <w:tcPr>
            <w:tcW w:w="2102" w:type="dxa"/>
            <w:gridSpan w:val="2"/>
            <w:vMerge/>
            <w:tcBorders>
              <w:top w:val="nil"/>
            </w:tcBorders>
          </w:tcPr>
          <w:p>
            <w:pPr>
              <w:rPr>
                <w:sz w:val="2"/>
                <w:szCs w:val="2"/>
              </w:rPr>
            </w:pPr>
          </w:p>
        </w:tc>
        <w:tc>
          <w:tcPr>
            <w:tcW w:w="1009" w:type="dxa"/>
            <w:vMerge/>
            <w:tcBorders>
              <w:top w:val="nil"/>
            </w:tcBorders>
          </w:tcPr>
          <w:p>
            <w:pPr>
              <w:rPr>
                <w:sz w:val="2"/>
                <w:szCs w:val="2"/>
              </w:rPr>
            </w:pPr>
          </w:p>
        </w:tc>
      </w:tr>
      <w:tr>
        <w:trPr>
          <w:trHeight w:val="620" w:hRule="atLeast"/>
        </w:trPr>
        <w:tc>
          <w:tcPr>
            <w:tcW w:w="4424" w:type="dxa"/>
            <w:gridSpan w:val="2"/>
          </w:tcPr>
          <w:p>
            <w:pPr>
              <w:pStyle w:val="TableParagraph"/>
              <w:spacing w:before="186"/>
              <w:ind w:left="102"/>
              <w:rPr>
                <w:sz w:val="21"/>
              </w:rPr>
            </w:pPr>
            <w:r>
              <w:rPr>
                <w:sz w:val="21"/>
              </w:rPr>
              <w:t>（</w:t>
            </w:r>
            <w:r>
              <w:rPr>
                <w:rFonts w:ascii="Times New Roman" w:eastAsia="Times New Roman"/>
                <w:sz w:val="21"/>
              </w:rPr>
              <w:t>20</w:t>
            </w:r>
            <w:r>
              <w:rPr>
                <w:sz w:val="21"/>
              </w:rPr>
              <w:t>）耕地保有量</w:t>
            </w:r>
          </w:p>
        </w:tc>
        <w:tc>
          <w:tcPr>
            <w:tcW w:w="1147" w:type="dxa"/>
          </w:tcPr>
          <w:p>
            <w:pPr>
              <w:pStyle w:val="TableParagraph"/>
              <w:spacing w:before="3"/>
              <w:rPr>
                <w:rFonts w:ascii="黑体"/>
                <w:sz w:val="14"/>
              </w:rPr>
            </w:pPr>
          </w:p>
          <w:p>
            <w:pPr>
              <w:pStyle w:val="TableParagraph"/>
              <w:ind w:left="221" w:right="221"/>
              <w:jc w:val="center"/>
              <w:rPr>
                <w:sz w:val="21"/>
              </w:rPr>
            </w:pPr>
            <w:r>
              <w:rPr>
                <w:sz w:val="21"/>
              </w:rPr>
              <w:t>公顷</w:t>
            </w:r>
          </w:p>
        </w:tc>
        <w:tc>
          <w:tcPr>
            <w:tcW w:w="956" w:type="dxa"/>
          </w:tcPr>
          <w:p>
            <w:pPr>
              <w:pStyle w:val="TableParagraph"/>
              <w:rPr>
                <w:rFonts w:ascii="黑体"/>
                <w:sz w:val="18"/>
              </w:rPr>
            </w:pPr>
          </w:p>
          <w:p>
            <w:pPr>
              <w:pStyle w:val="TableParagraph"/>
              <w:ind w:left="111" w:right="112"/>
              <w:jc w:val="center"/>
              <w:rPr>
                <w:rFonts w:ascii="Times New Roman"/>
                <w:sz w:val="21"/>
              </w:rPr>
            </w:pPr>
            <w:r>
              <w:rPr>
                <w:rFonts w:ascii="Times New Roman"/>
                <w:sz w:val="21"/>
              </w:rPr>
              <w:t>14839</w:t>
            </w:r>
          </w:p>
        </w:tc>
        <w:tc>
          <w:tcPr>
            <w:tcW w:w="959" w:type="dxa"/>
          </w:tcPr>
          <w:p>
            <w:pPr>
              <w:pStyle w:val="TableParagraph"/>
              <w:rPr>
                <w:rFonts w:ascii="黑体"/>
                <w:sz w:val="18"/>
              </w:rPr>
            </w:pPr>
          </w:p>
          <w:p>
            <w:pPr>
              <w:pStyle w:val="TableParagraph"/>
              <w:ind w:left="112" w:right="113"/>
              <w:jc w:val="center"/>
              <w:rPr>
                <w:rFonts w:ascii="Times New Roman"/>
                <w:sz w:val="21"/>
              </w:rPr>
            </w:pPr>
            <w:r>
              <w:rPr>
                <w:rFonts w:ascii="Times New Roman"/>
                <w:sz w:val="21"/>
              </w:rPr>
              <w:t>14616</w:t>
            </w:r>
          </w:p>
        </w:tc>
        <w:tc>
          <w:tcPr>
            <w:tcW w:w="1144" w:type="dxa"/>
          </w:tcPr>
          <w:p>
            <w:pPr>
              <w:pStyle w:val="TableParagraph"/>
              <w:spacing w:before="3"/>
              <w:rPr>
                <w:rFonts w:ascii="黑体"/>
                <w:sz w:val="14"/>
              </w:rPr>
            </w:pPr>
          </w:p>
          <w:p>
            <w:pPr>
              <w:pStyle w:val="TableParagraph"/>
              <w:jc w:val="center"/>
              <w:rPr>
                <w:sz w:val="21"/>
              </w:rPr>
            </w:pPr>
            <w:r>
              <w:rPr>
                <w:sz w:val="21"/>
              </w:rPr>
              <w:t>—</w:t>
            </w:r>
          </w:p>
        </w:tc>
        <w:tc>
          <w:tcPr>
            <w:tcW w:w="1009" w:type="dxa"/>
          </w:tcPr>
          <w:p>
            <w:pPr>
              <w:pStyle w:val="TableParagraph"/>
              <w:spacing w:before="3"/>
              <w:rPr>
                <w:rFonts w:ascii="黑体"/>
                <w:sz w:val="14"/>
              </w:rPr>
            </w:pPr>
          </w:p>
          <w:p>
            <w:pPr>
              <w:pStyle w:val="TableParagraph"/>
              <w:ind w:left="184"/>
              <w:rPr>
                <w:sz w:val="21"/>
              </w:rPr>
            </w:pPr>
            <w:r>
              <w:rPr>
                <w:sz w:val="21"/>
              </w:rPr>
              <w:t>约束性</w:t>
            </w:r>
          </w:p>
        </w:tc>
      </w:tr>
      <w:tr>
        <w:trPr>
          <w:trHeight w:val="620" w:hRule="atLeast"/>
        </w:trPr>
        <w:tc>
          <w:tcPr>
            <w:tcW w:w="4424" w:type="dxa"/>
            <w:gridSpan w:val="2"/>
          </w:tcPr>
          <w:p>
            <w:pPr>
              <w:pStyle w:val="TableParagraph"/>
              <w:spacing w:before="186"/>
              <w:ind w:left="102"/>
              <w:rPr>
                <w:sz w:val="21"/>
              </w:rPr>
            </w:pPr>
            <w:r>
              <w:rPr>
                <w:sz w:val="21"/>
              </w:rPr>
              <w:t>（</w:t>
            </w:r>
            <w:r>
              <w:rPr>
                <w:rFonts w:ascii="Times New Roman" w:eastAsia="Times New Roman"/>
                <w:sz w:val="21"/>
              </w:rPr>
              <w:t>21</w:t>
            </w:r>
            <w:r>
              <w:rPr>
                <w:sz w:val="21"/>
              </w:rPr>
              <w:t>）新增建设用地</w:t>
            </w:r>
          </w:p>
        </w:tc>
        <w:tc>
          <w:tcPr>
            <w:tcW w:w="1147" w:type="dxa"/>
          </w:tcPr>
          <w:p>
            <w:pPr>
              <w:pStyle w:val="TableParagraph"/>
              <w:spacing w:before="3"/>
              <w:rPr>
                <w:rFonts w:ascii="黑体"/>
                <w:sz w:val="14"/>
              </w:rPr>
            </w:pPr>
          </w:p>
          <w:p>
            <w:pPr>
              <w:pStyle w:val="TableParagraph"/>
              <w:ind w:right="1"/>
              <w:jc w:val="center"/>
              <w:rPr>
                <w:sz w:val="21"/>
              </w:rPr>
            </w:pPr>
            <w:r>
              <w:rPr>
                <w:sz w:val="21"/>
              </w:rPr>
              <w:t>亩</w:t>
            </w:r>
          </w:p>
        </w:tc>
        <w:tc>
          <w:tcPr>
            <w:tcW w:w="956" w:type="dxa"/>
          </w:tcPr>
          <w:p>
            <w:pPr>
              <w:pStyle w:val="TableParagraph"/>
              <w:rPr>
                <w:rFonts w:ascii="黑体"/>
                <w:sz w:val="18"/>
              </w:rPr>
            </w:pPr>
          </w:p>
          <w:p>
            <w:pPr>
              <w:pStyle w:val="TableParagraph"/>
              <w:ind w:left="111" w:right="111"/>
              <w:jc w:val="center"/>
              <w:rPr>
                <w:rFonts w:ascii="Times New Roman"/>
                <w:sz w:val="21"/>
              </w:rPr>
            </w:pPr>
            <w:r>
              <w:rPr>
                <w:rFonts w:ascii="Times New Roman"/>
                <w:sz w:val="21"/>
              </w:rPr>
              <w:t>760</w:t>
            </w:r>
          </w:p>
        </w:tc>
        <w:tc>
          <w:tcPr>
            <w:tcW w:w="959" w:type="dxa"/>
          </w:tcPr>
          <w:p>
            <w:pPr>
              <w:pStyle w:val="TableParagraph"/>
              <w:spacing w:before="3"/>
              <w:rPr>
                <w:rFonts w:ascii="黑体"/>
                <w:sz w:val="14"/>
              </w:rPr>
            </w:pPr>
          </w:p>
          <w:p>
            <w:pPr>
              <w:pStyle w:val="TableParagraph"/>
              <w:ind w:left="105"/>
              <w:jc w:val="center"/>
              <w:rPr>
                <w:sz w:val="21"/>
              </w:rPr>
            </w:pPr>
            <w:r>
              <w:rPr>
                <w:sz w:val="21"/>
              </w:rPr>
              <w:t>—</w:t>
            </w:r>
          </w:p>
        </w:tc>
        <w:tc>
          <w:tcPr>
            <w:tcW w:w="1144" w:type="dxa"/>
          </w:tcPr>
          <w:p>
            <w:pPr>
              <w:pStyle w:val="TableParagraph"/>
              <w:rPr>
                <w:rFonts w:ascii="黑体"/>
                <w:sz w:val="18"/>
              </w:rPr>
            </w:pPr>
          </w:p>
          <w:p>
            <w:pPr>
              <w:pStyle w:val="TableParagraph"/>
              <w:ind w:right="284"/>
              <w:jc w:val="right"/>
              <w:rPr>
                <w:rFonts w:ascii="Times New Roman"/>
                <w:sz w:val="21"/>
              </w:rPr>
            </w:pPr>
            <w:r>
              <w:rPr>
                <w:rFonts w:ascii="Times New Roman"/>
                <w:sz w:val="21"/>
              </w:rPr>
              <w:t>[5000]</w:t>
            </w:r>
          </w:p>
        </w:tc>
        <w:tc>
          <w:tcPr>
            <w:tcW w:w="1009" w:type="dxa"/>
          </w:tcPr>
          <w:p>
            <w:pPr>
              <w:pStyle w:val="TableParagraph"/>
              <w:spacing w:before="3"/>
              <w:rPr>
                <w:rFonts w:ascii="黑体"/>
                <w:sz w:val="14"/>
              </w:rPr>
            </w:pPr>
          </w:p>
          <w:p>
            <w:pPr>
              <w:pStyle w:val="TableParagraph"/>
              <w:ind w:left="184"/>
              <w:rPr>
                <w:sz w:val="21"/>
              </w:rPr>
            </w:pPr>
            <w:r>
              <w:rPr>
                <w:sz w:val="21"/>
              </w:rPr>
              <w:t>约束性</w:t>
            </w:r>
          </w:p>
        </w:tc>
      </w:tr>
      <w:tr>
        <w:trPr>
          <w:trHeight w:val="620" w:hRule="atLeast"/>
        </w:trPr>
        <w:tc>
          <w:tcPr>
            <w:tcW w:w="4424" w:type="dxa"/>
            <w:gridSpan w:val="2"/>
          </w:tcPr>
          <w:p>
            <w:pPr>
              <w:pStyle w:val="TableParagraph"/>
              <w:spacing w:before="186"/>
              <w:ind w:left="102"/>
              <w:rPr>
                <w:sz w:val="21"/>
              </w:rPr>
            </w:pPr>
            <w:r>
              <w:rPr>
                <w:sz w:val="21"/>
              </w:rPr>
              <w:t>（</w:t>
            </w:r>
            <w:r>
              <w:rPr>
                <w:rFonts w:ascii="Times New Roman" w:eastAsia="Times New Roman"/>
                <w:sz w:val="21"/>
              </w:rPr>
              <w:t>22</w:t>
            </w:r>
            <w:r>
              <w:rPr>
                <w:sz w:val="21"/>
              </w:rPr>
              <w:t>）森林覆盖率</w:t>
            </w:r>
          </w:p>
        </w:tc>
        <w:tc>
          <w:tcPr>
            <w:tcW w:w="1147" w:type="dxa"/>
          </w:tcPr>
          <w:p>
            <w:pPr>
              <w:pStyle w:val="TableParagraph"/>
              <w:rPr>
                <w:rFonts w:ascii="黑体"/>
                <w:sz w:val="18"/>
              </w:rPr>
            </w:pPr>
          </w:p>
          <w:p>
            <w:pPr>
              <w:pStyle w:val="TableParagraph"/>
              <w:jc w:val="center"/>
              <w:rPr>
                <w:rFonts w:ascii="Times New Roman"/>
                <w:sz w:val="21"/>
              </w:rPr>
            </w:pPr>
            <w:r>
              <w:rPr>
                <w:rFonts w:ascii="Times New Roman"/>
                <w:w w:val="99"/>
                <w:sz w:val="21"/>
              </w:rPr>
              <w:t>%</w:t>
            </w:r>
          </w:p>
        </w:tc>
        <w:tc>
          <w:tcPr>
            <w:tcW w:w="956" w:type="dxa"/>
          </w:tcPr>
          <w:p>
            <w:pPr>
              <w:pStyle w:val="TableParagraph"/>
              <w:rPr>
                <w:rFonts w:ascii="黑体"/>
                <w:sz w:val="18"/>
              </w:rPr>
            </w:pPr>
          </w:p>
          <w:p>
            <w:pPr>
              <w:pStyle w:val="TableParagraph"/>
              <w:ind w:left="111" w:right="111"/>
              <w:jc w:val="center"/>
              <w:rPr>
                <w:rFonts w:ascii="Times New Roman"/>
                <w:sz w:val="21"/>
              </w:rPr>
            </w:pPr>
            <w:r>
              <w:rPr>
                <w:rFonts w:ascii="Times New Roman"/>
                <w:sz w:val="21"/>
              </w:rPr>
              <w:t>35.73</w:t>
            </w:r>
          </w:p>
        </w:tc>
        <w:tc>
          <w:tcPr>
            <w:tcW w:w="959" w:type="dxa"/>
          </w:tcPr>
          <w:p>
            <w:pPr>
              <w:pStyle w:val="TableParagraph"/>
              <w:rPr>
                <w:rFonts w:ascii="黑体"/>
                <w:sz w:val="18"/>
              </w:rPr>
            </w:pPr>
          </w:p>
          <w:p>
            <w:pPr>
              <w:pStyle w:val="TableParagraph"/>
              <w:ind w:left="112" w:right="112"/>
              <w:jc w:val="center"/>
              <w:rPr>
                <w:rFonts w:ascii="Times New Roman"/>
                <w:sz w:val="21"/>
              </w:rPr>
            </w:pPr>
            <w:r>
              <w:rPr>
                <w:rFonts w:ascii="Times New Roman"/>
                <w:sz w:val="21"/>
              </w:rPr>
              <w:t>36.54</w:t>
            </w:r>
          </w:p>
        </w:tc>
        <w:tc>
          <w:tcPr>
            <w:tcW w:w="1144" w:type="dxa"/>
          </w:tcPr>
          <w:p>
            <w:pPr>
              <w:pStyle w:val="TableParagraph"/>
              <w:rPr>
                <w:rFonts w:ascii="黑体"/>
                <w:sz w:val="18"/>
              </w:rPr>
            </w:pPr>
          </w:p>
          <w:p>
            <w:pPr>
              <w:pStyle w:val="TableParagraph"/>
              <w:ind w:right="310"/>
              <w:jc w:val="right"/>
              <w:rPr>
                <w:rFonts w:ascii="Times New Roman"/>
                <w:sz w:val="21"/>
              </w:rPr>
            </w:pPr>
            <w:r>
              <w:rPr>
                <w:rFonts w:ascii="Times New Roman"/>
                <w:sz w:val="21"/>
              </w:rPr>
              <w:t>[0.81]</w:t>
            </w:r>
          </w:p>
        </w:tc>
        <w:tc>
          <w:tcPr>
            <w:tcW w:w="1009" w:type="dxa"/>
          </w:tcPr>
          <w:p>
            <w:pPr>
              <w:pStyle w:val="TableParagraph"/>
              <w:spacing w:before="3"/>
              <w:rPr>
                <w:rFonts w:ascii="黑体"/>
                <w:sz w:val="14"/>
              </w:rPr>
            </w:pPr>
          </w:p>
          <w:p>
            <w:pPr>
              <w:pStyle w:val="TableParagraph"/>
              <w:ind w:left="184"/>
              <w:rPr>
                <w:sz w:val="21"/>
              </w:rPr>
            </w:pPr>
            <w:r>
              <w:rPr>
                <w:sz w:val="21"/>
              </w:rPr>
              <w:t>约束性</w:t>
            </w:r>
          </w:p>
        </w:tc>
      </w:tr>
    </w:tbl>
    <w:p>
      <w:pPr>
        <w:spacing w:after="0"/>
        <w:rPr>
          <w:sz w:val="21"/>
        </w:rPr>
        <w:sectPr>
          <w:pgSz w:w="11910" w:h="16840"/>
          <w:pgMar w:header="0" w:footer="998" w:top="1400" w:bottom="1180" w:left="1020" w:right="1020"/>
        </w:sectPr>
      </w:pPr>
    </w:p>
    <w:tbl>
      <w:tblPr>
        <w:tblW w:w="0" w:type="auto"/>
        <w:jc w:val="lef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939"/>
        <w:gridCol w:w="2485"/>
        <w:gridCol w:w="1147"/>
        <w:gridCol w:w="956"/>
        <w:gridCol w:w="959"/>
        <w:gridCol w:w="1144"/>
        <w:gridCol w:w="1009"/>
      </w:tblGrid>
      <w:tr>
        <w:trPr>
          <w:trHeight w:val="620" w:hRule="atLeast"/>
        </w:trPr>
        <w:tc>
          <w:tcPr>
            <w:tcW w:w="4424" w:type="dxa"/>
            <w:gridSpan w:val="2"/>
          </w:tcPr>
          <w:p>
            <w:pPr>
              <w:pStyle w:val="TableParagraph"/>
              <w:spacing w:before="116"/>
              <w:ind w:left="1886" w:right="1887"/>
              <w:jc w:val="center"/>
              <w:rPr>
                <w:rFonts w:ascii="黑体" w:eastAsia="黑体" w:hint="eastAsia"/>
                <w:sz w:val="24"/>
              </w:rPr>
            </w:pPr>
            <w:r>
              <w:rPr>
                <w:rFonts w:ascii="黑体" w:eastAsia="黑体" w:hint="eastAsia"/>
                <w:sz w:val="24"/>
              </w:rPr>
              <w:t>指 标</w:t>
            </w:r>
          </w:p>
        </w:tc>
        <w:tc>
          <w:tcPr>
            <w:tcW w:w="1147" w:type="dxa"/>
          </w:tcPr>
          <w:p>
            <w:pPr>
              <w:pStyle w:val="TableParagraph"/>
              <w:spacing w:before="116"/>
              <w:ind w:left="221" w:right="221"/>
              <w:jc w:val="center"/>
              <w:rPr>
                <w:rFonts w:ascii="黑体" w:eastAsia="黑体" w:hint="eastAsia"/>
                <w:sz w:val="24"/>
              </w:rPr>
            </w:pPr>
            <w:r>
              <w:rPr>
                <w:rFonts w:ascii="黑体" w:eastAsia="黑体" w:hint="eastAsia"/>
                <w:sz w:val="24"/>
              </w:rPr>
              <w:t>单位</w:t>
            </w:r>
          </w:p>
        </w:tc>
        <w:tc>
          <w:tcPr>
            <w:tcW w:w="956" w:type="dxa"/>
          </w:tcPr>
          <w:p>
            <w:pPr>
              <w:pStyle w:val="TableParagraph"/>
              <w:spacing w:before="139"/>
              <w:ind w:left="111" w:right="112"/>
              <w:jc w:val="center"/>
              <w:rPr>
                <w:rFonts w:ascii="黑体" w:eastAsia="黑体" w:hint="eastAsia"/>
                <w:sz w:val="21"/>
              </w:rPr>
            </w:pPr>
            <w:r>
              <w:rPr>
                <w:rFonts w:ascii="Times New Roman" w:eastAsia="Times New Roman"/>
                <w:sz w:val="21"/>
              </w:rPr>
              <w:t>2015 </w:t>
            </w:r>
            <w:r>
              <w:rPr>
                <w:rFonts w:ascii="黑体" w:eastAsia="黑体" w:hint="eastAsia"/>
                <w:sz w:val="21"/>
              </w:rPr>
              <w:t>年</w:t>
            </w:r>
          </w:p>
        </w:tc>
        <w:tc>
          <w:tcPr>
            <w:tcW w:w="959" w:type="dxa"/>
          </w:tcPr>
          <w:p>
            <w:pPr>
              <w:pStyle w:val="TableParagraph"/>
              <w:spacing w:line="282" w:lineRule="exact" w:before="3"/>
              <w:ind w:left="112" w:right="113"/>
              <w:jc w:val="center"/>
              <w:rPr>
                <w:rFonts w:ascii="黑体" w:eastAsia="黑体" w:hint="eastAsia"/>
                <w:sz w:val="21"/>
              </w:rPr>
            </w:pPr>
            <w:r>
              <w:rPr>
                <w:rFonts w:ascii="Times New Roman" w:eastAsia="Times New Roman"/>
                <w:sz w:val="21"/>
              </w:rPr>
              <w:t>2020 </w:t>
            </w:r>
            <w:r>
              <w:rPr>
                <w:rFonts w:ascii="黑体" w:eastAsia="黑体" w:hint="eastAsia"/>
                <w:sz w:val="21"/>
              </w:rPr>
              <w:t>年</w:t>
            </w:r>
          </w:p>
          <w:p>
            <w:pPr>
              <w:pStyle w:val="TableParagraph"/>
              <w:spacing w:line="266" w:lineRule="exact"/>
              <w:ind w:left="112" w:right="113"/>
              <w:jc w:val="center"/>
              <w:rPr>
                <w:rFonts w:ascii="黑体" w:eastAsia="黑体" w:hint="eastAsia"/>
                <w:sz w:val="21"/>
              </w:rPr>
            </w:pPr>
            <w:r>
              <w:rPr>
                <w:rFonts w:ascii="黑体" w:eastAsia="黑体" w:hint="eastAsia"/>
                <w:sz w:val="21"/>
              </w:rPr>
              <w:t>目标</w:t>
            </w:r>
          </w:p>
        </w:tc>
        <w:tc>
          <w:tcPr>
            <w:tcW w:w="1144" w:type="dxa"/>
          </w:tcPr>
          <w:p>
            <w:pPr>
              <w:pStyle w:val="TableParagraph"/>
              <w:spacing w:line="237" w:lineRule="auto" w:before="5"/>
              <w:ind w:left="146" w:right="127"/>
              <w:rPr>
                <w:rFonts w:ascii="黑体" w:eastAsia="黑体" w:hint="eastAsia"/>
                <w:sz w:val="21"/>
              </w:rPr>
            </w:pPr>
            <w:r>
              <w:rPr>
                <w:rFonts w:ascii="黑体" w:eastAsia="黑体" w:hint="eastAsia"/>
                <w:sz w:val="21"/>
              </w:rPr>
              <w:t>年均增速或累计数</w:t>
            </w:r>
          </w:p>
        </w:tc>
        <w:tc>
          <w:tcPr>
            <w:tcW w:w="1009" w:type="dxa"/>
          </w:tcPr>
          <w:p>
            <w:pPr>
              <w:pStyle w:val="TableParagraph"/>
              <w:spacing w:line="273" w:lineRule="exact"/>
              <w:ind w:left="259"/>
              <w:rPr>
                <w:rFonts w:ascii="黑体" w:eastAsia="黑体" w:hint="eastAsia"/>
                <w:sz w:val="24"/>
              </w:rPr>
            </w:pPr>
            <w:r>
              <w:rPr>
                <w:rFonts w:ascii="黑体" w:eastAsia="黑体" w:hint="eastAsia"/>
                <w:sz w:val="24"/>
              </w:rPr>
              <w:t>指标</w:t>
            </w:r>
          </w:p>
          <w:p>
            <w:pPr>
              <w:pStyle w:val="TableParagraph"/>
              <w:spacing w:line="312" w:lineRule="exact"/>
              <w:ind w:left="259"/>
              <w:rPr>
                <w:rFonts w:ascii="黑体" w:eastAsia="黑体" w:hint="eastAsia"/>
                <w:sz w:val="24"/>
              </w:rPr>
            </w:pPr>
            <w:r>
              <w:rPr>
                <w:rFonts w:ascii="黑体" w:eastAsia="黑体" w:hint="eastAsia"/>
                <w:sz w:val="24"/>
              </w:rPr>
              <w:t>属性</w:t>
            </w:r>
          </w:p>
        </w:tc>
      </w:tr>
      <w:tr>
        <w:trPr>
          <w:trHeight w:val="440" w:hRule="atLeast"/>
        </w:trPr>
        <w:tc>
          <w:tcPr>
            <w:tcW w:w="1939" w:type="dxa"/>
            <w:vMerge w:val="restart"/>
          </w:tcPr>
          <w:p>
            <w:pPr>
              <w:pStyle w:val="TableParagraph"/>
              <w:spacing w:line="328" w:lineRule="auto" w:before="129"/>
              <w:ind w:left="544" w:right="211" w:hanging="316"/>
              <w:rPr>
                <w:sz w:val="21"/>
              </w:rPr>
            </w:pPr>
            <w:r>
              <w:rPr>
                <w:sz w:val="21"/>
              </w:rPr>
              <w:t>（</w:t>
            </w:r>
            <w:r>
              <w:rPr>
                <w:rFonts w:ascii="Times New Roman" w:eastAsia="Times New Roman"/>
                <w:sz w:val="21"/>
              </w:rPr>
              <w:t>23</w:t>
            </w:r>
            <w:r>
              <w:rPr>
                <w:sz w:val="21"/>
              </w:rPr>
              <w:t>）中心城区空气质量</w:t>
            </w:r>
          </w:p>
        </w:tc>
        <w:tc>
          <w:tcPr>
            <w:tcW w:w="2485" w:type="dxa"/>
          </w:tcPr>
          <w:p>
            <w:pPr>
              <w:pStyle w:val="TableParagraph"/>
              <w:spacing w:before="102"/>
              <w:ind w:left="167" w:right="167"/>
              <w:jc w:val="center"/>
              <w:rPr>
                <w:sz w:val="21"/>
              </w:rPr>
            </w:pPr>
            <w:r>
              <w:rPr>
                <w:rFonts w:ascii="Times New Roman" w:eastAsia="Times New Roman"/>
                <w:sz w:val="21"/>
              </w:rPr>
              <w:t>PM2.5 </w:t>
            </w:r>
            <w:r>
              <w:rPr>
                <w:sz w:val="21"/>
              </w:rPr>
              <w:t>浓度下降</w:t>
            </w:r>
          </w:p>
        </w:tc>
        <w:tc>
          <w:tcPr>
            <w:tcW w:w="1147" w:type="dxa"/>
          </w:tcPr>
          <w:p>
            <w:pPr>
              <w:pStyle w:val="TableParagraph"/>
              <w:spacing w:before="151"/>
              <w:jc w:val="center"/>
              <w:rPr>
                <w:rFonts w:ascii="Times New Roman"/>
                <w:sz w:val="21"/>
              </w:rPr>
            </w:pPr>
            <w:r>
              <w:rPr>
                <w:rFonts w:ascii="Times New Roman"/>
                <w:w w:val="99"/>
                <w:sz w:val="21"/>
              </w:rPr>
              <w:t>%</w:t>
            </w:r>
          </w:p>
        </w:tc>
        <w:tc>
          <w:tcPr>
            <w:tcW w:w="956" w:type="dxa"/>
          </w:tcPr>
          <w:p>
            <w:pPr>
              <w:pStyle w:val="TableParagraph"/>
              <w:spacing w:before="102"/>
              <w:ind w:left="105"/>
              <w:jc w:val="center"/>
              <w:rPr>
                <w:sz w:val="21"/>
              </w:rPr>
            </w:pPr>
            <w:r>
              <w:rPr>
                <w:sz w:val="21"/>
              </w:rPr>
              <w:t>—</w:t>
            </w:r>
          </w:p>
        </w:tc>
        <w:tc>
          <w:tcPr>
            <w:tcW w:w="959" w:type="dxa"/>
          </w:tcPr>
          <w:p>
            <w:pPr>
              <w:pStyle w:val="TableParagraph"/>
              <w:spacing w:before="151"/>
              <w:ind w:left="112" w:right="113"/>
              <w:jc w:val="center"/>
              <w:rPr>
                <w:rFonts w:ascii="Times New Roman"/>
                <w:sz w:val="21"/>
              </w:rPr>
            </w:pPr>
            <w:r>
              <w:rPr>
                <w:rFonts w:ascii="Times New Roman"/>
                <w:sz w:val="21"/>
              </w:rPr>
              <w:t>0.5</w:t>
            </w:r>
          </w:p>
        </w:tc>
        <w:tc>
          <w:tcPr>
            <w:tcW w:w="1144" w:type="dxa"/>
          </w:tcPr>
          <w:p>
            <w:pPr>
              <w:pStyle w:val="TableParagraph"/>
              <w:spacing w:before="151"/>
              <w:ind w:left="214" w:right="214"/>
              <w:jc w:val="center"/>
              <w:rPr>
                <w:rFonts w:ascii="Times New Roman"/>
                <w:sz w:val="21"/>
              </w:rPr>
            </w:pPr>
            <w:r>
              <w:rPr>
                <w:rFonts w:ascii="Times New Roman"/>
                <w:sz w:val="21"/>
              </w:rPr>
              <w:t>[2.5]</w:t>
            </w:r>
          </w:p>
        </w:tc>
        <w:tc>
          <w:tcPr>
            <w:tcW w:w="1009" w:type="dxa"/>
            <w:vMerge w:val="restart"/>
          </w:tcPr>
          <w:p>
            <w:pPr>
              <w:pStyle w:val="TableParagraph"/>
              <w:spacing w:before="2"/>
              <w:rPr>
                <w:rFonts w:ascii="黑体"/>
                <w:sz w:val="25"/>
              </w:rPr>
            </w:pPr>
          </w:p>
          <w:p>
            <w:pPr>
              <w:pStyle w:val="TableParagraph"/>
              <w:ind w:left="184"/>
              <w:rPr>
                <w:sz w:val="21"/>
              </w:rPr>
            </w:pPr>
            <w:r>
              <w:rPr>
                <w:sz w:val="21"/>
              </w:rPr>
              <w:t>约束性</w:t>
            </w:r>
          </w:p>
        </w:tc>
      </w:tr>
      <w:tr>
        <w:trPr>
          <w:trHeight w:val="440" w:hRule="atLeast"/>
        </w:trPr>
        <w:tc>
          <w:tcPr>
            <w:tcW w:w="1939" w:type="dxa"/>
            <w:vMerge/>
            <w:tcBorders>
              <w:top w:val="nil"/>
            </w:tcBorders>
          </w:tcPr>
          <w:p>
            <w:pPr>
              <w:rPr>
                <w:sz w:val="2"/>
                <w:szCs w:val="2"/>
              </w:rPr>
            </w:pPr>
          </w:p>
        </w:tc>
        <w:tc>
          <w:tcPr>
            <w:tcW w:w="2485" w:type="dxa"/>
          </w:tcPr>
          <w:p>
            <w:pPr>
              <w:pStyle w:val="TableParagraph"/>
              <w:spacing w:before="102"/>
              <w:ind w:left="167" w:right="168"/>
              <w:jc w:val="center"/>
              <w:rPr>
                <w:sz w:val="21"/>
              </w:rPr>
            </w:pPr>
            <w:r>
              <w:rPr>
                <w:sz w:val="21"/>
              </w:rPr>
              <w:t>空气质量优良天数比率</w:t>
            </w:r>
          </w:p>
        </w:tc>
        <w:tc>
          <w:tcPr>
            <w:tcW w:w="1147" w:type="dxa"/>
          </w:tcPr>
          <w:p>
            <w:pPr>
              <w:pStyle w:val="TableParagraph"/>
              <w:spacing w:before="151"/>
              <w:jc w:val="center"/>
              <w:rPr>
                <w:rFonts w:ascii="Times New Roman"/>
                <w:sz w:val="21"/>
              </w:rPr>
            </w:pPr>
            <w:r>
              <w:rPr>
                <w:rFonts w:ascii="Times New Roman"/>
                <w:w w:val="99"/>
                <w:sz w:val="21"/>
              </w:rPr>
              <w:t>%</w:t>
            </w:r>
          </w:p>
        </w:tc>
        <w:tc>
          <w:tcPr>
            <w:tcW w:w="956" w:type="dxa"/>
          </w:tcPr>
          <w:p>
            <w:pPr>
              <w:pStyle w:val="TableParagraph"/>
              <w:spacing w:before="151"/>
              <w:ind w:left="111" w:right="111"/>
              <w:jc w:val="center"/>
              <w:rPr>
                <w:rFonts w:ascii="Times New Roman"/>
                <w:sz w:val="21"/>
              </w:rPr>
            </w:pPr>
            <w:r>
              <w:rPr>
                <w:rFonts w:ascii="Times New Roman"/>
                <w:sz w:val="21"/>
              </w:rPr>
              <w:t>84.6</w:t>
            </w:r>
          </w:p>
        </w:tc>
        <w:tc>
          <w:tcPr>
            <w:tcW w:w="959" w:type="dxa"/>
          </w:tcPr>
          <w:p>
            <w:pPr>
              <w:pStyle w:val="TableParagraph"/>
              <w:spacing w:before="151"/>
              <w:ind w:left="112" w:right="113"/>
              <w:jc w:val="center"/>
              <w:rPr>
                <w:rFonts w:ascii="Times New Roman"/>
                <w:sz w:val="21"/>
              </w:rPr>
            </w:pPr>
            <w:r>
              <w:rPr>
                <w:rFonts w:ascii="Times New Roman"/>
                <w:sz w:val="21"/>
              </w:rPr>
              <w:t>87.1</w:t>
            </w:r>
          </w:p>
        </w:tc>
        <w:tc>
          <w:tcPr>
            <w:tcW w:w="1144" w:type="dxa"/>
          </w:tcPr>
          <w:p>
            <w:pPr>
              <w:pStyle w:val="TableParagraph"/>
              <w:spacing w:before="151"/>
              <w:ind w:left="214" w:right="214"/>
              <w:jc w:val="center"/>
              <w:rPr>
                <w:rFonts w:ascii="Times New Roman"/>
                <w:sz w:val="21"/>
              </w:rPr>
            </w:pPr>
            <w:r>
              <w:rPr>
                <w:rFonts w:ascii="Times New Roman"/>
                <w:sz w:val="21"/>
              </w:rPr>
              <w:t>[2.5]</w:t>
            </w:r>
          </w:p>
        </w:tc>
        <w:tc>
          <w:tcPr>
            <w:tcW w:w="1009" w:type="dxa"/>
            <w:vMerge/>
            <w:tcBorders>
              <w:top w:val="nil"/>
            </w:tcBorders>
          </w:tcPr>
          <w:p>
            <w:pPr>
              <w:rPr>
                <w:sz w:val="2"/>
                <w:szCs w:val="2"/>
              </w:rPr>
            </w:pPr>
          </w:p>
        </w:tc>
      </w:tr>
      <w:tr>
        <w:trPr>
          <w:trHeight w:val="440" w:hRule="atLeast"/>
        </w:trPr>
        <w:tc>
          <w:tcPr>
            <w:tcW w:w="4424" w:type="dxa"/>
            <w:gridSpan w:val="2"/>
          </w:tcPr>
          <w:p>
            <w:pPr>
              <w:pStyle w:val="TableParagraph"/>
              <w:spacing w:before="102"/>
              <w:ind w:left="102"/>
              <w:rPr>
                <w:sz w:val="21"/>
              </w:rPr>
            </w:pPr>
            <w:r>
              <w:rPr>
                <w:sz w:val="21"/>
              </w:rPr>
              <w:t>（</w:t>
            </w:r>
            <w:r>
              <w:rPr>
                <w:rFonts w:ascii="Times New Roman" w:hAnsi="Times New Roman" w:eastAsia="Times New Roman"/>
                <w:sz w:val="21"/>
              </w:rPr>
              <w:t>24</w:t>
            </w:r>
            <w:r>
              <w:rPr>
                <w:sz w:val="21"/>
              </w:rPr>
              <w:t>）劣Ⅴ类水体比例</w:t>
            </w:r>
          </w:p>
        </w:tc>
        <w:tc>
          <w:tcPr>
            <w:tcW w:w="1147" w:type="dxa"/>
          </w:tcPr>
          <w:p>
            <w:pPr>
              <w:pStyle w:val="TableParagraph"/>
              <w:spacing w:before="151"/>
              <w:jc w:val="center"/>
              <w:rPr>
                <w:rFonts w:ascii="Times New Roman"/>
                <w:sz w:val="21"/>
              </w:rPr>
            </w:pPr>
            <w:r>
              <w:rPr>
                <w:rFonts w:ascii="Times New Roman"/>
                <w:w w:val="99"/>
                <w:sz w:val="21"/>
              </w:rPr>
              <w:t>%</w:t>
            </w:r>
          </w:p>
        </w:tc>
        <w:tc>
          <w:tcPr>
            <w:tcW w:w="956" w:type="dxa"/>
          </w:tcPr>
          <w:p>
            <w:pPr>
              <w:pStyle w:val="TableParagraph"/>
              <w:spacing w:before="151"/>
              <w:ind w:left="111" w:right="111"/>
              <w:jc w:val="center"/>
              <w:rPr>
                <w:rFonts w:ascii="Times New Roman"/>
                <w:sz w:val="21"/>
              </w:rPr>
            </w:pPr>
            <w:r>
              <w:rPr>
                <w:rFonts w:ascii="Times New Roman"/>
                <w:sz w:val="21"/>
              </w:rPr>
              <w:t>26</w:t>
            </w:r>
          </w:p>
        </w:tc>
        <w:tc>
          <w:tcPr>
            <w:tcW w:w="959" w:type="dxa"/>
          </w:tcPr>
          <w:p>
            <w:pPr>
              <w:pStyle w:val="TableParagraph"/>
              <w:spacing w:before="151"/>
              <w:ind w:left="112" w:right="113"/>
              <w:jc w:val="center"/>
              <w:rPr>
                <w:rFonts w:ascii="Times New Roman"/>
                <w:sz w:val="21"/>
              </w:rPr>
            </w:pPr>
            <w:r>
              <w:rPr>
                <w:rFonts w:ascii="Times New Roman"/>
                <w:sz w:val="21"/>
              </w:rPr>
              <w:t>16</w:t>
            </w:r>
          </w:p>
        </w:tc>
        <w:tc>
          <w:tcPr>
            <w:tcW w:w="1144" w:type="dxa"/>
          </w:tcPr>
          <w:p>
            <w:pPr>
              <w:pStyle w:val="TableParagraph"/>
              <w:spacing w:before="102"/>
              <w:jc w:val="center"/>
              <w:rPr>
                <w:sz w:val="21"/>
              </w:rPr>
            </w:pPr>
            <w:r>
              <w:rPr>
                <w:sz w:val="21"/>
              </w:rPr>
              <w:t>—</w:t>
            </w:r>
          </w:p>
        </w:tc>
        <w:tc>
          <w:tcPr>
            <w:tcW w:w="1009" w:type="dxa"/>
          </w:tcPr>
          <w:p>
            <w:pPr>
              <w:pStyle w:val="TableParagraph"/>
              <w:spacing w:before="102"/>
              <w:ind w:left="184"/>
              <w:rPr>
                <w:sz w:val="21"/>
              </w:rPr>
            </w:pPr>
            <w:r>
              <w:rPr>
                <w:sz w:val="21"/>
              </w:rPr>
              <w:t>约束性</w:t>
            </w:r>
          </w:p>
        </w:tc>
      </w:tr>
      <w:tr>
        <w:trPr>
          <w:trHeight w:val="440" w:hRule="atLeast"/>
        </w:trPr>
        <w:tc>
          <w:tcPr>
            <w:tcW w:w="4424" w:type="dxa"/>
            <w:gridSpan w:val="2"/>
          </w:tcPr>
          <w:p>
            <w:pPr>
              <w:pStyle w:val="TableParagraph"/>
              <w:spacing w:before="102"/>
              <w:ind w:left="102"/>
              <w:rPr>
                <w:sz w:val="21"/>
              </w:rPr>
            </w:pPr>
            <w:r>
              <w:rPr>
                <w:sz w:val="21"/>
              </w:rPr>
              <w:t>（</w:t>
            </w:r>
            <w:r>
              <w:rPr>
                <w:rFonts w:ascii="Times New Roman" w:eastAsia="Times New Roman"/>
                <w:sz w:val="21"/>
              </w:rPr>
              <w:t>25</w:t>
            </w:r>
            <w:r>
              <w:rPr>
                <w:sz w:val="21"/>
              </w:rPr>
              <w:t>）劳动年龄人口平均受教育年限</w:t>
            </w:r>
          </w:p>
        </w:tc>
        <w:tc>
          <w:tcPr>
            <w:tcW w:w="1147" w:type="dxa"/>
          </w:tcPr>
          <w:p>
            <w:pPr>
              <w:pStyle w:val="TableParagraph"/>
              <w:spacing w:before="75"/>
              <w:ind w:right="1"/>
              <w:jc w:val="center"/>
              <w:rPr>
                <w:sz w:val="21"/>
              </w:rPr>
            </w:pPr>
            <w:r>
              <w:rPr>
                <w:sz w:val="21"/>
              </w:rPr>
              <w:t>年</w:t>
            </w:r>
          </w:p>
        </w:tc>
        <w:tc>
          <w:tcPr>
            <w:tcW w:w="956" w:type="dxa"/>
          </w:tcPr>
          <w:p>
            <w:pPr>
              <w:pStyle w:val="TableParagraph"/>
              <w:spacing w:before="151"/>
              <w:ind w:left="111" w:right="111"/>
              <w:jc w:val="center"/>
              <w:rPr>
                <w:rFonts w:ascii="Times New Roman"/>
                <w:sz w:val="21"/>
              </w:rPr>
            </w:pPr>
            <w:r>
              <w:rPr>
                <w:rFonts w:ascii="Times New Roman"/>
                <w:sz w:val="21"/>
              </w:rPr>
              <w:t>9.5</w:t>
            </w:r>
          </w:p>
        </w:tc>
        <w:tc>
          <w:tcPr>
            <w:tcW w:w="959" w:type="dxa"/>
          </w:tcPr>
          <w:p>
            <w:pPr>
              <w:pStyle w:val="TableParagraph"/>
              <w:spacing w:before="151"/>
              <w:ind w:left="112" w:right="112"/>
              <w:jc w:val="center"/>
              <w:rPr>
                <w:rFonts w:ascii="Times New Roman"/>
                <w:sz w:val="21"/>
              </w:rPr>
            </w:pPr>
            <w:r>
              <w:rPr>
                <w:rFonts w:ascii="Times New Roman"/>
                <w:sz w:val="21"/>
              </w:rPr>
              <w:t>10.5</w:t>
            </w:r>
          </w:p>
        </w:tc>
        <w:tc>
          <w:tcPr>
            <w:tcW w:w="1144" w:type="dxa"/>
          </w:tcPr>
          <w:p>
            <w:pPr>
              <w:pStyle w:val="TableParagraph"/>
              <w:spacing w:before="102"/>
              <w:jc w:val="center"/>
              <w:rPr>
                <w:sz w:val="21"/>
              </w:rPr>
            </w:pPr>
            <w:r>
              <w:rPr>
                <w:sz w:val="21"/>
              </w:rPr>
              <w:t>—</w:t>
            </w:r>
          </w:p>
        </w:tc>
        <w:tc>
          <w:tcPr>
            <w:tcW w:w="1009" w:type="dxa"/>
          </w:tcPr>
          <w:p>
            <w:pPr>
              <w:pStyle w:val="TableParagraph"/>
              <w:spacing w:before="102"/>
              <w:ind w:left="184"/>
              <w:rPr>
                <w:sz w:val="21"/>
              </w:rPr>
            </w:pPr>
            <w:r>
              <w:rPr>
                <w:sz w:val="21"/>
              </w:rPr>
              <w:t>约束性</w:t>
            </w:r>
          </w:p>
        </w:tc>
      </w:tr>
      <w:tr>
        <w:trPr>
          <w:trHeight w:val="440" w:hRule="atLeast"/>
        </w:trPr>
        <w:tc>
          <w:tcPr>
            <w:tcW w:w="4424" w:type="dxa"/>
            <w:gridSpan w:val="2"/>
          </w:tcPr>
          <w:p>
            <w:pPr>
              <w:pStyle w:val="TableParagraph"/>
              <w:spacing w:before="102"/>
              <w:ind w:left="102"/>
              <w:rPr>
                <w:sz w:val="21"/>
              </w:rPr>
            </w:pPr>
            <w:r>
              <w:rPr>
                <w:sz w:val="21"/>
              </w:rPr>
              <w:t>（</w:t>
            </w:r>
            <w:r>
              <w:rPr>
                <w:rFonts w:ascii="Times New Roman" w:eastAsia="Times New Roman"/>
                <w:sz w:val="21"/>
              </w:rPr>
              <w:t>26</w:t>
            </w:r>
            <w:r>
              <w:rPr>
                <w:sz w:val="21"/>
              </w:rPr>
              <w:t>）城乡居民人均可支配收入</w:t>
            </w:r>
          </w:p>
        </w:tc>
        <w:tc>
          <w:tcPr>
            <w:tcW w:w="1147" w:type="dxa"/>
          </w:tcPr>
          <w:p>
            <w:pPr>
              <w:pStyle w:val="TableParagraph"/>
              <w:spacing w:before="151"/>
              <w:jc w:val="center"/>
              <w:rPr>
                <w:rFonts w:ascii="Times New Roman"/>
                <w:sz w:val="21"/>
              </w:rPr>
            </w:pPr>
            <w:r>
              <w:rPr>
                <w:rFonts w:ascii="Times New Roman"/>
                <w:w w:val="99"/>
                <w:sz w:val="21"/>
              </w:rPr>
              <w:t>%</w:t>
            </w:r>
          </w:p>
        </w:tc>
        <w:tc>
          <w:tcPr>
            <w:tcW w:w="956" w:type="dxa"/>
          </w:tcPr>
          <w:p>
            <w:pPr>
              <w:pStyle w:val="TableParagraph"/>
              <w:spacing w:before="102"/>
              <w:jc w:val="center"/>
              <w:rPr>
                <w:sz w:val="21"/>
              </w:rPr>
            </w:pPr>
            <w:r>
              <w:rPr>
                <w:sz w:val="21"/>
              </w:rPr>
              <w:t>—</w:t>
            </w:r>
          </w:p>
        </w:tc>
        <w:tc>
          <w:tcPr>
            <w:tcW w:w="959" w:type="dxa"/>
          </w:tcPr>
          <w:p>
            <w:pPr>
              <w:pStyle w:val="TableParagraph"/>
              <w:spacing w:before="102"/>
              <w:ind w:left="105"/>
              <w:jc w:val="center"/>
              <w:rPr>
                <w:sz w:val="21"/>
              </w:rPr>
            </w:pPr>
            <w:r>
              <w:rPr>
                <w:sz w:val="21"/>
              </w:rPr>
              <w:t>—</w:t>
            </w:r>
          </w:p>
        </w:tc>
        <w:tc>
          <w:tcPr>
            <w:tcW w:w="1144" w:type="dxa"/>
          </w:tcPr>
          <w:p>
            <w:pPr>
              <w:pStyle w:val="TableParagraph"/>
              <w:spacing w:before="151"/>
              <w:ind w:left="213" w:right="214"/>
              <w:jc w:val="center"/>
              <w:rPr>
                <w:rFonts w:ascii="Times New Roman"/>
                <w:sz w:val="21"/>
              </w:rPr>
            </w:pPr>
            <w:r>
              <w:rPr>
                <w:rFonts w:ascii="Times New Roman"/>
                <w:sz w:val="21"/>
              </w:rPr>
              <w:t>10</w:t>
            </w:r>
          </w:p>
        </w:tc>
        <w:tc>
          <w:tcPr>
            <w:tcW w:w="1009" w:type="dxa"/>
          </w:tcPr>
          <w:p>
            <w:pPr>
              <w:pStyle w:val="TableParagraph"/>
              <w:spacing w:before="102"/>
              <w:ind w:left="184"/>
              <w:rPr>
                <w:sz w:val="21"/>
              </w:rPr>
            </w:pPr>
            <w:r>
              <w:rPr>
                <w:sz w:val="21"/>
              </w:rPr>
              <w:t>预期性</w:t>
            </w:r>
          </w:p>
        </w:tc>
      </w:tr>
      <w:tr>
        <w:trPr>
          <w:trHeight w:val="440" w:hRule="atLeast"/>
        </w:trPr>
        <w:tc>
          <w:tcPr>
            <w:tcW w:w="4424" w:type="dxa"/>
            <w:gridSpan w:val="2"/>
          </w:tcPr>
          <w:p>
            <w:pPr>
              <w:pStyle w:val="TableParagraph"/>
              <w:spacing w:before="102"/>
              <w:ind w:left="102"/>
              <w:rPr>
                <w:sz w:val="21"/>
              </w:rPr>
            </w:pPr>
            <w:r>
              <w:rPr>
                <w:sz w:val="21"/>
              </w:rPr>
              <w:t>（</w:t>
            </w:r>
            <w:r>
              <w:rPr>
                <w:rFonts w:ascii="Times New Roman" w:eastAsia="Times New Roman"/>
                <w:sz w:val="21"/>
              </w:rPr>
              <w:t>27</w:t>
            </w:r>
            <w:r>
              <w:rPr>
                <w:sz w:val="21"/>
              </w:rPr>
              <w:t>）农村贫困人口脱贫</w:t>
            </w:r>
          </w:p>
        </w:tc>
        <w:tc>
          <w:tcPr>
            <w:tcW w:w="1147" w:type="dxa"/>
          </w:tcPr>
          <w:p>
            <w:pPr>
              <w:pStyle w:val="TableParagraph"/>
              <w:spacing w:before="102"/>
              <w:ind w:right="1"/>
              <w:jc w:val="center"/>
              <w:rPr>
                <w:sz w:val="21"/>
              </w:rPr>
            </w:pPr>
            <w:r>
              <w:rPr>
                <w:sz w:val="21"/>
              </w:rPr>
              <w:t>人</w:t>
            </w:r>
          </w:p>
        </w:tc>
        <w:tc>
          <w:tcPr>
            <w:tcW w:w="956" w:type="dxa"/>
          </w:tcPr>
          <w:p>
            <w:pPr>
              <w:pStyle w:val="TableParagraph"/>
              <w:spacing w:before="102"/>
              <w:jc w:val="center"/>
              <w:rPr>
                <w:sz w:val="21"/>
              </w:rPr>
            </w:pPr>
            <w:r>
              <w:rPr>
                <w:sz w:val="21"/>
              </w:rPr>
              <w:t>—</w:t>
            </w:r>
          </w:p>
        </w:tc>
        <w:tc>
          <w:tcPr>
            <w:tcW w:w="959" w:type="dxa"/>
          </w:tcPr>
          <w:p>
            <w:pPr>
              <w:pStyle w:val="TableParagraph"/>
              <w:spacing w:before="102"/>
              <w:jc w:val="center"/>
              <w:rPr>
                <w:sz w:val="21"/>
              </w:rPr>
            </w:pPr>
            <w:r>
              <w:rPr>
                <w:sz w:val="21"/>
              </w:rPr>
              <w:t>—</w:t>
            </w:r>
          </w:p>
        </w:tc>
        <w:tc>
          <w:tcPr>
            <w:tcW w:w="1144" w:type="dxa"/>
          </w:tcPr>
          <w:p>
            <w:pPr>
              <w:pStyle w:val="TableParagraph"/>
              <w:spacing w:before="151"/>
              <w:ind w:left="214" w:right="214"/>
              <w:jc w:val="center"/>
              <w:rPr>
                <w:rFonts w:ascii="Times New Roman"/>
                <w:sz w:val="21"/>
              </w:rPr>
            </w:pPr>
            <w:r>
              <w:rPr>
                <w:rFonts w:ascii="Times New Roman"/>
                <w:sz w:val="21"/>
              </w:rPr>
              <w:t>[2585]</w:t>
            </w:r>
          </w:p>
        </w:tc>
        <w:tc>
          <w:tcPr>
            <w:tcW w:w="1009" w:type="dxa"/>
          </w:tcPr>
          <w:p>
            <w:pPr>
              <w:pStyle w:val="TableParagraph"/>
              <w:spacing w:before="102"/>
              <w:ind w:left="184"/>
              <w:rPr>
                <w:sz w:val="21"/>
              </w:rPr>
            </w:pPr>
            <w:r>
              <w:rPr>
                <w:sz w:val="21"/>
              </w:rPr>
              <w:t>约束性</w:t>
            </w:r>
          </w:p>
        </w:tc>
      </w:tr>
      <w:tr>
        <w:trPr>
          <w:trHeight w:val="440" w:hRule="atLeast"/>
        </w:trPr>
        <w:tc>
          <w:tcPr>
            <w:tcW w:w="4424" w:type="dxa"/>
            <w:gridSpan w:val="2"/>
          </w:tcPr>
          <w:p>
            <w:pPr>
              <w:pStyle w:val="TableParagraph"/>
              <w:spacing w:before="102"/>
              <w:ind w:left="102"/>
              <w:rPr>
                <w:sz w:val="21"/>
              </w:rPr>
            </w:pPr>
            <w:r>
              <w:rPr>
                <w:sz w:val="21"/>
              </w:rPr>
              <w:t>（</w:t>
            </w:r>
            <w:r>
              <w:rPr>
                <w:rFonts w:ascii="Times New Roman" w:eastAsia="Times New Roman"/>
                <w:sz w:val="21"/>
              </w:rPr>
              <w:t>28</w:t>
            </w:r>
            <w:r>
              <w:rPr>
                <w:sz w:val="21"/>
              </w:rPr>
              <w:t>）城镇棚户区住房改造数量</w:t>
            </w:r>
          </w:p>
        </w:tc>
        <w:tc>
          <w:tcPr>
            <w:tcW w:w="1147" w:type="dxa"/>
          </w:tcPr>
          <w:p>
            <w:pPr>
              <w:pStyle w:val="TableParagraph"/>
              <w:spacing w:before="102"/>
              <w:ind w:right="1"/>
              <w:jc w:val="center"/>
              <w:rPr>
                <w:sz w:val="21"/>
              </w:rPr>
            </w:pPr>
            <w:r>
              <w:rPr>
                <w:sz w:val="21"/>
              </w:rPr>
              <w:t>套</w:t>
            </w:r>
          </w:p>
        </w:tc>
        <w:tc>
          <w:tcPr>
            <w:tcW w:w="956" w:type="dxa"/>
          </w:tcPr>
          <w:p>
            <w:pPr>
              <w:pStyle w:val="TableParagraph"/>
              <w:spacing w:before="151"/>
              <w:ind w:left="111" w:right="111"/>
              <w:jc w:val="center"/>
              <w:rPr>
                <w:rFonts w:ascii="Times New Roman"/>
                <w:sz w:val="21"/>
              </w:rPr>
            </w:pPr>
            <w:r>
              <w:rPr>
                <w:rFonts w:ascii="Times New Roman"/>
                <w:sz w:val="21"/>
              </w:rPr>
              <w:t>258</w:t>
            </w:r>
          </w:p>
        </w:tc>
        <w:tc>
          <w:tcPr>
            <w:tcW w:w="959" w:type="dxa"/>
          </w:tcPr>
          <w:p>
            <w:pPr>
              <w:pStyle w:val="TableParagraph"/>
              <w:spacing w:before="102"/>
              <w:jc w:val="center"/>
              <w:rPr>
                <w:sz w:val="21"/>
              </w:rPr>
            </w:pPr>
            <w:r>
              <w:rPr>
                <w:sz w:val="21"/>
              </w:rPr>
              <w:t>—</w:t>
            </w:r>
          </w:p>
        </w:tc>
        <w:tc>
          <w:tcPr>
            <w:tcW w:w="1144" w:type="dxa"/>
          </w:tcPr>
          <w:p>
            <w:pPr>
              <w:pStyle w:val="TableParagraph"/>
              <w:spacing w:before="151"/>
              <w:ind w:left="214" w:right="214"/>
              <w:jc w:val="center"/>
              <w:rPr>
                <w:rFonts w:ascii="Times New Roman"/>
                <w:sz w:val="21"/>
              </w:rPr>
            </w:pPr>
            <w:r>
              <w:rPr>
                <w:rFonts w:ascii="Times New Roman"/>
                <w:sz w:val="21"/>
              </w:rPr>
              <w:t>[15018]</w:t>
            </w:r>
          </w:p>
        </w:tc>
        <w:tc>
          <w:tcPr>
            <w:tcW w:w="1009" w:type="dxa"/>
          </w:tcPr>
          <w:p>
            <w:pPr>
              <w:pStyle w:val="TableParagraph"/>
              <w:spacing w:before="102"/>
              <w:ind w:left="184"/>
              <w:rPr>
                <w:sz w:val="21"/>
              </w:rPr>
            </w:pPr>
            <w:r>
              <w:rPr>
                <w:sz w:val="21"/>
              </w:rPr>
              <w:t>约束性</w:t>
            </w:r>
          </w:p>
        </w:tc>
      </w:tr>
      <w:tr>
        <w:trPr>
          <w:trHeight w:val="440" w:hRule="atLeast"/>
        </w:trPr>
        <w:tc>
          <w:tcPr>
            <w:tcW w:w="4424" w:type="dxa"/>
            <w:gridSpan w:val="2"/>
          </w:tcPr>
          <w:p>
            <w:pPr>
              <w:pStyle w:val="TableParagraph"/>
              <w:spacing w:before="102"/>
              <w:ind w:left="102"/>
              <w:rPr>
                <w:sz w:val="21"/>
              </w:rPr>
            </w:pPr>
            <w:r>
              <w:rPr>
                <w:sz w:val="21"/>
              </w:rPr>
              <w:t>（</w:t>
            </w:r>
            <w:r>
              <w:rPr>
                <w:rFonts w:ascii="Times New Roman" w:eastAsia="Times New Roman"/>
                <w:sz w:val="21"/>
              </w:rPr>
              <w:t>29</w:t>
            </w:r>
            <w:r>
              <w:rPr>
                <w:sz w:val="21"/>
              </w:rPr>
              <w:t>）城镇新增就业人数</w:t>
            </w:r>
          </w:p>
        </w:tc>
        <w:tc>
          <w:tcPr>
            <w:tcW w:w="1147" w:type="dxa"/>
          </w:tcPr>
          <w:p>
            <w:pPr>
              <w:pStyle w:val="TableParagraph"/>
              <w:spacing w:before="102"/>
              <w:ind w:left="221" w:right="221"/>
              <w:jc w:val="center"/>
              <w:rPr>
                <w:sz w:val="21"/>
              </w:rPr>
            </w:pPr>
            <w:r>
              <w:rPr>
                <w:sz w:val="21"/>
              </w:rPr>
              <w:t>万人</w:t>
            </w:r>
          </w:p>
        </w:tc>
        <w:tc>
          <w:tcPr>
            <w:tcW w:w="956" w:type="dxa"/>
          </w:tcPr>
          <w:p>
            <w:pPr>
              <w:pStyle w:val="TableParagraph"/>
              <w:spacing w:before="151"/>
              <w:ind w:left="111" w:right="112"/>
              <w:jc w:val="center"/>
              <w:rPr>
                <w:rFonts w:ascii="Times New Roman"/>
                <w:sz w:val="21"/>
              </w:rPr>
            </w:pPr>
            <w:r>
              <w:rPr>
                <w:rFonts w:ascii="Times New Roman"/>
                <w:sz w:val="21"/>
              </w:rPr>
              <w:t>0.6</w:t>
            </w:r>
          </w:p>
        </w:tc>
        <w:tc>
          <w:tcPr>
            <w:tcW w:w="959" w:type="dxa"/>
          </w:tcPr>
          <w:p>
            <w:pPr>
              <w:pStyle w:val="TableParagraph"/>
              <w:spacing w:before="102"/>
              <w:jc w:val="center"/>
              <w:rPr>
                <w:sz w:val="21"/>
              </w:rPr>
            </w:pPr>
            <w:r>
              <w:rPr>
                <w:sz w:val="21"/>
              </w:rPr>
              <w:t>—</w:t>
            </w:r>
          </w:p>
        </w:tc>
        <w:tc>
          <w:tcPr>
            <w:tcW w:w="1144" w:type="dxa"/>
          </w:tcPr>
          <w:p>
            <w:pPr>
              <w:pStyle w:val="TableParagraph"/>
              <w:spacing w:before="151"/>
              <w:ind w:left="214" w:right="213"/>
              <w:jc w:val="center"/>
              <w:rPr>
                <w:rFonts w:ascii="Times New Roman"/>
                <w:sz w:val="21"/>
              </w:rPr>
            </w:pPr>
            <w:r>
              <w:rPr>
                <w:rFonts w:ascii="Times New Roman"/>
                <w:sz w:val="21"/>
              </w:rPr>
              <w:t>[2]</w:t>
            </w:r>
          </w:p>
        </w:tc>
        <w:tc>
          <w:tcPr>
            <w:tcW w:w="1009" w:type="dxa"/>
          </w:tcPr>
          <w:p>
            <w:pPr>
              <w:pStyle w:val="TableParagraph"/>
              <w:spacing w:before="102"/>
              <w:ind w:left="184"/>
              <w:rPr>
                <w:sz w:val="21"/>
              </w:rPr>
            </w:pPr>
            <w:r>
              <w:rPr>
                <w:sz w:val="21"/>
              </w:rPr>
              <w:t>预期性</w:t>
            </w:r>
          </w:p>
        </w:tc>
      </w:tr>
      <w:tr>
        <w:trPr>
          <w:trHeight w:val="440" w:hRule="atLeast"/>
        </w:trPr>
        <w:tc>
          <w:tcPr>
            <w:tcW w:w="4424" w:type="dxa"/>
            <w:gridSpan w:val="2"/>
          </w:tcPr>
          <w:p>
            <w:pPr>
              <w:pStyle w:val="TableParagraph"/>
              <w:spacing w:before="102"/>
              <w:ind w:left="102"/>
              <w:rPr>
                <w:sz w:val="21"/>
              </w:rPr>
            </w:pPr>
            <w:r>
              <w:rPr>
                <w:sz w:val="21"/>
              </w:rPr>
              <w:t>（</w:t>
            </w:r>
            <w:r>
              <w:rPr>
                <w:rFonts w:ascii="Times New Roman" w:eastAsia="Times New Roman"/>
                <w:sz w:val="21"/>
              </w:rPr>
              <w:t>30</w:t>
            </w:r>
            <w:r>
              <w:rPr>
                <w:sz w:val="21"/>
              </w:rPr>
              <w:t>）基本养老保险参保人数</w:t>
            </w:r>
          </w:p>
        </w:tc>
        <w:tc>
          <w:tcPr>
            <w:tcW w:w="1147" w:type="dxa"/>
          </w:tcPr>
          <w:p>
            <w:pPr>
              <w:pStyle w:val="TableParagraph"/>
              <w:spacing w:before="75"/>
              <w:ind w:left="221" w:right="221"/>
              <w:jc w:val="center"/>
              <w:rPr>
                <w:sz w:val="21"/>
              </w:rPr>
            </w:pPr>
            <w:r>
              <w:rPr>
                <w:sz w:val="21"/>
              </w:rPr>
              <w:t>万人</w:t>
            </w:r>
          </w:p>
        </w:tc>
        <w:tc>
          <w:tcPr>
            <w:tcW w:w="956" w:type="dxa"/>
          </w:tcPr>
          <w:p>
            <w:pPr>
              <w:pStyle w:val="TableParagraph"/>
              <w:spacing w:before="151"/>
              <w:ind w:left="111" w:right="111"/>
              <w:jc w:val="center"/>
              <w:rPr>
                <w:rFonts w:ascii="Times New Roman"/>
                <w:sz w:val="21"/>
              </w:rPr>
            </w:pPr>
            <w:r>
              <w:rPr>
                <w:rFonts w:ascii="Times New Roman"/>
                <w:sz w:val="21"/>
              </w:rPr>
              <w:t>9.31</w:t>
            </w:r>
          </w:p>
        </w:tc>
        <w:tc>
          <w:tcPr>
            <w:tcW w:w="959" w:type="dxa"/>
          </w:tcPr>
          <w:p>
            <w:pPr>
              <w:pStyle w:val="TableParagraph"/>
              <w:spacing w:before="151"/>
              <w:ind w:left="112" w:right="113"/>
              <w:jc w:val="center"/>
              <w:rPr>
                <w:rFonts w:ascii="Times New Roman"/>
                <w:sz w:val="21"/>
              </w:rPr>
            </w:pPr>
            <w:r>
              <w:rPr>
                <w:rFonts w:ascii="Times New Roman"/>
                <w:sz w:val="21"/>
              </w:rPr>
              <w:t>10</w:t>
            </w:r>
          </w:p>
        </w:tc>
        <w:tc>
          <w:tcPr>
            <w:tcW w:w="1144" w:type="dxa"/>
          </w:tcPr>
          <w:p>
            <w:pPr>
              <w:pStyle w:val="TableParagraph"/>
              <w:spacing w:before="151"/>
              <w:ind w:left="213" w:right="214"/>
              <w:jc w:val="center"/>
              <w:rPr>
                <w:rFonts w:ascii="Times New Roman"/>
                <w:sz w:val="21"/>
              </w:rPr>
            </w:pPr>
            <w:r>
              <w:rPr>
                <w:rFonts w:ascii="Times New Roman"/>
                <w:sz w:val="21"/>
              </w:rPr>
              <w:t>[0.69]</w:t>
            </w:r>
          </w:p>
        </w:tc>
        <w:tc>
          <w:tcPr>
            <w:tcW w:w="1009" w:type="dxa"/>
          </w:tcPr>
          <w:p>
            <w:pPr>
              <w:pStyle w:val="TableParagraph"/>
              <w:spacing w:before="102"/>
              <w:ind w:left="184"/>
              <w:rPr>
                <w:sz w:val="21"/>
              </w:rPr>
            </w:pPr>
            <w:r>
              <w:rPr>
                <w:sz w:val="21"/>
              </w:rPr>
              <w:t>预期性</w:t>
            </w:r>
          </w:p>
        </w:tc>
      </w:tr>
      <w:tr>
        <w:trPr>
          <w:trHeight w:val="440" w:hRule="atLeast"/>
        </w:trPr>
        <w:tc>
          <w:tcPr>
            <w:tcW w:w="4424" w:type="dxa"/>
            <w:gridSpan w:val="2"/>
          </w:tcPr>
          <w:p>
            <w:pPr>
              <w:pStyle w:val="TableParagraph"/>
              <w:spacing w:before="102"/>
              <w:ind w:left="102"/>
              <w:rPr>
                <w:sz w:val="21"/>
              </w:rPr>
            </w:pPr>
            <w:r>
              <w:rPr>
                <w:sz w:val="21"/>
              </w:rPr>
              <w:t>（</w:t>
            </w:r>
            <w:r>
              <w:rPr>
                <w:rFonts w:ascii="Times New Roman" w:eastAsia="Times New Roman"/>
                <w:sz w:val="21"/>
              </w:rPr>
              <w:t>31</w:t>
            </w:r>
            <w:r>
              <w:rPr>
                <w:sz w:val="21"/>
              </w:rPr>
              <w:t>）城镇职工基本医疗保险参保人数</w:t>
            </w:r>
          </w:p>
        </w:tc>
        <w:tc>
          <w:tcPr>
            <w:tcW w:w="1147" w:type="dxa"/>
          </w:tcPr>
          <w:p>
            <w:pPr>
              <w:pStyle w:val="TableParagraph"/>
              <w:spacing w:before="75"/>
              <w:ind w:left="221" w:right="221"/>
              <w:jc w:val="center"/>
              <w:rPr>
                <w:sz w:val="21"/>
              </w:rPr>
            </w:pPr>
            <w:r>
              <w:rPr>
                <w:sz w:val="21"/>
              </w:rPr>
              <w:t>万人</w:t>
            </w:r>
          </w:p>
        </w:tc>
        <w:tc>
          <w:tcPr>
            <w:tcW w:w="956" w:type="dxa"/>
          </w:tcPr>
          <w:p>
            <w:pPr>
              <w:pStyle w:val="TableParagraph"/>
              <w:spacing w:before="151"/>
              <w:ind w:left="111" w:right="111"/>
              <w:jc w:val="center"/>
              <w:rPr>
                <w:rFonts w:ascii="Times New Roman"/>
                <w:sz w:val="21"/>
              </w:rPr>
            </w:pPr>
            <w:r>
              <w:rPr>
                <w:rFonts w:ascii="Times New Roman"/>
                <w:sz w:val="21"/>
              </w:rPr>
              <w:t>4.65</w:t>
            </w:r>
          </w:p>
        </w:tc>
        <w:tc>
          <w:tcPr>
            <w:tcW w:w="959" w:type="dxa"/>
          </w:tcPr>
          <w:p>
            <w:pPr>
              <w:pStyle w:val="TableParagraph"/>
              <w:spacing w:before="151"/>
              <w:ind w:right="1"/>
              <w:jc w:val="center"/>
              <w:rPr>
                <w:rFonts w:ascii="Times New Roman"/>
                <w:sz w:val="21"/>
              </w:rPr>
            </w:pPr>
            <w:r>
              <w:rPr>
                <w:rFonts w:ascii="Times New Roman"/>
                <w:sz w:val="21"/>
              </w:rPr>
              <w:t>5</w:t>
            </w:r>
          </w:p>
        </w:tc>
        <w:tc>
          <w:tcPr>
            <w:tcW w:w="1144" w:type="dxa"/>
          </w:tcPr>
          <w:p>
            <w:pPr>
              <w:pStyle w:val="TableParagraph"/>
              <w:spacing w:before="151"/>
              <w:ind w:left="214" w:right="214"/>
              <w:jc w:val="center"/>
              <w:rPr>
                <w:rFonts w:ascii="Times New Roman"/>
                <w:sz w:val="21"/>
              </w:rPr>
            </w:pPr>
            <w:r>
              <w:rPr>
                <w:rFonts w:ascii="Times New Roman"/>
                <w:sz w:val="21"/>
              </w:rPr>
              <w:t>[0.35]</w:t>
            </w:r>
          </w:p>
        </w:tc>
        <w:tc>
          <w:tcPr>
            <w:tcW w:w="1009" w:type="dxa"/>
          </w:tcPr>
          <w:p>
            <w:pPr>
              <w:pStyle w:val="TableParagraph"/>
              <w:spacing w:before="102"/>
              <w:ind w:left="184"/>
              <w:rPr>
                <w:sz w:val="21"/>
              </w:rPr>
            </w:pPr>
            <w:r>
              <w:rPr>
                <w:sz w:val="21"/>
              </w:rPr>
              <w:t>预期性</w:t>
            </w:r>
          </w:p>
        </w:tc>
      </w:tr>
      <w:tr>
        <w:trPr>
          <w:trHeight w:val="440" w:hRule="atLeast"/>
        </w:trPr>
        <w:tc>
          <w:tcPr>
            <w:tcW w:w="4424" w:type="dxa"/>
            <w:gridSpan w:val="2"/>
          </w:tcPr>
          <w:p>
            <w:pPr>
              <w:pStyle w:val="TableParagraph"/>
              <w:spacing w:before="102"/>
              <w:ind w:left="102"/>
              <w:rPr>
                <w:sz w:val="21"/>
              </w:rPr>
            </w:pPr>
            <w:r>
              <w:rPr>
                <w:sz w:val="21"/>
              </w:rPr>
              <w:t>（</w:t>
            </w:r>
            <w:r>
              <w:rPr>
                <w:rFonts w:ascii="Times New Roman" w:eastAsia="Times New Roman"/>
                <w:sz w:val="21"/>
              </w:rPr>
              <w:t>32</w:t>
            </w:r>
            <w:r>
              <w:rPr>
                <w:sz w:val="21"/>
              </w:rPr>
              <w:t>）城乡居民医疗保险参保人数</w:t>
            </w:r>
          </w:p>
        </w:tc>
        <w:tc>
          <w:tcPr>
            <w:tcW w:w="1147" w:type="dxa"/>
          </w:tcPr>
          <w:p>
            <w:pPr>
              <w:pStyle w:val="TableParagraph"/>
              <w:spacing w:before="75"/>
              <w:ind w:left="221" w:right="221"/>
              <w:jc w:val="center"/>
              <w:rPr>
                <w:sz w:val="21"/>
              </w:rPr>
            </w:pPr>
            <w:r>
              <w:rPr>
                <w:sz w:val="21"/>
              </w:rPr>
              <w:t>万人</w:t>
            </w:r>
          </w:p>
        </w:tc>
        <w:tc>
          <w:tcPr>
            <w:tcW w:w="956" w:type="dxa"/>
          </w:tcPr>
          <w:p>
            <w:pPr>
              <w:pStyle w:val="TableParagraph"/>
              <w:spacing w:before="151"/>
              <w:ind w:left="111" w:right="111"/>
              <w:jc w:val="center"/>
              <w:rPr>
                <w:rFonts w:ascii="Times New Roman"/>
                <w:sz w:val="21"/>
              </w:rPr>
            </w:pPr>
            <w:r>
              <w:rPr>
                <w:rFonts w:ascii="Times New Roman"/>
                <w:sz w:val="21"/>
              </w:rPr>
              <w:t>22.47</w:t>
            </w:r>
          </w:p>
        </w:tc>
        <w:tc>
          <w:tcPr>
            <w:tcW w:w="959" w:type="dxa"/>
          </w:tcPr>
          <w:p>
            <w:pPr>
              <w:pStyle w:val="TableParagraph"/>
              <w:spacing w:before="151"/>
              <w:ind w:left="112" w:right="113"/>
              <w:jc w:val="center"/>
              <w:rPr>
                <w:rFonts w:ascii="Times New Roman"/>
                <w:sz w:val="21"/>
              </w:rPr>
            </w:pPr>
            <w:r>
              <w:rPr>
                <w:rFonts w:ascii="Times New Roman"/>
                <w:sz w:val="21"/>
              </w:rPr>
              <w:t>23</w:t>
            </w:r>
          </w:p>
        </w:tc>
        <w:tc>
          <w:tcPr>
            <w:tcW w:w="1144" w:type="dxa"/>
          </w:tcPr>
          <w:p>
            <w:pPr>
              <w:pStyle w:val="TableParagraph"/>
              <w:spacing w:before="151"/>
              <w:ind w:left="213" w:right="214"/>
              <w:jc w:val="center"/>
              <w:rPr>
                <w:rFonts w:ascii="Times New Roman"/>
                <w:sz w:val="21"/>
              </w:rPr>
            </w:pPr>
            <w:r>
              <w:rPr>
                <w:rFonts w:ascii="Times New Roman"/>
                <w:sz w:val="21"/>
              </w:rPr>
              <w:t>[0.53]</w:t>
            </w:r>
          </w:p>
        </w:tc>
        <w:tc>
          <w:tcPr>
            <w:tcW w:w="1009" w:type="dxa"/>
          </w:tcPr>
          <w:p>
            <w:pPr>
              <w:pStyle w:val="TableParagraph"/>
              <w:spacing w:before="102"/>
              <w:ind w:left="184"/>
              <w:rPr>
                <w:sz w:val="21"/>
              </w:rPr>
            </w:pPr>
            <w:r>
              <w:rPr>
                <w:sz w:val="21"/>
              </w:rPr>
              <w:t>预期性</w:t>
            </w:r>
          </w:p>
        </w:tc>
      </w:tr>
      <w:tr>
        <w:trPr>
          <w:trHeight w:val="800" w:hRule="atLeast"/>
        </w:trPr>
        <w:tc>
          <w:tcPr>
            <w:tcW w:w="9640" w:type="dxa"/>
            <w:gridSpan w:val="7"/>
          </w:tcPr>
          <w:p>
            <w:pPr>
              <w:pStyle w:val="TableParagraph"/>
              <w:spacing w:before="75"/>
              <w:ind w:left="102"/>
              <w:rPr>
                <w:sz w:val="21"/>
              </w:rPr>
            </w:pPr>
            <w:r>
              <w:rPr>
                <w:sz w:val="21"/>
              </w:rPr>
              <w:t>注：①以上指标均未考虑物价因素</w:t>
            </w:r>
          </w:p>
          <w:p>
            <w:pPr>
              <w:pStyle w:val="TableParagraph"/>
              <w:spacing w:before="126"/>
              <w:ind w:left="522"/>
              <w:rPr>
                <w:sz w:val="21"/>
              </w:rPr>
            </w:pPr>
            <w:r>
              <w:rPr>
                <w:sz w:val="21"/>
              </w:rPr>
              <w:t>②五年累计数以</w:t>
            </w:r>
            <w:r>
              <w:rPr>
                <w:rFonts w:ascii="Times New Roman" w:hAnsi="Times New Roman" w:eastAsia="Times New Roman"/>
                <w:sz w:val="21"/>
              </w:rPr>
              <w:t>[ ]</w:t>
            </w:r>
            <w:r>
              <w:rPr>
                <w:sz w:val="21"/>
              </w:rPr>
              <w:t>标注</w:t>
            </w:r>
          </w:p>
        </w:tc>
      </w:tr>
    </w:tbl>
    <w:p>
      <w:pPr>
        <w:pStyle w:val="BodyText"/>
        <w:ind w:left="0"/>
        <w:rPr>
          <w:rFonts w:ascii="黑体"/>
          <w:sz w:val="20"/>
        </w:rPr>
      </w:pPr>
    </w:p>
    <w:p>
      <w:pPr>
        <w:pStyle w:val="Heading1"/>
        <w:tabs>
          <w:tab w:pos="1757" w:val="left" w:leader="none"/>
        </w:tabs>
        <w:spacing w:before="104"/>
        <w:ind w:left="2" w:right="0"/>
      </w:pPr>
      <w:r>
        <w:rPr/>
        <w:t>第三篇</w:t>
        <w:tab/>
      </w:r>
      <w:r>
        <w:rPr>
          <w:spacing w:val="-1"/>
        </w:rPr>
        <w:t>经济发展篇</w:t>
      </w:r>
    </w:p>
    <w:p>
      <w:pPr>
        <w:pStyle w:val="Heading2"/>
        <w:spacing w:before="359"/>
      </w:pPr>
      <w:r>
        <w:rPr/>
        <w:t>第七章 加快建设工业强区 实现工业转型升级</w:t>
      </w:r>
    </w:p>
    <w:p>
      <w:pPr>
        <w:pStyle w:val="BodyText"/>
        <w:spacing w:line="343" w:lineRule="auto" w:before="175"/>
        <w:ind w:left="511" w:right="379" w:firstLine="639"/>
      </w:pPr>
      <w:r>
        <w:rPr/>
        <w:t>坚持工业强区战略不动摇，优化空间布局，调整产业结构， 推动工业经济转型升级。到 2020 年，规模以上工业总产值突破</w:t>
      </w:r>
    </w:p>
    <w:p>
      <w:pPr>
        <w:pStyle w:val="BodyText"/>
        <w:spacing w:before="43"/>
        <w:ind w:left="511"/>
      </w:pPr>
      <w:r>
        <w:rPr/>
        <w:t>500 亿元；规模以上工业增加值年均增长 9%。</w:t>
      </w:r>
    </w:p>
    <w:p>
      <w:pPr>
        <w:pStyle w:val="BodyText"/>
        <w:ind w:left="0"/>
      </w:pPr>
    </w:p>
    <w:p>
      <w:pPr>
        <w:pStyle w:val="BodyText"/>
        <w:spacing w:before="9"/>
        <w:ind w:left="0"/>
        <w:rPr>
          <w:sz w:val="27"/>
        </w:rPr>
      </w:pPr>
    </w:p>
    <w:p>
      <w:pPr>
        <w:pStyle w:val="BodyText"/>
        <w:tabs>
          <w:tab w:pos="1440" w:val="left" w:leader="none"/>
        </w:tabs>
        <w:ind w:left="1"/>
        <w:jc w:val="center"/>
        <w:rPr>
          <w:rFonts w:ascii="黑体" w:eastAsia="黑体" w:hint="eastAsia"/>
        </w:rPr>
      </w:pPr>
      <w:r>
        <w:rPr>
          <w:rFonts w:ascii="黑体" w:eastAsia="黑体" w:hint="eastAsia"/>
        </w:rPr>
        <w:t>第一节</w:t>
        <w:tab/>
      </w:r>
      <w:r>
        <w:rPr>
          <w:rFonts w:ascii="黑体" w:eastAsia="黑体" w:hint="eastAsia"/>
          <w:spacing w:val="-1"/>
        </w:rPr>
        <w:t>推动传统产业转型升级</w:t>
      </w:r>
    </w:p>
    <w:p>
      <w:pPr>
        <w:pStyle w:val="BodyText"/>
        <w:spacing w:line="343" w:lineRule="auto" w:before="181"/>
        <w:ind w:left="511" w:right="345" w:firstLine="639"/>
      </w:pPr>
      <w:r>
        <w:rPr>
          <w:spacing w:val="-30"/>
        </w:rPr>
        <w:t>融入“中国制造 </w:t>
      </w:r>
      <w:r>
        <w:rPr/>
        <w:t>2025</w:t>
      </w:r>
      <w:r>
        <w:rPr>
          <w:spacing w:val="-25"/>
        </w:rPr>
        <w:t> 四川行动计划”，推进新型工业化进程， 用高新技术、先进适用技术和现代信息技术改造提升传统产业， </w:t>
      </w:r>
      <w:r>
        <w:rPr>
          <w:spacing w:val="-21"/>
        </w:rPr>
        <w:t>淘汰落后产能和落后装备，优化产业结构和产品结构，实现传统产业转型升级。</w:t>
      </w:r>
    </w:p>
    <w:p>
      <w:pPr>
        <w:spacing w:after="0" w:line="343" w:lineRule="auto"/>
        <w:sectPr>
          <w:pgSz w:w="11910" w:h="16840"/>
          <w:pgMar w:header="0" w:footer="998" w:top="1440" w:bottom="1180" w:left="1020" w:right="1020"/>
        </w:sectPr>
      </w:pPr>
    </w:p>
    <w:p>
      <w:pPr>
        <w:pStyle w:val="BodyText"/>
        <w:spacing w:line="405" w:lineRule="exact"/>
        <w:ind w:firstLine="639"/>
      </w:pPr>
      <w:r>
        <w:rPr/>
        <w:t>盐磷化工。限制基础化工，发展精细化工。依托龙头企业和</w:t>
      </w:r>
    </w:p>
    <w:p>
      <w:pPr>
        <w:pStyle w:val="BodyText"/>
        <w:spacing w:line="343" w:lineRule="auto" w:before="181"/>
        <w:ind w:right="225"/>
        <w:jc w:val="both"/>
      </w:pPr>
      <w:r>
        <w:rPr>
          <w:spacing w:val="-12"/>
        </w:rPr>
        <w:t>龙头产品，延伸纵向产业链，培育横向产业链，形成高效的循环产业链条。开发农药/医药化学品、新能源化学品、电子信息化</w:t>
      </w:r>
      <w:r>
        <w:rPr>
          <w:spacing w:val="-8"/>
        </w:rPr>
        <w:t>学品等相关的前沿高技术型精细化工产品，实现由基础化工为主</w:t>
      </w:r>
      <w:r>
        <w:rPr>
          <w:spacing w:val="-13"/>
        </w:rPr>
        <w:t>向以精细化工为主转变。到 </w:t>
      </w:r>
      <w:r>
        <w:rPr/>
        <w:t>2020</w:t>
      </w:r>
      <w:r>
        <w:rPr>
          <w:spacing w:val="-9"/>
        </w:rPr>
        <w:t> 年精细化工产值占盐磷化工产</w:t>
      </w:r>
      <w:r>
        <w:rPr>
          <w:spacing w:val="-24"/>
        </w:rPr>
        <w:t>值比重达到 </w:t>
      </w:r>
      <w:r>
        <w:rPr/>
        <w:t>80%以上，建成西部一流的精细化工产业基地。</w:t>
      </w:r>
    </w:p>
    <w:p>
      <w:pPr>
        <w:pStyle w:val="BodyText"/>
        <w:spacing w:line="343" w:lineRule="auto" w:before="43"/>
        <w:ind w:right="225" w:firstLine="639"/>
        <w:jc w:val="both"/>
      </w:pPr>
      <w:r>
        <w:rPr>
          <w:spacing w:val="-12"/>
        </w:rPr>
        <w:t>稀土应用。依托盛和、润和、锐丰等骨干企业，加强资源整合，推进产学研结合，实现由稀土冶炼萃取向稀土新材料等深加</w:t>
      </w:r>
      <w:r>
        <w:rPr>
          <w:spacing w:val="-13"/>
        </w:rPr>
        <w:t>工方向发展。建成稀土产业园，建设盛和新型稀土功能材料技术</w:t>
      </w:r>
      <w:r>
        <w:rPr>
          <w:spacing w:val="-12"/>
        </w:rPr>
        <w:t>研发中心，开发催化剂、铈锆固溶体、分子筛等产品。重点研发</w:t>
      </w:r>
      <w:r>
        <w:rPr>
          <w:spacing w:val="-11"/>
        </w:rPr>
        <w:t>稀土发光材料、稀土纳米磁性材料、稀土超高温发热元件、重稀</w:t>
      </w:r>
      <w:r>
        <w:rPr>
          <w:spacing w:val="-12"/>
        </w:rPr>
        <w:t>土合金材料、稀土激光晶体、稀土催化剂、稀土超导体材料等生</w:t>
      </w:r>
      <w:r>
        <w:rPr>
          <w:spacing w:val="-13"/>
        </w:rPr>
        <w:t>产技术，开发稀土衍生产品。形成稀土应用产品为主的稀土产业</w:t>
      </w:r>
      <w:r>
        <w:rPr>
          <w:spacing w:val="-1"/>
        </w:rPr>
        <w:t>集群，打造国内重要的稀土深加工基地。</w:t>
      </w:r>
    </w:p>
    <w:p>
      <w:pPr>
        <w:pStyle w:val="BodyText"/>
        <w:spacing w:line="343" w:lineRule="auto" w:before="43"/>
        <w:ind w:right="109" w:firstLine="639"/>
      </w:pPr>
      <w:r>
        <w:rPr>
          <w:spacing w:val="-9"/>
        </w:rPr>
        <w:t>硅材料及太阳能光伏。依托永祥多晶硅行业优势，发展光伏</w:t>
      </w:r>
      <w:r>
        <w:rPr>
          <w:spacing w:val="-12"/>
        </w:rPr>
        <w:t>产品，实现由多晶硅向光伏产业延伸。通过重点发展三条产业链</w:t>
      </w:r>
      <w:r>
        <w:rPr>
          <w:spacing w:val="-15"/>
        </w:rPr>
        <w:t>形成产业集群，打造一流的太阳能光伏产业基地。即：工业硅→ </w:t>
      </w:r>
      <w:r>
        <w:rPr>
          <w:spacing w:val="5"/>
        </w:rPr>
        <w:t>太阳能级多晶硅→单晶硅或硅锭→太阳能电池板→太阳能发电</w:t>
      </w:r>
      <w:r>
        <w:rPr>
          <w:spacing w:val="-1"/>
        </w:rPr>
        <w:t>装置；多晶硅→四氯化硅→气相白炭黑、有机硅单体→硅橡胶、</w:t>
      </w:r>
      <w:r>
        <w:rPr>
          <w:spacing w:val="-13"/>
        </w:rPr>
        <w:t>硅油、硅涂料、硅活性中间体；多晶硅→四氯化硅→光纤级四氯</w:t>
      </w:r>
      <w:r>
        <w:rPr>
          <w:spacing w:val="-1"/>
        </w:rPr>
        <w:t>化硅→光纤预制棒→光纤→光缆。</w:t>
      </w:r>
    </w:p>
    <w:p>
      <w:pPr>
        <w:pStyle w:val="BodyText"/>
        <w:spacing w:line="343" w:lineRule="auto" w:before="43"/>
        <w:ind w:right="142" w:firstLine="639"/>
      </w:pPr>
      <w:r>
        <w:rPr>
          <w:spacing w:val="-12"/>
        </w:rPr>
        <w:t>机电产品制造。依托东风电机、国众集团、竹根锅炉等龙头</w:t>
      </w:r>
      <w:r>
        <w:rPr>
          <w:spacing w:val="-11"/>
        </w:rPr>
        <w:t>企业，重点发展中小发电机组、现代农业机械、高效电动机、汽</w:t>
      </w:r>
    </w:p>
    <w:p>
      <w:pPr>
        <w:spacing w:after="0" w:line="343" w:lineRule="auto"/>
        <w:sectPr>
          <w:pgSz w:w="11910" w:h="16840"/>
          <w:pgMar w:header="0" w:footer="998" w:top="1560" w:bottom="1180" w:left="1420" w:right="1300"/>
        </w:sectPr>
      </w:pPr>
    </w:p>
    <w:p>
      <w:pPr>
        <w:pStyle w:val="BodyText"/>
        <w:spacing w:line="405" w:lineRule="exact"/>
      </w:pPr>
      <w:r>
        <w:rPr/>
        <w:t>车轴承、生物质锅炉、电站锅炉等产品，实现单项初级产品向高</w:t>
      </w:r>
    </w:p>
    <w:p>
      <w:pPr>
        <w:pStyle w:val="BodyText"/>
        <w:spacing w:line="343" w:lineRule="auto" w:before="181"/>
        <w:ind w:right="139"/>
      </w:pPr>
      <w:r>
        <w:rPr/>
        <w:t>端成套产品转型升级。鼓励建立与装备制造相配套的零部件、原辅材料中心，着力培育机电装备产业集群。加大资源整合力度， 推进企业间的兼并重组，形成产业集群。</w:t>
      </w:r>
    </w:p>
    <w:p>
      <w:pPr>
        <w:pStyle w:val="BodyText"/>
        <w:spacing w:line="343" w:lineRule="auto" w:before="43"/>
        <w:ind w:right="139" w:firstLine="639"/>
      </w:pPr>
      <w:r>
        <w:rPr/>
        <w:t>军民融合产业。利用乐山军民机场建设的契机，依托盛和、永祥、东风电机、和邦、华发等企业，发挥企业在稀土新材料、太阳能光伏产业、现代装备制造、碳纤维、汽车及零部件等产业优势，突出军民融合产业特色，实现产业优化升级。</w:t>
      </w:r>
    </w:p>
    <w:p>
      <w:pPr>
        <w:pStyle w:val="BodyText"/>
        <w:ind w:left="0"/>
      </w:pPr>
    </w:p>
    <w:p>
      <w:pPr>
        <w:pStyle w:val="BodyText"/>
        <w:tabs>
          <w:tab w:pos="1279" w:val="left" w:leader="none"/>
        </w:tabs>
        <w:spacing w:before="224"/>
        <w:ind w:left="0" w:right="155"/>
        <w:jc w:val="center"/>
        <w:rPr>
          <w:rFonts w:ascii="黑体" w:eastAsia="黑体" w:hint="eastAsia"/>
        </w:rPr>
      </w:pPr>
      <w:r>
        <w:rPr>
          <w:rFonts w:ascii="黑体" w:eastAsia="黑体" w:hint="eastAsia"/>
        </w:rPr>
        <w:t>第二节</w:t>
        <w:tab/>
      </w:r>
      <w:r>
        <w:rPr>
          <w:rFonts w:ascii="黑体" w:eastAsia="黑体" w:hint="eastAsia"/>
          <w:spacing w:val="-1"/>
        </w:rPr>
        <w:t>培育发展战略性新兴产业</w:t>
      </w:r>
    </w:p>
    <w:p>
      <w:pPr>
        <w:pStyle w:val="BodyText"/>
        <w:spacing w:line="343" w:lineRule="auto" w:before="180"/>
        <w:ind w:right="264" w:firstLine="639"/>
        <w:jc w:val="both"/>
      </w:pPr>
      <w:r>
        <w:rPr>
          <w:spacing w:val="-11"/>
        </w:rPr>
        <w:t>培育发展新能源、新材料、新能源汽车、高端装备制造、电</w:t>
      </w:r>
      <w:r>
        <w:rPr>
          <w:spacing w:val="-14"/>
        </w:rPr>
        <w:t>子信息等战略性新兴产业，打造经济增长新引擎。到 </w:t>
      </w:r>
      <w:r>
        <w:rPr/>
        <w:t>2020</w:t>
      </w:r>
      <w:r>
        <w:rPr>
          <w:spacing w:val="-23"/>
        </w:rPr>
        <w:t> 年， </w:t>
      </w:r>
      <w:r>
        <w:rPr>
          <w:spacing w:val="-27"/>
        </w:rPr>
        <w:t>新兴产业产值占规模以上工业总产值比重达到 </w:t>
      </w:r>
      <w:r>
        <w:rPr/>
        <w:t>45%。</w:t>
      </w:r>
    </w:p>
    <w:p>
      <w:pPr>
        <w:pStyle w:val="BodyText"/>
        <w:spacing w:line="343" w:lineRule="auto" w:before="43"/>
        <w:ind w:right="98" w:firstLine="639"/>
      </w:pPr>
      <w:r>
        <w:rPr>
          <w:spacing w:val="-11"/>
        </w:rPr>
        <w:t>新能源产业。着重发展风力发电和光伏发电两大领域。风力</w:t>
      </w:r>
      <w:r>
        <w:rPr>
          <w:spacing w:val="-16"/>
        </w:rPr>
        <w:t>发电重点发展风电的发电机、轴承、齿轮箱等主要零部件制造产</w:t>
      </w:r>
      <w:r>
        <w:rPr>
          <w:spacing w:val="-19"/>
        </w:rPr>
        <w:t>业。光伏发电重点做大做强上游硅材料，积极发展中下游的硅片、电池/组件、逆变器等系统集成。引导蓝邦新能源生物柴油项目</w:t>
      </w:r>
      <w:r>
        <w:rPr>
          <w:spacing w:val="-1"/>
        </w:rPr>
        <w:t>上档升级。</w:t>
      </w:r>
    </w:p>
    <w:p>
      <w:pPr>
        <w:pStyle w:val="BodyText"/>
        <w:spacing w:line="343" w:lineRule="auto" w:before="43"/>
        <w:ind w:right="264" w:firstLine="639"/>
        <w:jc w:val="both"/>
      </w:pPr>
      <w:r>
        <w:rPr>
          <w:spacing w:val="-12"/>
        </w:rPr>
        <w:t>新材料产业。以硅为核心原料，整合现有资源，拓展多晶硅</w:t>
      </w:r>
      <w:r>
        <w:rPr>
          <w:spacing w:val="-11"/>
        </w:rPr>
        <w:t>副产物利用，开发硅橡胶、光纤等硅材料，完善产业链。推进稀</w:t>
      </w:r>
      <w:r>
        <w:rPr>
          <w:spacing w:val="-12"/>
        </w:rPr>
        <w:t>土新材料、氟材料、化工新材料、碳纤维等产业领域的发展，建</w:t>
      </w:r>
      <w:r>
        <w:rPr>
          <w:spacing w:val="-1"/>
        </w:rPr>
        <w:t>成四川重要的新材料产业基地。</w:t>
      </w:r>
    </w:p>
    <w:p>
      <w:pPr>
        <w:pStyle w:val="BodyText"/>
        <w:spacing w:before="43"/>
        <w:ind w:left="750"/>
      </w:pPr>
      <w:r>
        <w:rPr/>
        <w:t>新能源汽车产业。依托华发集团等龙头企业，完成新能源汽</w:t>
      </w:r>
    </w:p>
    <w:p>
      <w:pPr>
        <w:spacing w:after="0"/>
        <w:sectPr>
          <w:pgSz w:w="11910" w:h="16840"/>
          <w:pgMar w:header="0" w:footer="998" w:top="1560" w:bottom="1180" w:left="1420" w:right="1260"/>
        </w:sectPr>
      </w:pPr>
    </w:p>
    <w:p>
      <w:pPr>
        <w:pStyle w:val="BodyText"/>
        <w:spacing w:line="405" w:lineRule="exact"/>
      </w:pPr>
      <w:r>
        <w:rPr/>
        <w:t>车产业园的建设，达到年产新能源大中型客车 4000 辆、轻型客</w:t>
      </w:r>
    </w:p>
    <w:p>
      <w:pPr>
        <w:pStyle w:val="BodyText"/>
        <w:spacing w:line="343" w:lineRule="auto" w:before="181"/>
        <w:ind w:right="98"/>
      </w:pPr>
      <w:r>
        <w:rPr>
          <w:spacing w:val="-41"/>
        </w:rPr>
        <w:t>车 </w:t>
      </w:r>
      <w:r>
        <w:rPr/>
        <w:t>2.5</w:t>
      </w:r>
      <w:r>
        <w:rPr>
          <w:spacing w:val="-22"/>
        </w:rPr>
        <w:t> 万辆、专用卡车 </w:t>
      </w:r>
      <w:r>
        <w:rPr/>
        <w:t>5000</w:t>
      </w:r>
      <w:r>
        <w:rPr>
          <w:spacing w:val="-35"/>
        </w:rPr>
        <w:t> 辆、</w:t>
      </w:r>
      <w:r>
        <w:rPr/>
        <w:t>NG</w:t>
      </w:r>
      <w:r>
        <w:rPr>
          <w:spacing w:val="-34"/>
        </w:rPr>
        <w:t> 类客车 </w:t>
      </w:r>
      <w:r>
        <w:rPr/>
        <w:t>5000</w:t>
      </w:r>
      <w:r>
        <w:rPr>
          <w:spacing w:val="-12"/>
        </w:rPr>
        <w:t> 辆的生产能力。</w:t>
      </w:r>
      <w:r>
        <w:rPr>
          <w:spacing w:val="-18"/>
        </w:rPr>
        <w:t>适时发展汽车产业服务和汽车文化服务，打造现代化的新能源汽</w:t>
      </w:r>
      <w:r>
        <w:rPr>
          <w:spacing w:val="-15"/>
        </w:rPr>
        <w:t>车制造基地、汽车研发教育基地、汽车零部件集散基地、汽车物</w:t>
      </w:r>
      <w:r>
        <w:rPr>
          <w:spacing w:val="-2"/>
        </w:rPr>
        <w:t>流基地、汽车商贸综合服务基地，形成西南地区汽车产业城。</w:t>
      </w:r>
    </w:p>
    <w:p>
      <w:pPr>
        <w:pStyle w:val="BodyText"/>
        <w:spacing w:line="343" w:lineRule="auto" w:before="43"/>
        <w:ind w:right="84" w:firstLine="639"/>
      </w:pPr>
      <w:r>
        <w:rPr>
          <w:spacing w:val="-9"/>
        </w:rPr>
        <w:t>高端装备制造业。积极引进成套设备、重大装备企业，发展先进装备制造和相关配套产业，重点发展以城市轨道交通设备、</w:t>
      </w:r>
      <w:r>
        <w:rPr>
          <w:spacing w:val="-14"/>
        </w:rPr>
        <w:t>动车组及客运列车制造为重点的先进交通装备，以航空、智能电</w:t>
      </w:r>
      <w:r>
        <w:rPr>
          <w:spacing w:val="-18"/>
        </w:rPr>
        <w:t>网为重点的高端能源装备。支持东风电机研发、生产高效节能电</w:t>
      </w:r>
      <w:r>
        <w:rPr>
          <w:spacing w:val="-19"/>
        </w:rPr>
        <w:t>机。适时发展航空维修，逐步形成各类航空机载电子设备的校验、</w:t>
      </w:r>
      <w:r>
        <w:rPr>
          <w:spacing w:val="-18"/>
        </w:rPr>
        <w:t>修理和翻修工作能力，以及空调系统、灯光系统、导航系统、辅</w:t>
      </w:r>
      <w:r>
        <w:rPr>
          <w:spacing w:val="-2"/>
        </w:rPr>
        <w:t>助动力系统等维修能力，构建“一站式”航空维修服务体系。</w:t>
      </w:r>
    </w:p>
    <w:p>
      <w:pPr>
        <w:pStyle w:val="BodyText"/>
        <w:spacing w:line="343" w:lineRule="auto" w:before="43"/>
        <w:ind w:right="97" w:firstLine="639"/>
      </w:pPr>
      <w:r>
        <w:rPr>
          <w:spacing w:val="-11"/>
        </w:rPr>
        <w:t>电子信息产业。以“承接、配套、跨越”为重点，加大关键</w:t>
      </w:r>
      <w:r>
        <w:rPr>
          <w:spacing w:val="-14"/>
        </w:rPr>
        <w:t>核心技术引进，培育一批具有核心竞争力的骨干企业。重点发展</w:t>
      </w:r>
      <w:r>
        <w:rPr>
          <w:spacing w:val="-19"/>
        </w:rPr>
        <w:t>集成电路产业链。围绕 </w:t>
      </w:r>
      <w:r>
        <w:rPr/>
        <w:t>IC</w:t>
      </w:r>
      <w:r>
        <w:rPr>
          <w:spacing w:val="-9"/>
        </w:rPr>
        <w:t> 设计—芯片制造—封装测试等环节， </w:t>
      </w:r>
      <w:r>
        <w:rPr>
          <w:spacing w:val="-19"/>
        </w:rPr>
        <w:t>产业链上游拉动多晶硅、单晶硅以及专用设备、仪器等产品制造， </w:t>
      </w:r>
      <w:r>
        <w:rPr>
          <w:spacing w:val="-24"/>
        </w:rPr>
        <w:t>产业链下游发展电子应用产品及 </w:t>
      </w:r>
      <w:r>
        <w:rPr/>
        <w:t>LED（发光二级管）应用产品。</w:t>
      </w:r>
      <w:r>
        <w:rPr>
          <w:spacing w:val="-6"/>
        </w:rPr>
        <w:t>网络通信</w:t>
      </w:r>
      <w:r>
        <w:rPr/>
        <w:t>（含光通信</w:t>
      </w:r>
      <w:r>
        <w:rPr>
          <w:spacing w:val="-23"/>
        </w:rPr>
        <w:t>）</w:t>
      </w:r>
      <w:r>
        <w:rPr>
          <w:spacing w:val="-8"/>
        </w:rPr>
        <w:t>设备产业链，主要由光纤、光缆、光电器</w:t>
      </w:r>
      <w:r>
        <w:rPr>
          <w:spacing w:val="-14"/>
        </w:rPr>
        <w:t>件—传感器、光传输及网络交换设备、接入网设备—终端等生产</w:t>
      </w:r>
      <w:r>
        <w:rPr>
          <w:spacing w:val="-16"/>
        </w:rPr>
        <w:t>环节构成。半导体照明，研究 </w:t>
      </w:r>
      <w:r>
        <w:rPr/>
        <w:t>LED</w:t>
      </w:r>
      <w:r>
        <w:rPr>
          <w:spacing w:val="-12"/>
        </w:rPr>
        <w:t> 光电显示背光技术、</w:t>
      </w:r>
      <w:r>
        <w:rPr/>
        <w:t>LED</w:t>
      </w:r>
      <w:r>
        <w:rPr>
          <w:spacing w:val="-28"/>
        </w:rPr>
        <w:t> 芯片</w:t>
      </w:r>
      <w:r>
        <w:rPr>
          <w:spacing w:val="-15"/>
        </w:rPr>
        <w:t>制造、封装等核心设备制造技术、外延芯片衬底技术以及发展户</w:t>
      </w:r>
      <w:r>
        <w:rPr>
          <w:spacing w:val="-16"/>
        </w:rPr>
        <w:t>外、室内照明系统集成、光电一体 </w:t>
      </w:r>
      <w:r>
        <w:rPr/>
        <w:t>LED</w:t>
      </w:r>
      <w:r>
        <w:rPr>
          <w:spacing w:val="-13"/>
        </w:rPr>
        <w:t> 照明系统。促进工业信息</w:t>
      </w:r>
      <w:r>
        <w:rPr>
          <w:spacing w:val="-1"/>
        </w:rPr>
        <w:t>化、智能化、自动化。</w:t>
      </w:r>
    </w:p>
    <w:p>
      <w:pPr>
        <w:spacing w:after="0" w:line="343" w:lineRule="auto"/>
        <w:sectPr>
          <w:pgSz w:w="11910" w:h="16840"/>
          <w:pgMar w:header="0" w:footer="998" w:top="1560" w:bottom="1180" w:left="1420" w:right="1260"/>
        </w:sectPr>
      </w:pPr>
    </w:p>
    <w:p>
      <w:pPr>
        <w:pStyle w:val="BodyText"/>
        <w:tabs>
          <w:tab w:pos="1279" w:val="left" w:leader="none"/>
        </w:tabs>
        <w:spacing w:line="405" w:lineRule="exact"/>
        <w:ind w:left="0" w:right="155"/>
        <w:jc w:val="center"/>
        <w:rPr>
          <w:rFonts w:ascii="黑体" w:eastAsia="黑体" w:hint="eastAsia"/>
        </w:rPr>
      </w:pPr>
      <w:r>
        <w:rPr>
          <w:rFonts w:ascii="黑体" w:eastAsia="黑体" w:hint="eastAsia"/>
        </w:rPr>
        <w:t>第三节</w:t>
        <w:tab/>
      </w:r>
      <w:r>
        <w:rPr>
          <w:rFonts w:ascii="黑体" w:eastAsia="黑体" w:hint="eastAsia"/>
          <w:spacing w:val="-1"/>
        </w:rPr>
        <w:t>加快产业园区建设</w:t>
      </w:r>
    </w:p>
    <w:p>
      <w:pPr>
        <w:pStyle w:val="BodyText"/>
        <w:spacing w:line="343" w:lineRule="auto" w:before="181"/>
        <w:ind w:right="140" w:firstLine="639"/>
      </w:pPr>
      <w:r>
        <w:rPr/>
        <w:t>坚持工业集中集约的原则，夯实园区平台，加快产业集聚， 大力实施多点多极发展战略。</w:t>
      </w:r>
    </w:p>
    <w:p>
      <w:pPr>
        <w:pStyle w:val="BodyText"/>
        <w:spacing w:line="343" w:lineRule="auto" w:before="43"/>
        <w:ind w:right="106" w:firstLine="639"/>
      </w:pPr>
      <w:r>
        <w:rPr>
          <w:spacing w:val="-11"/>
        </w:rPr>
        <w:t>——乐山</w:t>
      </w:r>
      <w:r>
        <w:rPr>
          <w:spacing w:val="-1"/>
        </w:rPr>
        <w:t>（五通桥</w:t>
      </w:r>
      <w:r>
        <w:rPr>
          <w:spacing w:val="-40"/>
        </w:rPr>
        <w:t>）</w:t>
      </w:r>
      <w:r>
        <w:rPr>
          <w:spacing w:val="-5"/>
        </w:rPr>
        <w:t>盐磷化工循环产业园</w:t>
      </w:r>
      <w:r>
        <w:rPr/>
        <w:t>（含精细化工区</w:t>
      </w:r>
      <w:r>
        <w:rPr>
          <w:spacing w:val="-162"/>
        </w:rPr>
        <w:t>）</w:t>
      </w:r>
      <w:r>
        <w:rPr/>
        <w:t>。</w:t>
      </w:r>
      <w:r>
        <w:rPr>
          <w:spacing w:val="-11"/>
        </w:rPr>
        <w:t>提升盐磷化工循环产业园，加快建设精细化工区。重点实施 </w:t>
      </w:r>
      <w:r>
        <w:rPr/>
        <w:t>8</w:t>
      </w:r>
      <w:r>
        <w:rPr>
          <w:spacing w:val="-42"/>
        </w:rPr>
        <w:t> 万</w:t>
      </w:r>
      <w:r>
        <w:rPr>
          <w:spacing w:val="-37"/>
        </w:rPr>
        <w:t>吨甘氨酸、</w:t>
      </w:r>
      <w:r>
        <w:rPr/>
        <w:t>1.2</w:t>
      </w:r>
      <w:r>
        <w:rPr>
          <w:spacing w:val="-15"/>
        </w:rPr>
        <w:t> 万吨草铵膦、</w:t>
      </w:r>
      <w:r>
        <w:rPr/>
        <w:t>10</w:t>
      </w:r>
      <w:r>
        <w:rPr>
          <w:spacing w:val="-15"/>
        </w:rPr>
        <w:t> 万吨蛋氨酸、</w:t>
      </w:r>
      <w:r>
        <w:rPr/>
        <w:t>5</w:t>
      </w:r>
      <w:r>
        <w:rPr>
          <w:spacing w:val="-12"/>
        </w:rPr>
        <w:t> 万吨石英砂氯化</w:t>
      </w:r>
      <w:r>
        <w:rPr>
          <w:spacing w:val="-26"/>
        </w:rPr>
        <w:t>法生产四氯化硅等项目。到 </w:t>
      </w:r>
      <w:r>
        <w:rPr/>
        <w:t>2020</w:t>
      </w:r>
      <w:r>
        <w:rPr>
          <w:spacing w:val="-17"/>
        </w:rPr>
        <w:t> 年园区建成面积达到 </w:t>
      </w:r>
      <w:r>
        <w:rPr/>
        <w:t>10</w:t>
      </w:r>
      <w:r>
        <w:rPr>
          <w:spacing w:val="-22"/>
        </w:rPr>
        <w:t> 平方公</w:t>
      </w:r>
    </w:p>
    <w:p>
      <w:pPr>
        <w:pStyle w:val="BodyText"/>
        <w:spacing w:before="43"/>
      </w:pPr>
      <w:r>
        <w:rPr/>
        <w:t>里，主营业务收入达到 400 亿元以上。</w:t>
      </w:r>
    </w:p>
    <w:p>
      <w:pPr>
        <w:pStyle w:val="BodyText"/>
        <w:spacing w:line="343" w:lineRule="auto" w:before="181"/>
        <w:ind w:right="139" w:firstLine="639"/>
      </w:pPr>
      <w:r>
        <w:rPr>
          <w:spacing w:val="-9"/>
        </w:rPr>
        <w:t>——乐山三江临港经济开发区。积极引进现代装备制造、新</w:t>
      </w:r>
      <w:r>
        <w:rPr>
          <w:spacing w:val="-12"/>
        </w:rPr>
        <w:t>能源新材料、电子信息、现代物流等新兴产业。到 </w:t>
      </w:r>
      <w:r>
        <w:rPr/>
        <w:t>2020</w:t>
      </w:r>
      <w:r>
        <w:rPr>
          <w:spacing w:val="-18"/>
        </w:rPr>
        <w:t> 年，新</w:t>
      </w:r>
    </w:p>
    <w:p>
      <w:pPr>
        <w:pStyle w:val="BodyText"/>
        <w:spacing w:before="43"/>
      </w:pPr>
      <w:r>
        <w:rPr>
          <w:spacing w:val="-14"/>
        </w:rPr>
        <w:t>增开发面积 </w:t>
      </w:r>
      <w:r>
        <w:rPr/>
        <w:t>5</w:t>
      </w:r>
      <w:r>
        <w:rPr>
          <w:spacing w:val="-21"/>
        </w:rPr>
        <w:t> 平方公里，提供就业岗位 </w:t>
      </w:r>
      <w:r>
        <w:rPr/>
        <w:t>1</w:t>
      </w:r>
      <w:r>
        <w:rPr>
          <w:spacing w:val="-16"/>
        </w:rPr>
        <w:t> 万个。主营业务收入达</w:t>
      </w:r>
    </w:p>
    <w:p>
      <w:pPr>
        <w:pStyle w:val="BodyText"/>
        <w:spacing w:before="180"/>
      </w:pPr>
      <w:r>
        <w:rPr>
          <w:spacing w:val="-41"/>
        </w:rPr>
        <w:t>到 </w:t>
      </w:r>
      <w:r>
        <w:rPr/>
        <w:t>50</w:t>
      </w:r>
      <w:r>
        <w:rPr>
          <w:spacing w:val="-17"/>
        </w:rPr>
        <w:t> 亿元，工业增加值达到 </w:t>
      </w:r>
      <w:r>
        <w:rPr/>
        <w:t>20</w:t>
      </w:r>
      <w:r>
        <w:rPr>
          <w:spacing w:val="-22"/>
        </w:rPr>
        <w:t> 亿元，利税达到 </w:t>
      </w:r>
      <w:r>
        <w:rPr/>
        <w:t>1</w:t>
      </w:r>
      <w:r>
        <w:rPr>
          <w:spacing w:val="-25"/>
        </w:rPr>
        <w:t> 亿元。</w:t>
      </w:r>
      <w:r>
        <w:rPr/>
        <w:t>5</w:t>
      </w:r>
      <w:r>
        <w:rPr>
          <w:spacing w:val="-28"/>
        </w:rPr>
        <w:t> 年累</w:t>
      </w:r>
    </w:p>
    <w:p>
      <w:pPr>
        <w:pStyle w:val="BodyText"/>
        <w:spacing w:line="343" w:lineRule="auto" w:before="180"/>
        <w:ind w:right="139"/>
      </w:pPr>
      <w:r>
        <w:rPr>
          <w:spacing w:val="-13"/>
        </w:rPr>
        <w:t>计引进资金 </w:t>
      </w:r>
      <w:r>
        <w:rPr/>
        <w:t>100</w:t>
      </w:r>
      <w:r>
        <w:rPr>
          <w:spacing w:val="-15"/>
        </w:rPr>
        <w:t> 亿元以上，引进企业 </w:t>
      </w:r>
      <w:r>
        <w:rPr/>
        <w:t>10</w:t>
      </w:r>
      <w:r>
        <w:rPr>
          <w:spacing w:val="-9"/>
        </w:rPr>
        <w:t> 家以上。力争建成省级</w:t>
      </w:r>
      <w:r>
        <w:rPr>
          <w:spacing w:val="-1"/>
        </w:rPr>
        <w:t>经济开发区。</w:t>
      </w:r>
    </w:p>
    <w:p>
      <w:pPr>
        <w:pStyle w:val="BodyText"/>
        <w:spacing w:line="343" w:lineRule="auto" w:before="43"/>
        <w:ind w:right="106" w:firstLine="639"/>
      </w:pPr>
      <w:r>
        <w:rPr>
          <w:spacing w:val="-10"/>
        </w:rPr>
        <w:t>——临空经济区。依托乐山机场，在冠英、蔡金建设</w:t>
      </w:r>
      <w:r>
        <w:rPr/>
        <w:t>30平方</w:t>
      </w:r>
      <w:r>
        <w:rPr>
          <w:spacing w:val="-11"/>
        </w:rPr>
        <w:t>公里的临空经济区。总体定位为以航空运输为关联的空港商务服</w:t>
      </w:r>
      <w:r>
        <w:rPr>
          <w:spacing w:val="-19"/>
        </w:rPr>
        <w:t>务、运输产业，发展对时效性有较高要求且产品体积小、重量轻、</w:t>
      </w:r>
      <w:r>
        <w:rPr>
          <w:spacing w:val="-20"/>
        </w:rPr>
        <w:t>附加值高的制造业和高新技术产业。形成产业园、功能区、临空</w:t>
      </w:r>
      <w:r>
        <w:rPr>
          <w:spacing w:val="-1"/>
        </w:rPr>
        <w:t>型制造业及与航空运输相关联的临空经济区。</w:t>
      </w:r>
    </w:p>
    <w:p>
      <w:pPr>
        <w:pStyle w:val="BodyText"/>
        <w:spacing w:line="343" w:lineRule="auto" w:before="43"/>
        <w:ind w:right="139" w:firstLine="645"/>
      </w:pPr>
      <w:r>
        <w:rPr>
          <w:spacing w:val="-22"/>
        </w:rPr>
        <w:t>——稀土产业园。建设 </w:t>
      </w:r>
      <w:r>
        <w:rPr/>
        <w:t>400</w:t>
      </w:r>
      <w:r>
        <w:rPr>
          <w:spacing w:val="-18"/>
        </w:rPr>
        <w:t> 亩的稀土产业园区。以现有盛和、</w:t>
      </w:r>
      <w:r>
        <w:rPr>
          <w:spacing w:val="-17"/>
        </w:rPr>
        <w:t>润和两户企业为主，依托现有稀土资源和原材料优势，重点发展</w:t>
      </w:r>
      <w:r>
        <w:rPr>
          <w:spacing w:val="-39"/>
        </w:rPr>
        <w:t>年产 </w:t>
      </w:r>
      <w:r>
        <w:rPr/>
        <w:t>20</w:t>
      </w:r>
      <w:r>
        <w:rPr>
          <w:spacing w:val="-13"/>
        </w:rPr>
        <w:t> 万吨催化剂、</w:t>
      </w:r>
      <w:r>
        <w:rPr/>
        <w:t>2000</w:t>
      </w:r>
      <w:r>
        <w:rPr>
          <w:spacing w:val="-12"/>
        </w:rPr>
        <w:t> 吨铈锆固溶体、</w:t>
      </w:r>
      <w:r>
        <w:rPr/>
        <w:t>1000</w:t>
      </w:r>
      <w:r>
        <w:rPr>
          <w:spacing w:val="-56"/>
        </w:rPr>
        <w:t> 吨 </w:t>
      </w:r>
      <w:r>
        <w:rPr/>
        <w:t>SSZ</w:t>
      </w:r>
      <w:r>
        <w:rPr>
          <w:spacing w:val="-17"/>
        </w:rPr>
        <w:t> 分子筛、</w:t>
      </w:r>
      <w:r>
        <w:rPr>
          <w:spacing w:val="-34"/>
        </w:rPr>
        <w:t>年处理 </w:t>
      </w:r>
      <w:r>
        <w:rPr/>
        <w:t>5500</w:t>
      </w:r>
      <w:r>
        <w:rPr>
          <w:spacing w:val="-57"/>
        </w:rPr>
        <w:t> 吨 </w:t>
      </w:r>
      <w:r>
        <w:rPr/>
        <w:t>REO</w:t>
      </w:r>
      <w:r>
        <w:rPr>
          <w:spacing w:val="-16"/>
        </w:rPr>
        <w:t> 稀土精矿生产、</w:t>
      </w:r>
      <w:r>
        <w:rPr/>
        <w:t>7000</w:t>
      </w:r>
      <w:r>
        <w:rPr>
          <w:spacing w:val="-10"/>
        </w:rPr>
        <w:t> 吨高纯重稀土产品线清</w:t>
      </w:r>
    </w:p>
    <w:p>
      <w:pPr>
        <w:spacing w:after="0" w:line="343" w:lineRule="auto"/>
        <w:sectPr>
          <w:pgSz w:w="11910" w:h="16840"/>
          <w:pgMar w:header="0" w:footer="998" w:top="1560" w:bottom="1180" w:left="1420" w:right="1260"/>
        </w:sectPr>
      </w:pPr>
    </w:p>
    <w:p>
      <w:pPr>
        <w:pStyle w:val="BodyText"/>
        <w:spacing w:line="405" w:lineRule="exact"/>
      </w:pPr>
      <w:r>
        <w:rPr/>
        <w:t>洁生产改造等项目。</w:t>
      </w:r>
    </w:p>
    <w:p>
      <w:pPr>
        <w:pStyle w:val="BodyText"/>
        <w:spacing w:line="343" w:lineRule="auto" w:before="181"/>
        <w:ind w:right="265" w:firstLine="639"/>
        <w:jc w:val="both"/>
      </w:pPr>
      <w:r>
        <w:rPr>
          <w:spacing w:val="-3"/>
        </w:rPr>
        <w:t>——机电产业园。依托东风电机等龙头企业，建设 </w:t>
      </w:r>
      <w:r>
        <w:rPr/>
        <w:t>1000</w:t>
      </w:r>
      <w:r>
        <w:rPr>
          <w:spacing w:val="-33"/>
        </w:rPr>
        <w:t> 亩</w:t>
      </w:r>
      <w:r>
        <w:rPr>
          <w:spacing w:val="-11"/>
        </w:rPr>
        <w:t>的机电产业园。主要发展大型贯流发电机、风力发电机、高效节</w:t>
      </w:r>
      <w:r>
        <w:rPr>
          <w:spacing w:val="-12"/>
        </w:rPr>
        <w:t>能电机、电站锅炉、生物质锅炉等产品。重点实施泰吉水力发电</w:t>
      </w:r>
      <w:r>
        <w:rPr>
          <w:spacing w:val="-18"/>
        </w:rPr>
        <w:t>设备扩建、川本电器 </w:t>
      </w:r>
      <w:r>
        <w:rPr/>
        <w:t>11</w:t>
      </w:r>
      <w:r>
        <w:rPr>
          <w:spacing w:val="-9"/>
        </w:rPr>
        <w:t> 万台稀土永磁电机、乐锅锅炉异地搬迁</w:t>
      </w:r>
      <w:r>
        <w:rPr>
          <w:spacing w:val="-1"/>
        </w:rPr>
        <w:t>扩能技改等项目。</w:t>
      </w:r>
    </w:p>
    <w:p>
      <w:pPr>
        <w:pStyle w:val="BodyText"/>
        <w:spacing w:line="343" w:lineRule="auto" w:before="43"/>
        <w:ind w:right="149" w:firstLine="639"/>
        <w:jc w:val="both"/>
      </w:pPr>
      <w:r>
        <w:rPr>
          <w:spacing w:val="-6"/>
        </w:rPr>
        <w:t>——农产品加工园。在西坝镇建设 </w:t>
      </w:r>
      <w:r>
        <w:rPr/>
        <w:t>500</w:t>
      </w:r>
      <w:r>
        <w:rPr>
          <w:spacing w:val="-11"/>
        </w:rPr>
        <w:t> 亩的农产品加工园， </w:t>
      </w:r>
      <w:r>
        <w:rPr>
          <w:spacing w:val="-2"/>
        </w:rPr>
        <w:t>促进豆腐乳、汤圆粉、芽菜、米酒等特色农产品入园集聚发展。</w:t>
      </w:r>
    </w:p>
    <w:p>
      <w:pPr>
        <w:pStyle w:val="BodyText"/>
        <w:spacing w:line="343" w:lineRule="auto" w:before="43"/>
        <w:ind w:right="265" w:firstLine="639"/>
        <w:jc w:val="both"/>
      </w:pPr>
      <w:r>
        <w:rPr>
          <w:spacing w:val="-5"/>
        </w:rPr>
        <w:t>——综合保税区。在冠英镇建设 </w:t>
      </w:r>
      <w:r>
        <w:rPr/>
        <w:t>3.01</w:t>
      </w:r>
      <w:r>
        <w:rPr>
          <w:spacing w:val="-9"/>
        </w:rPr>
        <w:t> 平方公里的综合保税</w:t>
      </w:r>
      <w:r>
        <w:rPr>
          <w:spacing w:val="-12"/>
        </w:rPr>
        <w:t>区。重点发展以新能源、电子信息、生物医药、现代物流为代表</w:t>
      </w:r>
      <w:r>
        <w:rPr>
          <w:spacing w:val="-10"/>
        </w:rPr>
        <w:t>的主导产业和文化创意、电子商务为代表的新兴产业。将综合保</w:t>
      </w:r>
      <w:r>
        <w:rPr>
          <w:spacing w:val="-9"/>
        </w:rPr>
        <w:t>税区建设成为服务成渝经济圈、辐射川西南的重要平台、向西开</w:t>
      </w:r>
      <w:r>
        <w:rPr>
          <w:spacing w:val="-1"/>
        </w:rPr>
        <w:t>放的重要窗口、承接产业转移的重要基地。</w:t>
      </w:r>
    </w:p>
    <w:p>
      <w:pPr>
        <w:pStyle w:val="BodyText"/>
        <w:ind w:left="0"/>
      </w:pPr>
    </w:p>
    <w:p>
      <w:pPr>
        <w:pStyle w:val="BodyText"/>
        <w:tabs>
          <w:tab w:pos="1279" w:val="left" w:leader="none"/>
        </w:tabs>
        <w:spacing w:before="224"/>
        <w:ind w:left="0" w:right="156"/>
        <w:jc w:val="center"/>
        <w:rPr>
          <w:rFonts w:ascii="黑体" w:eastAsia="黑体" w:hint="eastAsia"/>
        </w:rPr>
      </w:pPr>
      <w:r>
        <w:rPr>
          <w:rFonts w:ascii="黑体" w:eastAsia="黑体" w:hint="eastAsia"/>
        </w:rPr>
        <w:t>第四节</w:t>
        <w:tab/>
      </w:r>
      <w:r>
        <w:rPr>
          <w:rFonts w:ascii="黑体" w:eastAsia="黑体" w:hint="eastAsia"/>
          <w:spacing w:val="-1"/>
        </w:rPr>
        <w:t>搬迁改造桥滩老工业区</w:t>
      </w:r>
    </w:p>
    <w:p>
      <w:pPr>
        <w:pStyle w:val="BodyText"/>
        <w:spacing w:line="343" w:lineRule="auto" w:before="180"/>
        <w:ind w:right="149" w:firstLine="639"/>
        <w:jc w:val="both"/>
      </w:pPr>
      <w:r>
        <w:rPr>
          <w:spacing w:val="-7"/>
        </w:rPr>
        <w:t>按照《全国老工业基地调整改造规划</w:t>
      </w:r>
      <w:r>
        <w:rPr>
          <w:spacing w:val="-200"/>
        </w:rPr>
        <w:t>》</w:t>
      </w:r>
      <w:r>
        <w:rPr/>
        <w:t>（2013-2022</w:t>
      </w:r>
      <w:r>
        <w:rPr>
          <w:spacing w:val="-4"/>
        </w:rPr>
        <w:t> 年</w:t>
      </w:r>
      <w:r>
        <w:rPr>
          <w:spacing w:val="-100"/>
        </w:rPr>
        <w:t>）</w:t>
      </w:r>
      <w:r>
        <w:rPr>
          <w:spacing w:val="-70"/>
        </w:rPr>
        <w:t>，启</w:t>
      </w:r>
      <w:r>
        <w:rPr>
          <w:spacing w:val="-2"/>
        </w:rPr>
        <w:t>动桥滩老工业区搬迁改造，实现经济建设与城市建设协调发展。</w:t>
      </w:r>
    </w:p>
    <w:p>
      <w:pPr>
        <w:pStyle w:val="BodyText"/>
        <w:spacing w:line="343" w:lineRule="auto" w:before="43"/>
        <w:ind w:right="105" w:firstLine="639"/>
        <w:jc w:val="both"/>
      </w:pPr>
      <w:r>
        <w:rPr>
          <w:spacing w:val="-11"/>
        </w:rPr>
        <w:t>搬迁改造。对具备生产规模、经营状况较好、发展潜力较大</w:t>
      </w:r>
      <w:r>
        <w:rPr>
          <w:spacing w:val="-14"/>
        </w:rPr>
        <w:t>的企业，给予必要的配套支持政策，引导企业在产业升级的前提</w:t>
      </w:r>
      <w:r>
        <w:rPr>
          <w:spacing w:val="-12"/>
        </w:rPr>
        <w:t>下，适时整体迁入三江临港经济开发区、精细化工区、机电产业</w:t>
      </w:r>
      <w:r>
        <w:rPr>
          <w:spacing w:val="-14"/>
        </w:rPr>
        <w:t>园等园区，并与上下游关联企业合理集中布局。腾退土地主要用</w:t>
      </w:r>
      <w:r>
        <w:rPr>
          <w:spacing w:val="-19"/>
        </w:rPr>
        <w:t>于发展现代服务业，建设公共服务设施、新型社区和公园绿地等。</w:t>
      </w:r>
    </w:p>
    <w:p>
      <w:pPr>
        <w:pStyle w:val="BodyText"/>
        <w:spacing w:before="43"/>
      </w:pPr>
      <w:r>
        <w:rPr/>
        <w:t>“十三五”期间优先组织五通桥锅厂、林江锅炉、富丽包装厂、</w:t>
      </w:r>
    </w:p>
    <w:p>
      <w:pPr>
        <w:spacing w:after="0"/>
        <w:sectPr>
          <w:pgSz w:w="11910" w:h="16840"/>
          <w:pgMar w:header="0" w:footer="998" w:top="1560" w:bottom="1180" w:left="1420" w:right="1260"/>
        </w:sectPr>
      </w:pPr>
    </w:p>
    <w:p>
      <w:pPr>
        <w:pStyle w:val="BodyText"/>
        <w:spacing w:line="405" w:lineRule="exact"/>
        <w:ind w:left="431"/>
      </w:pPr>
      <w:r>
        <w:rPr>
          <w:spacing w:val="-19"/>
        </w:rPr>
        <w:t>东川机械厂、泰吉机电、乐山巨星饲料有限公司等企业实施搬迁。</w:t>
      </w:r>
    </w:p>
    <w:p>
      <w:pPr>
        <w:pStyle w:val="BodyText"/>
        <w:spacing w:line="343" w:lineRule="auto" w:before="181"/>
        <w:ind w:left="431" w:right="426" w:firstLine="639"/>
        <w:jc w:val="both"/>
      </w:pPr>
      <w:r>
        <w:rPr>
          <w:spacing w:val="-12"/>
        </w:rPr>
        <w:t>转型升级。对不具备整体搬迁条件的企业，鼓励企业通过淘</w:t>
      </w:r>
      <w:r>
        <w:rPr>
          <w:spacing w:val="-20"/>
        </w:rPr>
        <w:t>汰落后设备或更新改造的方式进行转型升级。“十三五”期间重</w:t>
      </w:r>
      <w:r>
        <w:rPr>
          <w:spacing w:val="-1"/>
        </w:rPr>
        <w:t>点实施东风电机中小设备更新及数控化改造等项目。</w:t>
      </w:r>
    </w:p>
    <w:p>
      <w:pPr>
        <w:spacing w:before="90"/>
        <w:ind w:left="2368" w:right="0" w:firstLine="0"/>
        <w:jc w:val="left"/>
        <w:rPr>
          <w:sz w:val="28"/>
        </w:rPr>
      </w:pPr>
      <w:r>
        <w:rPr>
          <w:sz w:val="28"/>
        </w:rPr>
        <w:t>图 16.桥滩老工业区搬迁改造承接示意图</w:t>
      </w:r>
    </w:p>
    <w:p>
      <w:pPr>
        <w:pStyle w:val="BodyText"/>
        <w:spacing w:before="11"/>
        <w:ind w:left="0"/>
        <w:rPr>
          <w:sz w:val="11"/>
        </w:rPr>
      </w:pPr>
      <w:r>
        <w:rPr/>
        <w:drawing>
          <wp:anchor distT="0" distB="0" distL="0" distR="0" allowOverlap="1" layoutInCell="1" locked="0" behindDoc="0" simplePos="0" relativeHeight="5656">
            <wp:simplePos x="0" y="0"/>
            <wp:positionH relativeFrom="page">
              <wp:posOffset>767333</wp:posOffset>
            </wp:positionH>
            <wp:positionV relativeFrom="paragraph">
              <wp:posOffset>123586</wp:posOffset>
            </wp:positionV>
            <wp:extent cx="6081306" cy="5261610"/>
            <wp:effectExtent l="0" t="0" r="0" b="0"/>
            <wp:wrapTopAndBottom/>
            <wp:docPr id="13" name="image7.jpeg" descr=""/>
            <wp:cNvGraphicFramePr>
              <a:graphicFrameLocks noChangeAspect="1"/>
            </wp:cNvGraphicFramePr>
            <a:graphic>
              <a:graphicData uri="http://schemas.openxmlformats.org/drawingml/2006/picture">
                <pic:pic>
                  <pic:nvPicPr>
                    <pic:cNvPr id="14" name="image7.jpeg"/>
                    <pic:cNvPicPr/>
                  </pic:nvPicPr>
                  <pic:blipFill>
                    <a:blip r:embed="rId16" cstate="print"/>
                    <a:stretch>
                      <a:fillRect/>
                    </a:stretch>
                  </pic:blipFill>
                  <pic:spPr>
                    <a:xfrm>
                      <a:off x="0" y="0"/>
                      <a:ext cx="6081306" cy="5261610"/>
                    </a:xfrm>
                    <a:prstGeom prst="rect">
                      <a:avLst/>
                    </a:prstGeom>
                  </pic:spPr>
                </pic:pic>
              </a:graphicData>
            </a:graphic>
          </wp:anchor>
        </w:drawing>
      </w:r>
    </w:p>
    <w:p>
      <w:pPr>
        <w:pStyle w:val="BodyText"/>
        <w:ind w:left="0"/>
        <w:rPr>
          <w:sz w:val="28"/>
        </w:rPr>
      </w:pPr>
    </w:p>
    <w:p>
      <w:pPr>
        <w:pStyle w:val="BodyText"/>
        <w:spacing w:line="343" w:lineRule="auto" w:before="236"/>
        <w:ind w:left="431" w:right="93" w:firstLine="639"/>
      </w:pPr>
      <w:r>
        <w:rPr>
          <w:spacing w:val="-12"/>
        </w:rPr>
        <w:t>棚户区改造。采取集中建设、货币化安置等办法解决老工业</w:t>
      </w:r>
      <w:r>
        <w:rPr>
          <w:spacing w:val="-21"/>
        </w:rPr>
        <w:t>区棚户区拆迁安置。“十三五”期间改造棚户区 </w:t>
      </w:r>
      <w:r>
        <w:rPr/>
        <w:t>97.6</w:t>
      </w:r>
      <w:r>
        <w:rPr>
          <w:spacing w:val="-16"/>
        </w:rPr>
        <w:t> 万平方米， </w:t>
      </w:r>
      <w:r>
        <w:rPr>
          <w:spacing w:val="-1"/>
        </w:rPr>
        <w:t>主要实施王爷庙</w:t>
      </w:r>
      <w:r>
        <w:rPr>
          <w:spacing w:val="-16"/>
        </w:rPr>
        <w:t>、</w:t>
      </w:r>
      <w:r>
        <w:rPr>
          <w:spacing w:val="-1"/>
        </w:rPr>
        <w:t>麻</w:t>
      </w:r>
      <w:r>
        <w:rPr>
          <w:spacing w:val="-157"/>
        </w:rPr>
        <w:t> </w:t>
      </w:r>
      <w:r>
        <w:rPr>
          <w:w w:val="100"/>
        </w:rPr>
        <w:drawing>
          <wp:inline distT="0" distB="0" distL="0" distR="0">
            <wp:extent cx="182803" cy="180594"/>
            <wp:effectExtent l="0" t="0" r="0" b="0"/>
            <wp:docPr id="15" name="image8.png" descr=""/>
            <wp:cNvGraphicFramePr>
              <a:graphicFrameLocks noChangeAspect="1"/>
            </wp:cNvGraphicFramePr>
            <a:graphic>
              <a:graphicData uri="http://schemas.openxmlformats.org/drawingml/2006/picture">
                <pic:pic>
                  <pic:nvPicPr>
                    <pic:cNvPr id="16" name="image8.png"/>
                    <pic:cNvPicPr/>
                  </pic:nvPicPr>
                  <pic:blipFill>
                    <a:blip r:embed="rId17" cstate="print"/>
                    <a:stretch>
                      <a:fillRect/>
                    </a:stretch>
                  </pic:blipFill>
                  <pic:spPr>
                    <a:xfrm>
                      <a:off x="0" y="0"/>
                      <a:ext cx="182803" cy="180594"/>
                    </a:xfrm>
                    <a:prstGeom prst="rect">
                      <a:avLst/>
                    </a:prstGeom>
                  </pic:spPr>
                </pic:pic>
              </a:graphicData>
            </a:graphic>
          </wp:inline>
        </w:drawing>
      </w:r>
      <w:r>
        <w:rPr>
          <w:w w:val="100"/>
        </w:rPr>
      </w:r>
      <w:r>
        <w:rPr>
          <w:spacing w:val="-16"/>
        </w:rPr>
        <w:t>、</w:t>
      </w:r>
      <w:r>
        <w:rPr>
          <w:spacing w:val="-1"/>
        </w:rPr>
        <w:t>发展大厦</w:t>
      </w:r>
      <w:r>
        <w:rPr>
          <w:spacing w:val="-16"/>
        </w:rPr>
        <w:t>、</w:t>
      </w:r>
      <w:r>
        <w:rPr>
          <w:spacing w:val="-1"/>
        </w:rPr>
        <w:t>川盐化</w:t>
      </w:r>
      <w:r>
        <w:rPr>
          <w:spacing w:val="-16"/>
        </w:rPr>
        <w:t>、</w:t>
      </w:r>
      <w:r>
        <w:rPr>
          <w:spacing w:val="-1"/>
        </w:rPr>
        <w:t>川康一</w:t>
      </w:r>
      <w:r>
        <w:rPr/>
        <w:t>厂</w:t>
      </w:r>
      <w:r>
        <w:rPr>
          <w:spacing w:val="-16"/>
        </w:rPr>
        <w:t>、</w:t>
      </w:r>
      <w:r>
        <w:rPr/>
        <w:t>川康</w:t>
      </w:r>
    </w:p>
    <w:p>
      <w:pPr>
        <w:spacing w:after="0" w:line="343" w:lineRule="auto"/>
        <w:sectPr>
          <w:pgSz w:w="11910" w:h="16840"/>
          <w:pgMar w:header="0" w:footer="998" w:top="1560" w:bottom="1180" w:left="1100" w:right="1100"/>
        </w:sectPr>
      </w:pPr>
    </w:p>
    <w:p>
      <w:pPr>
        <w:pStyle w:val="BodyText"/>
        <w:spacing w:line="405" w:lineRule="exact"/>
        <w:ind w:left="17" w:right="1813"/>
        <w:jc w:val="center"/>
      </w:pPr>
      <w:r>
        <w:rPr/>
        <w:t>二厂、纯碱厂、凤来煤矿和亚西机器厂 9 大片区。</w:t>
      </w:r>
    </w:p>
    <w:p>
      <w:pPr>
        <w:pStyle w:val="BodyText"/>
        <w:spacing w:line="343" w:lineRule="auto" w:before="181"/>
        <w:ind w:right="105" w:firstLine="639"/>
        <w:jc w:val="both"/>
      </w:pPr>
      <w:r>
        <w:rPr/>
        <w:t>工业遗址保护。加强对侯氏制碱法诞生地（永利川厂</w:t>
      </w:r>
      <w:r>
        <w:rPr>
          <w:spacing w:val="-157"/>
        </w:rPr>
        <w:t>）</w:t>
      </w:r>
      <w:r>
        <w:rPr/>
        <w:t>、盐</w:t>
      </w:r>
      <w:r>
        <w:rPr>
          <w:spacing w:val="-7"/>
        </w:rPr>
        <w:t>卤井架等具有地域特色的工业遗产、历史建筑物的保护。“十三</w:t>
      </w:r>
      <w:r>
        <w:rPr>
          <w:spacing w:val="-12"/>
        </w:rPr>
        <w:t>五”期间重点对三线军工遗址洞区及永利川厂的装备及设施进行搬迁，对“新塘沽”工业遗产涉及的“308”三线军工、永利川</w:t>
      </w:r>
      <w:r>
        <w:rPr>
          <w:spacing w:val="-11"/>
        </w:rPr>
        <w:t>厂等遗址进行保护开发，将其打造成集爱国主义教育和工业旅游</w:t>
      </w:r>
      <w:r>
        <w:rPr>
          <w:spacing w:val="-1"/>
        </w:rPr>
        <w:t>为一体的主题景点，带动地区经济发展。</w:t>
      </w:r>
    </w:p>
    <w:p>
      <w:pPr>
        <w:spacing w:before="90"/>
        <w:ind w:left="17" w:right="16" w:firstLine="0"/>
        <w:jc w:val="center"/>
        <w:rPr>
          <w:sz w:val="28"/>
        </w:rPr>
      </w:pPr>
      <w:r>
        <w:rPr/>
        <w:pict>
          <v:group style="position:absolute;margin-left:76.070pt;margin-top:26.601887pt;width:442pt;height:447.65pt;mso-position-horizontal-relative:page;mso-position-vertical-relative:paragraph;z-index:-259936" coordorigin="1521,532" coordsize="8840,8953">
            <v:line style="position:absolute" from="1526,542" to="10356,542" stroked="true" strokeweight=".47998pt" strokecolor="#000000">
              <v:stroke dashstyle="solid"/>
            </v:line>
            <v:shape style="position:absolute;left:1526;top:537;width:8820;height:8943" coordorigin="1526,537" coordsize="8820,8943" path="m1531,537l1531,9479m1526,9475l10346,9475e" filled="false" stroked="true" strokeweight=".48001pt" strokecolor="#000000">
              <v:path arrowok="t"/>
              <v:stroke dashstyle="solid"/>
            </v:shape>
            <v:line style="position:absolute" from="10351,537" to="10351,9479" stroked="true" strokeweight=".47998pt" strokecolor="#000000">
              <v:stroke dashstyle="solid"/>
            </v:line>
            <w10:wrap type="none"/>
          </v:group>
        </w:pict>
      </w:r>
      <w:r>
        <w:rPr>
          <w:w w:val="95"/>
          <w:sz w:val="28"/>
        </w:rPr>
        <w:t>专栏：工业重点项目</w:t>
      </w:r>
    </w:p>
    <w:p>
      <w:pPr>
        <w:spacing w:line="350" w:lineRule="auto" w:before="178"/>
        <w:ind w:left="219" w:right="50" w:firstLine="480"/>
        <w:jc w:val="left"/>
        <w:rPr>
          <w:sz w:val="24"/>
        </w:rPr>
      </w:pPr>
      <w:r>
        <w:rPr>
          <w:spacing w:val="-16"/>
          <w:sz w:val="24"/>
        </w:rPr>
        <w:t>盐磷化工项目：福华集团 </w:t>
      </w:r>
      <w:r>
        <w:rPr>
          <w:sz w:val="24"/>
        </w:rPr>
        <w:t>30</w:t>
      </w:r>
      <w:r>
        <w:rPr>
          <w:spacing w:val="-20"/>
          <w:sz w:val="24"/>
        </w:rPr>
        <w:t> 万吨</w:t>
      </w:r>
      <w:r>
        <w:rPr>
          <w:sz w:val="24"/>
        </w:rPr>
        <w:t>/</w:t>
      </w:r>
      <w:r>
        <w:rPr>
          <w:spacing w:val="-10"/>
          <w:sz w:val="24"/>
        </w:rPr>
        <w:t>年离子膜烧碱扩能技改、</w:t>
      </w:r>
      <w:r>
        <w:rPr>
          <w:sz w:val="24"/>
        </w:rPr>
        <w:t>12000</w:t>
      </w:r>
      <w:r>
        <w:rPr>
          <w:spacing w:val="-30"/>
          <w:sz w:val="24"/>
        </w:rPr>
        <w:t> 吨</w:t>
      </w:r>
      <w:r>
        <w:rPr>
          <w:sz w:val="24"/>
        </w:rPr>
        <w:t>/年草铵膦、</w:t>
      </w:r>
      <w:r>
        <w:rPr>
          <w:spacing w:val="-2"/>
          <w:sz w:val="24"/>
        </w:rPr>
        <w:t>热电系统扩能技改、</w:t>
      </w:r>
      <w:r>
        <w:rPr>
          <w:sz w:val="24"/>
        </w:rPr>
        <w:t>12</w:t>
      </w:r>
      <w:r>
        <w:rPr>
          <w:spacing w:val="-20"/>
          <w:sz w:val="24"/>
        </w:rPr>
        <w:t> 万吨</w:t>
      </w:r>
      <w:r>
        <w:rPr>
          <w:sz w:val="24"/>
        </w:rPr>
        <w:t>/</w:t>
      </w:r>
      <w:r>
        <w:rPr>
          <w:spacing w:val="-2"/>
          <w:sz w:val="24"/>
        </w:rPr>
        <w:t>年草甘膦优化扩能技改、</w:t>
      </w:r>
      <w:r>
        <w:rPr>
          <w:sz w:val="24"/>
        </w:rPr>
        <w:t>1</w:t>
      </w:r>
      <w:r>
        <w:rPr>
          <w:spacing w:val="-20"/>
          <w:sz w:val="24"/>
        </w:rPr>
        <w:t> 万吨</w:t>
      </w:r>
      <w:r>
        <w:rPr>
          <w:sz w:val="24"/>
        </w:rPr>
        <w:t>/</w:t>
      </w:r>
      <w:r>
        <w:rPr>
          <w:spacing w:val="-3"/>
          <w:sz w:val="24"/>
        </w:rPr>
        <w:t>年麦草畏，和邦集团</w:t>
      </w:r>
    </w:p>
    <w:p>
      <w:pPr>
        <w:spacing w:line="350" w:lineRule="auto" w:before="36"/>
        <w:ind w:left="219" w:right="50" w:firstLine="0"/>
        <w:jc w:val="left"/>
        <w:rPr>
          <w:sz w:val="24"/>
        </w:rPr>
      </w:pPr>
      <w:r>
        <w:rPr>
          <w:sz w:val="24"/>
        </w:rPr>
        <w:t>10</w:t>
      </w:r>
      <w:r>
        <w:rPr>
          <w:spacing w:val="-13"/>
          <w:sz w:val="24"/>
        </w:rPr>
        <w:t> 万吨蛋氨酸，永祥 </w:t>
      </w:r>
      <w:r>
        <w:rPr>
          <w:sz w:val="24"/>
        </w:rPr>
        <w:t>30</w:t>
      </w:r>
      <w:r>
        <w:rPr>
          <w:spacing w:val="-19"/>
          <w:sz w:val="24"/>
        </w:rPr>
        <w:t> 万吨</w:t>
      </w:r>
      <w:r>
        <w:rPr>
          <w:sz w:val="24"/>
        </w:rPr>
        <w:t>/</w:t>
      </w:r>
      <w:r>
        <w:rPr>
          <w:spacing w:val="-28"/>
          <w:sz w:val="24"/>
        </w:rPr>
        <w:t>年 </w:t>
      </w:r>
      <w:r>
        <w:rPr>
          <w:sz w:val="24"/>
        </w:rPr>
        <w:t>PVC30</w:t>
      </w:r>
      <w:r>
        <w:rPr>
          <w:spacing w:val="-19"/>
          <w:sz w:val="24"/>
        </w:rPr>
        <w:t> 万吨</w:t>
      </w:r>
      <w:r>
        <w:rPr>
          <w:sz w:val="24"/>
        </w:rPr>
        <w:t>/年烧碱节能减排技术改造及辅助设施等项目。</w:t>
      </w:r>
    </w:p>
    <w:p>
      <w:pPr>
        <w:spacing w:line="352" w:lineRule="auto" w:before="35"/>
        <w:ind w:left="219" w:right="238" w:firstLine="480"/>
        <w:jc w:val="both"/>
        <w:rPr>
          <w:sz w:val="24"/>
        </w:rPr>
      </w:pPr>
      <w:r>
        <w:rPr>
          <w:spacing w:val="-8"/>
          <w:sz w:val="24"/>
        </w:rPr>
        <w:t>硅材料及太阳能光伏项目：永祥 </w:t>
      </w:r>
      <w:r>
        <w:rPr>
          <w:sz w:val="24"/>
        </w:rPr>
        <w:t>1</w:t>
      </w:r>
      <w:r>
        <w:rPr>
          <w:spacing w:val="-13"/>
          <w:sz w:val="24"/>
        </w:rPr>
        <w:t> 万吨气相白炭黑、</w:t>
      </w:r>
      <w:r>
        <w:rPr>
          <w:sz w:val="24"/>
        </w:rPr>
        <w:t>50000t/a</w:t>
      </w:r>
      <w:r>
        <w:rPr>
          <w:spacing w:val="-8"/>
          <w:sz w:val="24"/>
        </w:rPr>
        <w:t> 石英砂氯化法生产四氯化硅、1000t/a</w:t>
      </w:r>
      <w:r>
        <w:rPr>
          <w:spacing w:val="-33"/>
          <w:sz w:val="24"/>
        </w:rPr>
        <w:t> 硅烷 </w:t>
      </w:r>
      <w:r>
        <w:rPr>
          <w:sz w:val="24"/>
        </w:rPr>
        <w:t>CVD</w:t>
      </w:r>
      <w:r>
        <w:rPr>
          <w:spacing w:val="-9"/>
          <w:sz w:val="24"/>
        </w:rPr>
        <w:t> 法制备电子级多晶硅、光纤级四氯化硅、硅烷法颗粒多晶硅等项目。</w:t>
      </w:r>
    </w:p>
    <w:p>
      <w:pPr>
        <w:spacing w:line="352" w:lineRule="auto" w:before="32"/>
        <w:ind w:left="219" w:right="50" w:firstLine="480"/>
        <w:jc w:val="left"/>
        <w:rPr>
          <w:sz w:val="24"/>
        </w:rPr>
      </w:pPr>
      <w:r>
        <w:rPr>
          <w:spacing w:val="-7"/>
          <w:sz w:val="24"/>
        </w:rPr>
        <w:t>稀土萃取应用项目：年产 </w:t>
      </w:r>
      <w:r>
        <w:rPr>
          <w:sz w:val="24"/>
        </w:rPr>
        <w:t>6000</w:t>
      </w:r>
      <w:r>
        <w:rPr>
          <w:spacing w:val="-13"/>
          <w:sz w:val="24"/>
        </w:rPr>
        <w:t> 吨纳米级超细抛光粉技改、年产 </w:t>
      </w:r>
      <w:r>
        <w:rPr>
          <w:sz w:val="24"/>
        </w:rPr>
        <w:t>5</w:t>
      </w:r>
      <w:r>
        <w:rPr>
          <w:spacing w:val="-9"/>
          <w:sz w:val="24"/>
        </w:rPr>
        <w:t> 万吨催化剂、</w:t>
      </w:r>
      <w:r>
        <w:rPr>
          <w:spacing w:val="-14"/>
          <w:sz w:val="24"/>
        </w:rPr>
        <w:t>盛和稀土矿综合利用研发中心、年产 </w:t>
      </w:r>
      <w:r>
        <w:rPr>
          <w:spacing w:val="-7"/>
          <w:sz w:val="24"/>
        </w:rPr>
        <w:t>5500t（REO）</w:t>
      </w:r>
      <w:r>
        <w:rPr>
          <w:sz w:val="24"/>
        </w:rPr>
        <w:t>稀土精矿生产线环保及清洁生产设施升级改等项目。</w:t>
      </w:r>
    </w:p>
    <w:p>
      <w:pPr>
        <w:spacing w:before="32"/>
        <w:ind w:left="699" w:right="0" w:firstLine="0"/>
        <w:jc w:val="left"/>
        <w:rPr>
          <w:sz w:val="24"/>
        </w:rPr>
      </w:pPr>
      <w:r>
        <w:rPr>
          <w:sz w:val="24"/>
        </w:rPr>
        <w:t>机电加工项目：东川年产 30 万套现代农业装备、亚西橡塑机器铸造车间异地</w:t>
      </w:r>
    </w:p>
    <w:p>
      <w:pPr>
        <w:spacing w:before="146"/>
        <w:ind w:left="219" w:right="0" w:firstLine="0"/>
        <w:jc w:val="left"/>
        <w:rPr>
          <w:sz w:val="24"/>
        </w:rPr>
      </w:pPr>
      <w:r>
        <w:rPr>
          <w:sz w:val="24"/>
        </w:rPr>
        <w:t>搬迁扩能技改、大洋轴承异地搬迁技改、泰吉水利发电设备扩建工程、川本电器 11</w:t>
      </w:r>
    </w:p>
    <w:p>
      <w:pPr>
        <w:spacing w:line="350" w:lineRule="auto" w:before="145"/>
        <w:ind w:left="219" w:right="211" w:firstLine="0"/>
        <w:jc w:val="left"/>
        <w:rPr>
          <w:sz w:val="24"/>
        </w:rPr>
      </w:pPr>
      <w:r>
        <w:rPr>
          <w:spacing w:val="-7"/>
          <w:sz w:val="24"/>
        </w:rPr>
        <w:t>万台稀土永磁电动机、年产 </w:t>
      </w:r>
      <w:r>
        <w:rPr>
          <w:sz w:val="24"/>
        </w:rPr>
        <w:t>4</w:t>
      </w:r>
      <w:r>
        <w:rPr>
          <w:spacing w:val="-10"/>
          <w:sz w:val="24"/>
        </w:rPr>
        <w:t> 万台家用蔬果破碎机生产线技改，东川机械、飞龙机电、乐锅锅炉、东工机电、富丽包装异地搬迁扩能技改、东汽破产衍生项目等。</w:t>
      </w:r>
    </w:p>
    <w:p>
      <w:pPr>
        <w:spacing w:line="350" w:lineRule="auto" w:before="36"/>
        <w:ind w:left="219" w:right="211" w:firstLine="480"/>
        <w:jc w:val="left"/>
        <w:rPr>
          <w:sz w:val="24"/>
        </w:rPr>
      </w:pPr>
      <w:r>
        <w:rPr>
          <w:spacing w:val="-8"/>
          <w:sz w:val="24"/>
        </w:rPr>
        <w:t>新能源新材料：航空国防民用 </w:t>
      </w:r>
      <w:r>
        <w:rPr>
          <w:sz w:val="24"/>
        </w:rPr>
        <w:t>T800</w:t>
      </w:r>
      <w:r>
        <w:rPr>
          <w:spacing w:val="-13"/>
          <w:sz w:val="24"/>
        </w:rPr>
        <w:t> 级别碳纤维、华发集团年产 </w:t>
      </w:r>
      <w:r>
        <w:rPr>
          <w:sz w:val="24"/>
        </w:rPr>
        <w:t>15</w:t>
      </w:r>
      <w:r>
        <w:rPr>
          <w:spacing w:val="-10"/>
          <w:sz w:val="24"/>
        </w:rPr>
        <w:t> 万套电动车</w:t>
      </w:r>
      <w:r>
        <w:rPr>
          <w:spacing w:val="-15"/>
          <w:sz w:val="24"/>
        </w:rPr>
        <w:t>电机驱动系统、年产 </w:t>
      </w:r>
      <w:r>
        <w:rPr>
          <w:sz w:val="24"/>
        </w:rPr>
        <w:t>5000</w:t>
      </w:r>
      <w:r>
        <w:rPr>
          <w:spacing w:val="-14"/>
          <w:sz w:val="24"/>
        </w:rPr>
        <w:t> 台电动车、银邦硅业 </w:t>
      </w:r>
      <w:r>
        <w:rPr>
          <w:sz w:val="24"/>
        </w:rPr>
        <w:t>20000</w:t>
      </w:r>
      <w:r>
        <w:rPr>
          <w:spacing w:val="-30"/>
          <w:sz w:val="24"/>
        </w:rPr>
        <w:t> 吨</w:t>
      </w:r>
      <w:r>
        <w:rPr>
          <w:sz w:val="24"/>
        </w:rPr>
        <w:t>/年四氯化硅制备高纯烷氧</w:t>
      </w:r>
    </w:p>
    <w:p>
      <w:pPr>
        <w:spacing w:before="34"/>
        <w:ind w:left="219" w:right="0" w:firstLine="0"/>
        <w:jc w:val="left"/>
        <w:rPr>
          <w:sz w:val="24"/>
        </w:rPr>
      </w:pPr>
      <w:r>
        <w:rPr>
          <w:sz w:val="24"/>
        </w:rPr>
        <w:t>基硅烷、蓝邦新能源科技年产 10 万吨生物柴油等项目。</w:t>
      </w:r>
    </w:p>
    <w:p>
      <w:pPr>
        <w:spacing w:before="146"/>
        <w:ind w:left="699" w:right="0" w:firstLine="0"/>
        <w:jc w:val="left"/>
        <w:rPr>
          <w:sz w:val="24"/>
        </w:rPr>
      </w:pPr>
      <w:r>
        <w:rPr>
          <w:sz w:val="24"/>
        </w:rPr>
        <w:t>能源项目：四川吉地煤业龙坝煤矿 60 万吨/年，庙儿山煤业、福光煤业扩能项</w:t>
      </w:r>
    </w:p>
    <w:p>
      <w:pPr>
        <w:spacing w:before="145"/>
        <w:ind w:left="219" w:right="0" w:firstLine="0"/>
        <w:jc w:val="left"/>
        <w:rPr>
          <w:sz w:val="24"/>
        </w:rPr>
      </w:pPr>
      <w:r>
        <w:rPr>
          <w:sz w:val="24"/>
        </w:rPr>
        <w:t>目、塘叶 220 千伏输变电工程、大兴 110 千伏输变电工程等项目。</w:t>
      </w:r>
    </w:p>
    <w:p>
      <w:pPr>
        <w:spacing w:after="0"/>
        <w:jc w:val="left"/>
        <w:rPr>
          <w:sz w:val="24"/>
        </w:rPr>
        <w:sectPr>
          <w:pgSz w:w="11910" w:h="16840"/>
          <w:pgMar w:header="0" w:footer="998" w:top="1560" w:bottom="1180" w:left="1420" w:right="1420"/>
        </w:sectPr>
      </w:pPr>
    </w:p>
    <w:p>
      <w:pPr>
        <w:pStyle w:val="BodyText"/>
        <w:tabs>
          <w:tab w:pos="1279" w:val="left" w:leader="none"/>
        </w:tabs>
        <w:spacing w:line="405" w:lineRule="exact"/>
        <w:ind w:left="0" w:right="155"/>
        <w:jc w:val="center"/>
        <w:rPr>
          <w:rFonts w:ascii="黑体" w:eastAsia="黑体" w:hint="eastAsia"/>
        </w:rPr>
      </w:pPr>
      <w:r>
        <w:rPr>
          <w:rFonts w:ascii="黑体" w:eastAsia="黑体" w:hint="eastAsia"/>
        </w:rPr>
        <w:t>第五节</w:t>
        <w:tab/>
      </w:r>
      <w:r>
        <w:rPr>
          <w:rFonts w:ascii="黑体" w:eastAsia="黑体" w:hint="eastAsia"/>
          <w:spacing w:val="-1"/>
        </w:rPr>
        <w:t>支持企业加快发展</w:t>
      </w:r>
    </w:p>
    <w:p>
      <w:pPr>
        <w:pStyle w:val="BodyText"/>
        <w:spacing w:line="343" w:lineRule="auto" w:before="181"/>
        <w:ind w:right="139" w:firstLine="639"/>
      </w:pPr>
      <w:r>
        <w:rPr>
          <w:spacing w:val="-8"/>
        </w:rPr>
        <w:t>实施大企业大集团发展战略。做强做大企业规模，重点培育</w:t>
      </w:r>
      <w:r>
        <w:rPr>
          <w:spacing w:val="-26"/>
        </w:rPr>
        <w:t>龙头企业，推动重点优势企业向大企业大集团跨越，实施</w:t>
      </w:r>
      <w:r>
        <w:rPr/>
        <w:t>“12120” </w:t>
      </w:r>
      <w:r>
        <w:rPr>
          <w:spacing w:val="-6"/>
        </w:rPr>
        <w:t>大企业大集团发展战略。到 </w:t>
      </w:r>
      <w:r>
        <w:rPr/>
        <w:t>2020</w:t>
      </w:r>
      <w:r>
        <w:rPr>
          <w:spacing w:val="-15"/>
        </w:rPr>
        <w:t> 年培育主营业务收入 </w:t>
      </w:r>
      <w:r>
        <w:rPr/>
        <w:t>200</w:t>
      </w:r>
      <w:r>
        <w:rPr>
          <w:spacing w:val="-25"/>
        </w:rPr>
        <w:t> 亿元</w:t>
      </w:r>
    </w:p>
    <w:p>
      <w:pPr>
        <w:pStyle w:val="BodyText"/>
        <w:spacing w:before="43"/>
        <w:ind w:left="0" w:right="157"/>
        <w:jc w:val="center"/>
      </w:pPr>
      <w:r>
        <w:rPr>
          <w:spacing w:val="-16"/>
        </w:rPr>
        <w:t>以上企业 </w:t>
      </w:r>
      <w:r>
        <w:rPr/>
        <w:t>1</w:t>
      </w:r>
      <w:r>
        <w:rPr>
          <w:spacing w:val="-39"/>
        </w:rPr>
        <w:t> 家</w:t>
      </w:r>
      <w:r>
        <w:rPr/>
        <w:t>，50</w:t>
      </w:r>
      <w:r>
        <w:rPr>
          <w:spacing w:val="-21"/>
        </w:rPr>
        <w:t> 亿元以上企业 </w:t>
      </w:r>
      <w:r>
        <w:rPr/>
        <w:t>2</w:t>
      </w:r>
      <w:r>
        <w:rPr>
          <w:spacing w:val="-39"/>
        </w:rPr>
        <w:t> 家</w:t>
      </w:r>
      <w:r>
        <w:rPr/>
        <w:t>，20</w:t>
      </w:r>
      <w:r>
        <w:rPr>
          <w:spacing w:val="-21"/>
        </w:rPr>
        <w:t> 亿元以上企业 </w:t>
      </w:r>
      <w:r>
        <w:rPr/>
        <w:t>1</w:t>
      </w:r>
      <w:r>
        <w:rPr>
          <w:spacing w:val="-26"/>
        </w:rPr>
        <w:t> 家，</w:t>
      </w:r>
    </w:p>
    <w:p>
      <w:pPr>
        <w:pStyle w:val="BodyText"/>
        <w:spacing w:before="181"/>
      </w:pPr>
      <w:r>
        <w:rPr/>
        <w:t>新增规模企业 20 家以上。</w:t>
      </w:r>
    </w:p>
    <w:p>
      <w:pPr>
        <w:pStyle w:val="BodyText"/>
        <w:spacing w:line="343" w:lineRule="auto" w:before="181"/>
        <w:ind w:right="265" w:firstLine="639"/>
        <w:jc w:val="both"/>
      </w:pPr>
      <w:r>
        <w:rPr>
          <w:spacing w:val="-9"/>
        </w:rPr>
        <w:t>发展壮大中小企业。引导中小企业走“专、精、特、新”的</w:t>
      </w:r>
      <w:r>
        <w:rPr>
          <w:spacing w:val="-11"/>
        </w:rPr>
        <w:t>道路，鼓励和支持中小企业在产业链上投资，围绕支柱产业、重</w:t>
      </w:r>
      <w:r>
        <w:rPr>
          <w:spacing w:val="-9"/>
        </w:rPr>
        <w:t>点骨干企业发展配套产业，促进中小企业向规模化、集约化、集</w:t>
      </w:r>
      <w:r>
        <w:rPr>
          <w:spacing w:val="-13"/>
        </w:rPr>
        <w:t>群化方向发展。强化政策激励，全面落实中小微型工业企业发展</w:t>
      </w:r>
      <w:r>
        <w:rPr>
          <w:spacing w:val="-1"/>
        </w:rPr>
        <w:t>扶持资金，激发争创业、创精品、促发展热情。</w:t>
      </w:r>
    </w:p>
    <w:p>
      <w:pPr>
        <w:spacing w:before="90"/>
        <w:ind w:left="1159" w:right="1314" w:firstLine="0"/>
        <w:jc w:val="center"/>
        <w:rPr>
          <w:sz w:val="28"/>
        </w:rPr>
      </w:pPr>
      <w:r>
        <w:rPr/>
        <w:pict>
          <v:shape style="position:absolute;margin-left:76.560005pt;margin-top:27.091862pt;width:441pt;height:100.35pt;mso-position-horizontal-relative:page;mso-position-vertical-relative:paragraph;z-index:5704;mso-wrap-distance-left:0;mso-wrap-distance-right:0" type="#_x0000_t202" filled="false" stroked="true" strokeweight=".47998pt" strokecolor="#000000">
            <v:textbox inset="0,0,0,0">
              <w:txbxContent>
                <w:p>
                  <w:pPr>
                    <w:spacing w:before="88"/>
                    <w:ind w:left="103" w:right="0" w:firstLine="0"/>
                    <w:jc w:val="left"/>
                    <w:rPr>
                      <w:sz w:val="24"/>
                    </w:rPr>
                  </w:pPr>
                  <w:r>
                    <w:rPr>
                      <w:sz w:val="24"/>
                    </w:rPr>
                    <w:t>主营业务收 200 亿元以上企业：福华集团</w:t>
                  </w:r>
                </w:p>
                <w:p>
                  <w:pPr>
                    <w:spacing w:before="145"/>
                    <w:ind w:left="103" w:right="0" w:firstLine="0"/>
                    <w:jc w:val="left"/>
                    <w:rPr>
                      <w:sz w:val="24"/>
                    </w:rPr>
                  </w:pPr>
                  <w:r>
                    <w:rPr>
                      <w:sz w:val="24"/>
                    </w:rPr>
                    <w:t>主营业务收 50 亿元以上企业：和邦集团、永祥股份</w:t>
                  </w:r>
                </w:p>
                <w:p>
                  <w:pPr>
                    <w:spacing w:line="350" w:lineRule="auto" w:before="146"/>
                    <w:ind w:left="103" w:right="4340" w:firstLine="0"/>
                    <w:jc w:val="left"/>
                    <w:rPr>
                      <w:sz w:val="24"/>
                    </w:rPr>
                  </w:pPr>
                  <w:r>
                    <w:rPr>
                      <w:spacing w:val="-10"/>
                      <w:sz w:val="24"/>
                    </w:rPr>
                    <w:t>主营业务收 </w:t>
                  </w:r>
                  <w:r>
                    <w:rPr>
                      <w:sz w:val="24"/>
                    </w:rPr>
                    <w:t>20</w:t>
                  </w:r>
                  <w:r>
                    <w:rPr>
                      <w:spacing w:val="-8"/>
                      <w:sz w:val="24"/>
                    </w:rPr>
                    <w:t> 亿元以上企业：盛和资源新增规模以上企业：20</w:t>
                  </w:r>
                  <w:r>
                    <w:rPr>
                      <w:spacing w:val="-15"/>
                      <w:sz w:val="24"/>
                    </w:rPr>
                    <w:t> 家以上</w:t>
                  </w:r>
                </w:p>
              </w:txbxContent>
            </v:textbox>
            <v:stroke dashstyle="solid"/>
            <w10:wrap type="topAndBottom"/>
          </v:shape>
        </w:pict>
      </w:r>
      <w:r>
        <w:rPr>
          <w:spacing w:val="-47"/>
          <w:w w:val="99"/>
          <w:sz w:val="28"/>
        </w:rPr>
        <w:t>专栏：</w:t>
      </w:r>
      <w:r>
        <w:rPr>
          <w:w w:val="99"/>
          <w:sz w:val="28"/>
        </w:rPr>
        <w:t>“12120”大企业大集团发展战略</w:t>
      </w:r>
    </w:p>
    <w:p>
      <w:pPr>
        <w:pStyle w:val="BodyText"/>
        <w:ind w:left="0"/>
        <w:rPr>
          <w:sz w:val="20"/>
        </w:rPr>
      </w:pPr>
    </w:p>
    <w:p>
      <w:pPr>
        <w:pStyle w:val="BodyText"/>
        <w:ind w:left="0"/>
        <w:rPr>
          <w:sz w:val="20"/>
        </w:rPr>
      </w:pPr>
    </w:p>
    <w:p>
      <w:pPr>
        <w:pStyle w:val="BodyText"/>
        <w:spacing w:before="8"/>
        <w:ind w:left="0"/>
        <w:rPr>
          <w:sz w:val="26"/>
        </w:rPr>
      </w:pPr>
    </w:p>
    <w:p>
      <w:pPr>
        <w:pStyle w:val="Heading2"/>
        <w:tabs>
          <w:tab w:pos="2193" w:val="left" w:leader="none"/>
          <w:tab w:pos="5433" w:val="left" w:leader="none"/>
        </w:tabs>
        <w:spacing w:line="460" w:lineRule="exact"/>
        <w:ind w:left="753"/>
        <w:jc w:val="left"/>
      </w:pPr>
      <w:r>
        <w:rPr/>
        <w:t>第八章</w:t>
        <w:tab/>
        <w:t>加快发展农村经济</w:t>
        <w:tab/>
        <w:t>建设幸福美丽新村</w:t>
      </w:r>
    </w:p>
    <w:p>
      <w:pPr>
        <w:pStyle w:val="BodyText"/>
        <w:spacing w:line="343" w:lineRule="auto" w:before="175"/>
        <w:ind w:right="149" w:firstLine="639"/>
      </w:pPr>
      <w:r>
        <w:rPr/>
        <w:t>坚持统筹城乡发展，推进农业现代化和社会主义新农村建设，加大强农惠农富农力度，深入推进农村各项改革，破解“三农”难题，推动脱贫开发工作，提高社会主义新农村建设水平， 补齐农村全面小康的短板。</w:t>
      </w:r>
    </w:p>
    <w:p>
      <w:pPr>
        <w:spacing w:after="0" w:line="343" w:lineRule="auto"/>
        <w:sectPr>
          <w:pgSz w:w="11910" w:h="16840"/>
          <w:pgMar w:header="0" w:footer="998" w:top="1560" w:bottom="1180" w:left="1420" w:right="1260"/>
        </w:sectPr>
      </w:pPr>
    </w:p>
    <w:p>
      <w:pPr>
        <w:pStyle w:val="BodyText"/>
        <w:tabs>
          <w:tab w:pos="3892" w:val="left" w:leader="none"/>
        </w:tabs>
        <w:spacing w:line="405" w:lineRule="exact"/>
        <w:ind w:left="2613"/>
        <w:rPr>
          <w:rFonts w:ascii="黑体" w:eastAsia="黑体" w:hint="eastAsia"/>
        </w:rPr>
      </w:pPr>
      <w:r>
        <w:rPr>
          <w:rFonts w:ascii="黑体" w:eastAsia="黑体" w:hint="eastAsia"/>
        </w:rPr>
        <w:t>第一节</w:t>
        <w:tab/>
      </w:r>
      <w:r>
        <w:rPr>
          <w:rFonts w:ascii="黑体" w:eastAsia="黑体" w:hint="eastAsia"/>
          <w:spacing w:val="-1"/>
        </w:rPr>
        <w:t>大力发展特色农业</w:t>
      </w:r>
    </w:p>
    <w:p>
      <w:pPr>
        <w:pStyle w:val="BodyText"/>
        <w:spacing w:line="343" w:lineRule="auto" w:before="181"/>
        <w:ind w:right="139" w:firstLine="639"/>
      </w:pPr>
      <w:r>
        <w:rPr>
          <w:spacing w:val="-19"/>
        </w:rPr>
        <w:t>坚持突出特色抓品牌，壮大支柱增效益，整合农业发展项目， </w:t>
      </w:r>
      <w:r>
        <w:rPr>
          <w:spacing w:val="-16"/>
        </w:rPr>
        <w:t>调整优化布局，稳定粮食产量，着力抓好畜牧、蔬菜、花木、茶</w:t>
      </w:r>
      <w:r>
        <w:rPr>
          <w:spacing w:val="-1"/>
        </w:rPr>
        <w:t>叶四大特色产业，构建现代农业产业体系。</w:t>
      </w:r>
    </w:p>
    <w:p>
      <w:pPr>
        <w:pStyle w:val="BodyText"/>
        <w:spacing w:line="343" w:lineRule="auto" w:before="43"/>
        <w:ind w:right="230" w:firstLine="639"/>
        <w:jc w:val="right"/>
      </w:pPr>
      <w:r>
        <w:rPr>
          <w:spacing w:val="-12"/>
        </w:rPr>
        <w:t>粮食生产。实行严格的耕地保护制度，保持和稳定粮食生产</w:t>
      </w:r>
      <w:r>
        <w:rPr>
          <w:spacing w:val="-13"/>
        </w:rPr>
        <w:t>面积，全区基本农田保护面积不低于 </w:t>
      </w:r>
      <w:r>
        <w:rPr/>
        <w:t>13922</w:t>
      </w:r>
      <w:r>
        <w:rPr>
          <w:spacing w:val="-17"/>
        </w:rPr>
        <w:t> 公顷。培育新型种粮</w:t>
      </w:r>
      <w:r>
        <w:rPr>
          <w:spacing w:val="-13"/>
        </w:rPr>
        <w:t>经营主体，提升规模效益，大力推广粮食生产集成技术和新型粮</w:t>
      </w:r>
      <w:r>
        <w:rPr>
          <w:spacing w:val="-5"/>
        </w:rPr>
        <w:t>食复合种植模式。到 </w:t>
      </w:r>
      <w:r>
        <w:rPr/>
        <w:t>2020</w:t>
      </w:r>
      <w:r>
        <w:rPr>
          <w:spacing w:val="-10"/>
        </w:rPr>
        <w:t> 年，主要农作物良种覆盖率达到 </w:t>
      </w:r>
      <w:r>
        <w:rPr/>
        <w:t>95%</w:t>
      </w:r>
      <w:r>
        <w:rPr>
          <w:spacing w:val="-7"/>
        </w:rPr>
        <w:t>以上，优质农产品比重提高到 </w:t>
      </w:r>
      <w:r>
        <w:rPr/>
        <w:t>80%，</w:t>
      </w:r>
      <w:r>
        <w:rPr>
          <w:spacing w:val="-11"/>
        </w:rPr>
        <w:t>粮食产量稳定在 </w:t>
      </w:r>
      <w:r>
        <w:rPr/>
        <w:t>8.7</w:t>
      </w:r>
      <w:r>
        <w:rPr>
          <w:spacing w:val="-23"/>
        </w:rPr>
        <w:t> 万吨。</w:t>
      </w:r>
      <w:r>
        <w:rPr>
          <w:spacing w:val="6"/>
        </w:rPr>
        <w:t>现代畜牧业。在远离城镇和水源保护区适度发展现代畜牧</w:t>
      </w:r>
    </w:p>
    <w:p>
      <w:pPr>
        <w:pStyle w:val="BodyText"/>
        <w:spacing w:line="343" w:lineRule="auto" w:before="43"/>
        <w:ind w:right="139"/>
      </w:pPr>
      <w:r>
        <w:rPr>
          <w:spacing w:val="-3"/>
        </w:rPr>
        <w:t>业，以适度规模养殖为主，生猪养殖总量稳定在 </w:t>
      </w:r>
      <w:r>
        <w:rPr/>
        <w:t>36.6</w:t>
      </w:r>
      <w:r>
        <w:rPr>
          <w:spacing w:val="-14"/>
        </w:rPr>
        <w:t> 万头。推</w:t>
      </w:r>
      <w:r>
        <w:rPr>
          <w:spacing w:val="-12"/>
        </w:rPr>
        <w:t>进“畜-沼-农”种养循环生态配套发展模式。培育新型农业经营</w:t>
      </w:r>
      <w:r>
        <w:rPr>
          <w:spacing w:val="-20"/>
        </w:rPr>
        <w:t>主体，打造禽畜繁殖、饲料生产、饲养、兽药供应、肉制品加工、</w:t>
      </w:r>
      <w:r>
        <w:rPr>
          <w:spacing w:val="-2"/>
        </w:rPr>
        <w:t>成品运输等环节的现代畜牧经济产业链，提高产业附加值。</w:t>
      </w:r>
    </w:p>
    <w:p>
      <w:pPr>
        <w:pStyle w:val="BodyText"/>
        <w:spacing w:line="343" w:lineRule="auto" w:before="43"/>
        <w:ind w:right="264" w:firstLine="639"/>
        <w:jc w:val="both"/>
      </w:pPr>
      <w:r>
        <w:rPr>
          <w:spacing w:val="-12"/>
        </w:rPr>
        <w:t>蔬菜产业。做大做强蔬菜龙头企业，加快蔬菜生产标准化和</w:t>
      </w:r>
      <w:r>
        <w:rPr>
          <w:spacing w:val="-11"/>
        </w:rPr>
        <w:t>市场体系建设。引导蔬菜鲜销向蔬菜加工、休闲观光、趣味采摘等方向发展。以杨柳、桥沟、冠英、西坝岷江一线，石麟、蔡金</w:t>
      </w:r>
      <w:r>
        <w:rPr>
          <w:spacing w:val="-12"/>
        </w:rPr>
        <w:t>一片和金山、新云一片为主的“一线两片”发展生姜和茄果瓜类</w:t>
      </w:r>
      <w:r>
        <w:rPr>
          <w:spacing w:val="-25"/>
        </w:rPr>
        <w:t>蔬菜。到 </w:t>
      </w:r>
      <w:r>
        <w:rPr/>
        <w:t>2020</w:t>
      </w:r>
      <w:r>
        <w:rPr>
          <w:spacing w:val="-15"/>
        </w:rPr>
        <w:t> 年，发展生态农业品种 </w:t>
      </w:r>
      <w:r>
        <w:rPr/>
        <w:t>1</w:t>
      </w:r>
      <w:r>
        <w:rPr>
          <w:spacing w:val="-9"/>
        </w:rPr>
        <w:t> 个以上，全区蔬菜播种</w:t>
      </w:r>
    </w:p>
    <w:p>
      <w:pPr>
        <w:pStyle w:val="BodyText"/>
        <w:spacing w:before="43"/>
      </w:pPr>
      <w:r>
        <w:rPr/>
        <w:t>面积达到 15 万亩，蔬菜总产值达到 40 亿元以上。</w:t>
      </w:r>
    </w:p>
    <w:p>
      <w:pPr>
        <w:pStyle w:val="BodyText"/>
        <w:spacing w:line="343" w:lineRule="auto" w:before="181"/>
        <w:ind w:right="150" w:firstLine="639"/>
        <w:jc w:val="both"/>
      </w:pPr>
      <w:r>
        <w:rPr>
          <w:spacing w:val="-11"/>
        </w:rPr>
        <w:t>花木产业。提升国家级花木科技园建设水平，打造百亩湖生</w:t>
      </w:r>
      <w:r>
        <w:rPr>
          <w:spacing w:val="-14"/>
        </w:rPr>
        <w:t>态度假村、大地田园艺术景观、花木文化体验区等旅游景点。沿</w:t>
      </w:r>
      <w:r>
        <w:rPr>
          <w:spacing w:val="-18"/>
        </w:rPr>
        <w:t>牛金线、牛新线、蔡安线、车福线、金辉线建设 </w:t>
      </w:r>
      <w:r>
        <w:rPr/>
        <w:t>5</w:t>
      </w:r>
      <w:r>
        <w:rPr>
          <w:spacing w:val="-14"/>
        </w:rPr>
        <w:t> 条花卉长廊，</w:t>
      </w:r>
    </w:p>
    <w:p>
      <w:pPr>
        <w:spacing w:after="0" w:line="343" w:lineRule="auto"/>
        <w:jc w:val="both"/>
        <w:sectPr>
          <w:pgSz w:w="11910" w:h="16840"/>
          <w:pgMar w:header="0" w:footer="998" w:top="1560" w:bottom="1180" w:left="1420" w:right="1260"/>
        </w:sectPr>
      </w:pPr>
    </w:p>
    <w:p>
      <w:pPr>
        <w:pStyle w:val="BodyText"/>
        <w:spacing w:line="405" w:lineRule="exact"/>
      </w:pPr>
      <w:r>
        <w:rPr/>
        <w:t>大力发展绿化苗木、兰草、川派盆景、家庭盆栽、药用花卉、食</w:t>
      </w:r>
    </w:p>
    <w:p>
      <w:pPr>
        <w:pStyle w:val="BodyText"/>
        <w:spacing w:before="181"/>
      </w:pPr>
      <w:r>
        <w:rPr/>
        <w:t>用花卉等优势品种。</w:t>
      </w:r>
    </w:p>
    <w:p>
      <w:pPr>
        <w:pStyle w:val="BodyText"/>
        <w:spacing w:line="343" w:lineRule="auto" w:before="181"/>
        <w:ind w:right="265" w:firstLine="639"/>
        <w:jc w:val="both"/>
      </w:pPr>
      <w:r>
        <w:rPr>
          <w:spacing w:val="-12"/>
        </w:rPr>
        <w:t>茶叶产业。依托“峨眉山茶”区域品牌，推进茶叶产业规模化、标准化、产业化、品牌化和高端化发展。有效延伸茶叶产业</w:t>
      </w:r>
      <w:r>
        <w:rPr>
          <w:spacing w:val="-16"/>
        </w:rPr>
        <w:t>链，提高茶叶附加值和影响力。力争到 </w:t>
      </w:r>
      <w:r>
        <w:rPr/>
        <w:t>2020</w:t>
      </w:r>
      <w:r>
        <w:rPr>
          <w:spacing w:val="-10"/>
        </w:rPr>
        <w:t> 年，全区宜茶的金</w:t>
      </w:r>
    </w:p>
    <w:p>
      <w:pPr>
        <w:pStyle w:val="BodyText"/>
        <w:spacing w:before="43"/>
      </w:pPr>
      <w:r>
        <w:rPr/>
        <w:t>粟、辉山、镇建成 10 万亩标准化“峨眉山茶”原料基地。</w:t>
      </w:r>
    </w:p>
    <w:p>
      <w:pPr>
        <w:pStyle w:val="BodyText"/>
        <w:ind w:left="0"/>
      </w:pPr>
    </w:p>
    <w:p>
      <w:pPr>
        <w:pStyle w:val="BodyText"/>
        <w:spacing w:before="8"/>
        <w:ind w:left="0"/>
        <w:rPr>
          <w:sz w:val="27"/>
        </w:rPr>
      </w:pPr>
    </w:p>
    <w:p>
      <w:pPr>
        <w:pStyle w:val="BodyText"/>
        <w:tabs>
          <w:tab w:pos="3972" w:val="left" w:leader="none"/>
        </w:tabs>
        <w:ind w:left="2532"/>
        <w:rPr>
          <w:rFonts w:ascii="黑体" w:eastAsia="黑体" w:hint="eastAsia"/>
        </w:rPr>
      </w:pPr>
      <w:r>
        <w:rPr>
          <w:rFonts w:ascii="黑体" w:eastAsia="黑体" w:hint="eastAsia"/>
        </w:rPr>
        <w:t>第二节</w:t>
        <w:tab/>
      </w:r>
      <w:r>
        <w:rPr>
          <w:rFonts w:ascii="黑体" w:eastAsia="黑体" w:hint="eastAsia"/>
          <w:spacing w:val="-1"/>
        </w:rPr>
        <w:t>完善农村基础设施</w:t>
      </w:r>
    </w:p>
    <w:p>
      <w:pPr>
        <w:pStyle w:val="BodyText"/>
        <w:spacing w:line="343" w:lineRule="auto" w:before="180"/>
        <w:ind w:right="134" w:firstLine="645"/>
      </w:pPr>
      <w:r>
        <w:rPr/>
        <w:t>以水利建设为重点，加强基本农田建设，不断完善防洪、排涝、灌溉、水土保持等工程体系，确保防洪、粮食和生态安全。</w:t>
      </w:r>
    </w:p>
    <w:p>
      <w:pPr>
        <w:pStyle w:val="BodyText"/>
        <w:spacing w:line="343" w:lineRule="auto" w:before="43"/>
        <w:ind w:right="92" w:firstLine="645"/>
      </w:pPr>
      <w:r>
        <w:rPr>
          <w:spacing w:val="-11"/>
        </w:rPr>
        <w:t>水利基础设施。有针对性地对水厂进行提质增效，实现城乡</w:t>
      </w:r>
      <w:r>
        <w:rPr>
          <w:spacing w:val="-19"/>
        </w:rPr>
        <w:t>供水一体化，管网全覆盖。完善山洪灾害防治体系，抓好花溪沟、</w:t>
      </w:r>
      <w:r>
        <w:rPr>
          <w:spacing w:val="-21"/>
        </w:rPr>
        <w:t>婆婆溪等内涝和山洪多发溪沟的治理。完善岷江、涌斯江防洪工</w:t>
      </w:r>
      <w:r>
        <w:rPr>
          <w:spacing w:val="-15"/>
        </w:rPr>
        <w:t>程体系，实现城区堤防全封闭。全面提升防汛减灾能力，城市防</w:t>
      </w:r>
      <w:r>
        <w:rPr>
          <w:spacing w:val="-9"/>
        </w:rPr>
        <w:t>洪达标率 </w:t>
      </w:r>
      <w:r>
        <w:rPr/>
        <w:t>100%。全力推进小型农田水利、泊滩堰灌区车子至冠</w:t>
      </w:r>
      <w:r>
        <w:rPr>
          <w:spacing w:val="-8"/>
        </w:rPr>
        <w:t>英流域整治等项目建设，加大“五小水利”工程建设力度。加快</w:t>
      </w:r>
      <w:r>
        <w:rPr>
          <w:spacing w:val="-14"/>
        </w:rPr>
        <w:t>水利信息化建设，实现传统水利向生态水利、民生水利、多元水</w:t>
      </w:r>
      <w:r>
        <w:rPr>
          <w:spacing w:val="-1"/>
        </w:rPr>
        <w:t>利、永续水利的转变。</w:t>
      </w:r>
    </w:p>
    <w:p>
      <w:pPr>
        <w:pStyle w:val="BodyText"/>
        <w:spacing w:line="343" w:lineRule="auto" w:before="43"/>
        <w:ind w:right="149" w:firstLine="645"/>
        <w:jc w:val="both"/>
      </w:pPr>
      <w:r>
        <w:rPr>
          <w:spacing w:val="-10"/>
        </w:rPr>
        <w:t>农田基础设施。实施田型调整、地力培肥、机械作业道、排</w:t>
      </w:r>
      <w:r>
        <w:rPr>
          <w:spacing w:val="-17"/>
        </w:rPr>
        <w:t>灌沟渠建设，实现“田网、路网、渠网”三网配套。建设 </w:t>
      </w:r>
      <w:r>
        <w:rPr/>
        <w:t>3.4</w:t>
      </w:r>
      <w:r>
        <w:rPr>
          <w:spacing w:val="-42"/>
        </w:rPr>
        <w:t> 万</w:t>
      </w:r>
      <w:r>
        <w:rPr>
          <w:spacing w:val="-12"/>
        </w:rPr>
        <w:t>亩“田砌化、冲有渠、能排灌、路成网、人易行、机能通、土增</w:t>
      </w:r>
      <w:r>
        <w:rPr>
          <w:spacing w:val="-2"/>
        </w:rPr>
        <w:t>厚、埂成形、沟相连、土壤肥、无污染、产量高”高标准农田。</w:t>
      </w:r>
    </w:p>
    <w:p>
      <w:pPr>
        <w:spacing w:after="0" w:line="343" w:lineRule="auto"/>
        <w:jc w:val="both"/>
        <w:sectPr>
          <w:pgSz w:w="11910" w:h="16840"/>
          <w:pgMar w:header="0" w:footer="998" w:top="1560" w:bottom="1180" w:left="1420" w:right="1260"/>
        </w:sectPr>
      </w:pPr>
    </w:p>
    <w:p>
      <w:pPr>
        <w:pStyle w:val="BodyText"/>
        <w:tabs>
          <w:tab w:pos="3892" w:val="left" w:leader="none"/>
        </w:tabs>
        <w:spacing w:line="405" w:lineRule="exact"/>
        <w:ind w:left="2613"/>
        <w:rPr>
          <w:rFonts w:ascii="黑体" w:eastAsia="黑体" w:hint="eastAsia"/>
        </w:rPr>
      </w:pPr>
      <w:r>
        <w:rPr>
          <w:rFonts w:ascii="黑体" w:eastAsia="黑体" w:hint="eastAsia"/>
        </w:rPr>
        <w:t>第三节</w:t>
        <w:tab/>
      </w:r>
      <w:r>
        <w:rPr>
          <w:rFonts w:ascii="黑体" w:eastAsia="黑体" w:hint="eastAsia"/>
          <w:spacing w:val="-1"/>
        </w:rPr>
        <w:t>建设幸福美丽新村</w:t>
      </w:r>
    </w:p>
    <w:p>
      <w:pPr>
        <w:pStyle w:val="BodyText"/>
        <w:spacing w:line="343" w:lineRule="auto" w:before="181"/>
        <w:ind w:right="263" w:firstLine="645"/>
        <w:jc w:val="both"/>
      </w:pPr>
      <w:r>
        <w:rPr>
          <w:spacing w:val="-10"/>
        </w:rPr>
        <w:t>突出抓好扶贫解困、产业提升、旧村改造、环境整治、文化</w:t>
      </w:r>
      <w:r>
        <w:rPr>
          <w:spacing w:val="-11"/>
        </w:rPr>
        <w:t>传承五大行动，建设“业兴、家富、人和、村美”的幸福美丽新</w:t>
      </w:r>
      <w:r>
        <w:rPr>
          <w:spacing w:val="-31"/>
        </w:rPr>
        <w:t>村。“十三五”期间建成 </w:t>
      </w:r>
      <w:r>
        <w:rPr/>
        <w:t>90</w:t>
      </w:r>
      <w:r>
        <w:rPr>
          <w:spacing w:val="-17"/>
        </w:rPr>
        <w:t> 个幸福美丽新村。每村培育 </w:t>
      </w:r>
      <w:r>
        <w:rPr/>
        <w:t>1</w:t>
      </w:r>
      <w:r>
        <w:rPr>
          <w:spacing w:val="-56"/>
        </w:rPr>
        <w:t> 至 </w:t>
      </w:r>
      <w:r>
        <w:rPr/>
        <w:t>2</w:t>
      </w:r>
      <w:r>
        <w:rPr>
          <w:spacing w:val="-42"/>
        </w:rPr>
        <w:t> 个</w:t>
      </w:r>
      <w:r>
        <w:rPr>
          <w:spacing w:val="-12"/>
        </w:rPr>
        <w:t>优势特色产业，农民从主导产业中获得的收入占人均纯收入比例</w:t>
      </w:r>
      <w:r>
        <w:rPr>
          <w:spacing w:val="-16"/>
        </w:rPr>
        <w:t>大幅提高。农村人均住房面积 </w:t>
      </w:r>
      <w:r>
        <w:rPr/>
        <w:t>40</w:t>
      </w:r>
      <w:r>
        <w:rPr>
          <w:spacing w:val="-9"/>
        </w:rPr>
        <w:t> 平方米以上，改厨、改厕、改</w:t>
      </w:r>
      <w:r>
        <w:rPr>
          <w:spacing w:val="-19"/>
        </w:rPr>
        <w:t>圈率达 </w:t>
      </w:r>
      <w:r>
        <w:rPr/>
        <w:t>100%</w:t>
      </w:r>
      <w:r>
        <w:rPr>
          <w:spacing w:val="-4"/>
        </w:rPr>
        <w:t>。村级公共服务活动中心达到 </w:t>
      </w:r>
      <w:r>
        <w:rPr/>
        <w:t>300</w:t>
      </w:r>
      <w:r>
        <w:rPr>
          <w:spacing w:val="-7"/>
        </w:rPr>
        <w:t> 平方米，基本公</w:t>
      </w:r>
      <w:r>
        <w:rPr>
          <w:spacing w:val="-15"/>
        </w:rPr>
        <w:t>共服务覆盖面达 </w:t>
      </w:r>
      <w:r>
        <w:rPr/>
        <w:t>100%</w:t>
      </w:r>
      <w:r>
        <w:rPr>
          <w:spacing w:val="-7"/>
        </w:rPr>
        <w:t>。农村院落整治面达 </w:t>
      </w:r>
      <w:r>
        <w:rPr/>
        <w:t>100%，生活垃圾收集</w:t>
      </w:r>
      <w:r>
        <w:rPr>
          <w:spacing w:val="-8"/>
        </w:rPr>
        <w:t>和无害化处理处置率达 </w:t>
      </w:r>
      <w:r>
        <w:rPr>
          <w:spacing w:val="-16"/>
        </w:rPr>
        <w:t>90%</w:t>
      </w:r>
      <w:r>
        <w:rPr>
          <w:spacing w:val="-12"/>
        </w:rPr>
        <w:t>，生活污水处理率达 </w:t>
      </w:r>
      <w:r>
        <w:rPr>
          <w:spacing w:val="-16"/>
        </w:rPr>
        <w:t>70％</w:t>
      </w:r>
      <w:r>
        <w:rPr>
          <w:spacing w:val="-4"/>
        </w:rPr>
        <w:t>，农业生产</w:t>
      </w:r>
      <w:r>
        <w:rPr>
          <w:spacing w:val="-13"/>
        </w:rPr>
        <w:t>废弃物综合利用率达 </w:t>
      </w:r>
      <w:r>
        <w:rPr/>
        <w:t>80％。</w:t>
      </w:r>
    </w:p>
    <w:p>
      <w:pPr>
        <w:pStyle w:val="BodyText"/>
        <w:ind w:left="0"/>
      </w:pPr>
    </w:p>
    <w:p>
      <w:pPr>
        <w:pStyle w:val="BodyText"/>
        <w:tabs>
          <w:tab w:pos="3892" w:val="left" w:leader="none"/>
        </w:tabs>
        <w:spacing w:before="224"/>
        <w:ind w:left="2613"/>
        <w:rPr>
          <w:rFonts w:ascii="黑体" w:eastAsia="黑体" w:hint="eastAsia"/>
        </w:rPr>
      </w:pPr>
      <w:r>
        <w:rPr>
          <w:rFonts w:ascii="黑体" w:eastAsia="黑体" w:hint="eastAsia"/>
        </w:rPr>
        <w:t>第四节</w:t>
        <w:tab/>
      </w:r>
      <w:r>
        <w:rPr>
          <w:rFonts w:ascii="黑体" w:eastAsia="黑体" w:hint="eastAsia"/>
          <w:spacing w:val="-1"/>
        </w:rPr>
        <w:t>拓宽农民增收渠道</w:t>
      </w:r>
    </w:p>
    <w:p>
      <w:pPr>
        <w:pStyle w:val="BodyText"/>
        <w:spacing w:line="343" w:lineRule="auto" w:before="180"/>
        <w:ind w:right="134" w:firstLine="645"/>
      </w:pPr>
      <w:r>
        <w:rPr/>
        <w:t>落实惠农政策。重点落实好粮食直补、农资补贴、良种补贴和农业保险等“三补一保”政策，稳步推进种粮大户补贴试点， 切实增强农业综合生产能力。</w:t>
      </w:r>
    </w:p>
    <w:p>
      <w:pPr>
        <w:pStyle w:val="BodyText"/>
        <w:spacing w:line="343" w:lineRule="auto" w:before="43"/>
        <w:ind w:right="88" w:firstLine="645"/>
      </w:pPr>
      <w:r>
        <w:rPr>
          <w:spacing w:val="-10"/>
        </w:rPr>
        <w:t>推动规模经营。积极筹建西坝农产品加工园，力促芽菜、豆</w:t>
      </w:r>
      <w:r>
        <w:rPr>
          <w:spacing w:val="-13"/>
        </w:rPr>
        <w:t>腐乳、泡菜等特色农产品入园集聚发展。支持土地承包经营权流</w:t>
      </w:r>
      <w:r>
        <w:rPr>
          <w:spacing w:val="-18"/>
        </w:rPr>
        <w:t>转，发展多种形式的适度规模经营。大力发展农民专业合作组织、</w:t>
      </w:r>
      <w:r>
        <w:rPr>
          <w:spacing w:val="-19"/>
        </w:rPr>
        <w:t>家庭农场等新型经营主体，提高农业经营组织化程度和社会化服务水平。“十三五”期间，新增土地流转面积 </w:t>
      </w:r>
      <w:r>
        <w:rPr/>
        <w:t>3</w:t>
      </w:r>
      <w:r>
        <w:rPr>
          <w:spacing w:val="-10"/>
        </w:rPr>
        <w:t> 万亩，新发展新</w:t>
      </w:r>
    </w:p>
    <w:p>
      <w:pPr>
        <w:pStyle w:val="BodyText"/>
        <w:spacing w:before="43"/>
      </w:pPr>
      <w:r>
        <w:rPr/>
        <w:t>型经营主体 100 家以上。</w:t>
      </w:r>
    </w:p>
    <w:p>
      <w:pPr>
        <w:pStyle w:val="BodyText"/>
        <w:spacing w:line="343" w:lineRule="auto" w:before="180"/>
        <w:ind w:right="134" w:firstLine="645"/>
      </w:pPr>
      <w:r>
        <w:rPr/>
        <w:t>增加农民财产性收入。稳步推进以农民土地使用权为核心， 通过股份合作制改革，创新土地流转方式，改革和完善征地补偿</w:t>
      </w:r>
    </w:p>
    <w:p>
      <w:pPr>
        <w:spacing w:after="0" w:line="343" w:lineRule="auto"/>
        <w:sectPr>
          <w:pgSz w:w="11910" w:h="16840"/>
          <w:pgMar w:header="0" w:footer="998" w:top="1560" w:bottom="1180" w:left="1420" w:right="1260"/>
        </w:sectPr>
      </w:pPr>
    </w:p>
    <w:p>
      <w:pPr>
        <w:pStyle w:val="BodyText"/>
        <w:spacing w:line="405" w:lineRule="exact"/>
      </w:pPr>
      <w:r>
        <w:rPr/>
        <w:t>机制，探索土地承包权、林权、农村居民房产权“三权”抵押贷</w:t>
      </w:r>
    </w:p>
    <w:p>
      <w:pPr>
        <w:pStyle w:val="BodyText"/>
        <w:spacing w:before="181"/>
      </w:pPr>
      <w:r>
        <w:rPr/>
        <w:t>款融资渠道等，多形式实现农民土地财产权利的收益。</w:t>
      </w:r>
    </w:p>
    <w:p>
      <w:pPr>
        <w:pStyle w:val="BodyText"/>
        <w:spacing w:line="343" w:lineRule="auto" w:before="181"/>
        <w:ind w:right="225" w:firstLine="645"/>
        <w:jc w:val="both"/>
      </w:pPr>
      <w:r>
        <w:rPr>
          <w:spacing w:val="-11"/>
        </w:rPr>
        <w:t>发展劳务经济。实施劳务开发品牌战略，完善城乡统一的人</w:t>
      </w:r>
      <w:r>
        <w:rPr>
          <w:spacing w:val="-15"/>
        </w:rPr>
        <w:t>力资源市场。每年培训农民工 </w:t>
      </w:r>
      <w:r>
        <w:rPr/>
        <w:t>1</w:t>
      </w:r>
      <w:r>
        <w:rPr>
          <w:spacing w:val="-20"/>
        </w:rPr>
        <w:t> 万人次，</w:t>
      </w:r>
      <w:r>
        <w:rPr>
          <w:spacing w:val="-10"/>
        </w:rPr>
        <w:t>5 年转移和输出农村剩</w:t>
      </w:r>
      <w:r>
        <w:rPr>
          <w:spacing w:val="-26"/>
        </w:rPr>
        <w:t>余劳动力 </w:t>
      </w:r>
      <w:r>
        <w:rPr/>
        <w:t>1</w:t>
      </w:r>
      <w:r>
        <w:rPr>
          <w:spacing w:val="-16"/>
        </w:rPr>
        <w:t> 万人以上、农村劳动力向非农产业转移总人数稳定在</w:t>
      </w:r>
    </w:p>
    <w:p>
      <w:pPr>
        <w:pStyle w:val="BodyText"/>
        <w:spacing w:before="43"/>
      </w:pPr>
      <w:r>
        <w:rPr/>
        <w:t>8.5 万人以上。</w:t>
      </w:r>
    </w:p>
    <w:p>
      <w:pPr>
        <w:spacing w:before="227"/>
        <w:ind w:left="0" w:right="116" w:firstLine="0"/>
        <w:jc w:val="center"/>
        <w:rPr>
          <w:sz w:val="28"/>
        </w:rPr>
      </w:pPr>
      <w:r>
        <w:rPr/>
        <w:pict>
          <v:shape style="position:absolute;margin-left:76.560005pt;margin-top:33.941879pt;width:441pt;height:125.05pt;mso-position-horizontal-relative:page;mso-position-vertical-relative:paragraph;z-index:5728;mso-wrap-distance-left:0;mso-wrap-distance-right:0" type="#_x0000_t202" filled="false" stroked="true" strokeweight=".47998pt" strokecolor="#000000">
            <v:textbox inset="0,0,0,0">
              <w:txbxContent>
                <w:p>
                  <w:pPr>
                    <w:spacing w:line="350" w:lineRule="auto" w:before="88"/>
                    <w:ind w:left="103" w:right="-36" w:firstLine="480"/>
                    <w:jc w:val="left"/>
                    <w:rPr>
                      <w:sz w:val="24"/>
                    </w:rPr>
                  </w:pPr>
                  <w:r>
                    <w:rPr>
                      <w:spacing w:val="-5"/>
                      <w:sz w:val="24"/>
                    </w:rPr>
                    <w:t>幸福美丽新村建设、扶贫开发、现代农业发展、高标准农田建设、茶叶产业化</w:t>
                  </w:r>
                  <w:r>
                    <w:rPr>
                      <w:spacing w:val="-13"/>
                      <w:sz w:val="24"/>
                    </w:rPr>
                    <w:t>建设、蔬菜产业化建设、泊滩堰灌区车子至冠英流域整治工程、农田水利设施建设、</w:t>
                  </w:r>
                  <w:r>
                    <w:rPr>
                      <w:spacing w:val="-12"/>
                      <w:sz w:val="24"/>
                    </w:rPr>
                    <w:t>石麟镇共同村、马儿石村等土地整理、涌斯江管理处病险水闸除险加固、茫溪河竹</w:t>
                  </w:r>
                  <w:r>
                    <w:rPr>
                      <w:spacing w:val="-9"/>
                      <w:sz w:val="24"/>
                    </w:rPr>
                    <w:t>根段治理工程、沫溪河防洪治理工程、节水型示范区建设、花溪沟、婆婆溪、印石沟、眠羊溪山洪灾害防治、争鸣水厂改扩建工程、城乡供水一体化工程等。</w:t>
                  </w:r>
                </w:p>
              </w:txbxContent>
            </v:textbox>
            <v:stroke dashstyle="solid"/>
            <w10:wrap type="topAndBottom"/>
          </v:shape>
        </w:pict>
      </w:r>
      <w:r>
        <w:rPr>
          <w:w w:val="95"/>
          <w:sz w:val="28"/>
        </w:rPr>
        <w:t>专栏：农业重点项目</w:t>
      </w:r>
    </w:p>
    <w:p>
      <w:pPr>
        <w:pStyle w:val="BodyText"/>
        <w:ind w:left="0"/>
        <w:rPr>
          <w:sz w:val="20"/>
        </w:rPr>
      </w:pPr>
    </w:p>
    <w:p>
      <w:pPr>
        <w:pStyle w:val="BodyText"/>
        <w:ind w:left="0"/>
        <w:rPr>
          <w:sz w:val="20"/>
        </w:rPr>
      </w:pPr>
    </w:p>
    <w:p>
      <w:pPr>
        <w:pStyle w:val="BodyText"/>
        <w:spacing w:before="1"/>
        <w:ind w:left="0"/>
        <w:rPr>
          <w:sz w:val="29"/>
        </w:rPr>
      </w:pPr>
    </w:p>
    <w:p>
      <w:pPr>
        <w:pStyle w:val="BodyText"/>
        <w:tabs>
          <w:tab w:pos="3892" w:val="left" w:leader="none"/>
        </w:tabs>
        <w:spacing w:before="2"/>
        <w:ind w:left="2613"/>
        <w:rPr>
          <w:rFonts w:ascii="黑体" w:eastAsia="黑体" w:hint="eastAsia"/>
        </w:rPr>
      </w:pPr>
      <w:r>
        <w:rPr>
          <w:rFonts w:ascii="黑体" w:eastAsia="黑体" w:hint="eastAsia"/>
        </w:rPr>
        <w:t>第五节</w:t>
        <w:tab/>
      </w:r>
      <w:r>
        <w:rPr>
          <w:rFonts w:ascii="黑体" w:eastAsia="黑体" w:hint="eastAsia"/>
          <w:spacing w:val="-1"/>
        </w:rPr>
        <w:t>实施精准扶贫攻坚</w:t>
      </w:r>
    </w:p>
    <w:p>
      <w:pPr>
        <w:pStyle w:val="BodyText"/>
        <w:spacing w:line="343" w:lineRule="auto" w:before="181"/>
        <w:ind w:right="109" w:firstLine="645"/>
      </w:pPr>
      <w:r>
        <w:rPr>
          <w:spacing w:val="-7"/>
        </w:rPr>
        <w:t>坚持新村建设与扶贫工作紧密结合，扎实开展扶贫攻坚。实</w:t>
      </w:r>
      <w:r>
        <w:rPr>
          <w:spacing w:val="-13"/>
        </w:rPr>
        <w:t>施基础扶贫、产业扶贫、新村扶贫、能力扶贫、生态扶贫、医疗</w:t>
      </w:r>
      <w:r>
        <w:rPr>
          <w:spacing w:val="-14"/>
        </w:rPr>
        <w:t>卫生扶贫、文化惠民扶贫、社会保障扶贫、社会扶贫、财政金融</w:t>
      </w:r>
      <w:r>
        <w:rPr>
          <w:spacing w:val="-1"/>
        </w:rPr>
        <w:t>扶贫工程。持续推进以“第一书记”为核心的驻村工作队</w:t>
      </w:r>
      <w:r>
        <w:rPr/>
        <w:t>（组） </w:t>
      </w:r>
      <w:r>
        <w:rPr>
          <w:spacing w:val="-10"/>
          <w:w w:val="100"/>
        </w:rPr>
        <w:t>制度，确保“规划到户、责任到人”，力争贫困村农民人均可支</w:t>
      </w:r>
      <w:r>
        <w:rPr>
          <w:spacing w:val="-2"/>
        </w:rPr>
        <w:t>配收入超过全省农民人均可支配收入 </w:t>
      </w:r>
      <w:r>
        <w:rPr/>
        <w:t>10％</w:t>
      </w:r>
      <w:r>
        <w:rPr>
          <w:spacing w:val="-7"/>
        </w:rPr>
        <w:t>以上，到 </w:t>
      </w:r>
      <w:r>
        <w:rPr/>
        <w:t>2017</w:t>
      </w:r>
      <w:r>
        <w:rPr>
          <w:spacing w:val="-23"/>
        </w:rPr>
        <w:t> 年 </w:t>
      </w:r>
      <w:r>
        <w:rPr/>
        <w:t>29</w:t>
      </w:r>
    </w:p>
    <w:p>
      <w:pPr>
        <w:pStyle w:val="BodyText"/>
        <w:spacing w:line="343" w:lineRule="auto" w:before="43"/>
        <w:ind w:right="109"/>
      </w:pPr>
      <w:r>
        <w:rPr>
          <w:spacing w:val="-13"/>
          <w:w w:val="100"/>
        </w:rPr>
        <w:t>个市列贫困村全部“摘帽”，到</w:t>
      </w:r>
      <w:r>
        <w:rPr>
          <w:spacing w:val="-69"/>
        </w:rPr>
        <w:t> </w:t>
      </w:r>
      <w:r>
        <w:rPr>
          <w:spacing w:val="-1"/>
          <w:w w:val="100"/>
        </w:rPr>
        <w:t>201</w:t>
      </w:r>
      <w:r>
        <w:rPr>
          <w:w w:val="100"/>
        </w:rPr>
        <w:t>8</w:t>
      </w:r>
      <w:r>
        <w:rPr>
          <w:spacing w:val="-70"/>
        </w:rPr>
        <w:t> </w:t>
      </w:r>
      <w:r>
        <w:rPr>
          <w:w w:val="100"/>
        </w:rPr>
        <w:t>年</w:t>
      </w:r>
      <w:r>
        <w:rPr>
          <w:spacing w:val="-69"/>
        </w:rPr>
        <w:t> </w:t>
      </w:r>
      <w:r>
        <w:rPr>
          <w:spacing w:val="-1"/>
          <w:w w:val="100"/>
        </w:rPr>
        <w:t>258</w:t>
      </w:r>
      <w:r>
        <w:rPr>
          <w:w w:val="100"/>
        </w:rPr>
        <w:t>5</w:t>
      </w:r>
      <w:r>
        <w:rPr>
          <w:spacing w:val="-70"/>
        </w:rPr>
        <w:t> </w:t>
      </w:r>
      <w:r>
        <w:rPr>
          <w:spacing w:val="-1"/>
          <w:w w:val="100"/>
        </w:rPr>
        <w:t>名贫困人口全面消</w:t>
      </w:r>
      <w:r>
        <w:rPr>
          <w:spacing w:val="-1"/>
        </w:rPr>
        <w:t>除绝对贫困。</w:t>
      </w:r>
    </w:p>
    <w:p>
      <w:pPr>
        <w:spacing w:after="0" w:line="343" w:lineRule="auto"/>
        <w:sectPr>
          <w:pgSz w:w="11910" w:h="16840"/>
          <w:pgMar w:header="0" w:footer="998" w:top="1560" w:bottom="1180" w:left="1420" w:right="1300"/>
        </w:sectPr>
      </w:pPr>
    </w:p>
    <w:p>
      <w:pPr>
        <w:pStyle w:val="Heading2"/>
        <w:tabs>
          <w:tab w:pos="1653" w:val="left" w:leader="none"/>
          <w:tab w:pos="5613" w:val="left" w:leader="none"/>
        </w:tabs>
        <w:spacing w:line="431" w:lineRule="exact"/>
        <w:ind w:left="213"/>
        <w:jc w:val="left"/>
      </w:pPr>
      <w:r>
        <w:rPr/>
        <w:t>第九章</w:t>
        <w:tab/>
        <w:t>发展先导型现代服务业</w:t>
        <w:tab/>
        <w:t>实现第三产业新突破</w:t>
      </w:r>
    </w:p>
    <w:p>
      <w:pPr>
        <w:pStyle w:val="BodyText"/>
        <w:spacing w:line="343" w:lineRule="auto" w:before="175"/>
        <w:ind w:right="102" w:firstLine="645"/>
        <w:jc w:val="both"/>
      </w:pPr>
      <w:r>
        <w:rPr>
          <w:spacing w:val="-17"/>
        </w:rPr>
        <w:t>把服务业作为经济发展的重要增长极和结构调整的重要内容， </w:t>
      </w:r>
      <w:r>
        <w:rPr>
          <w:spacing w:val="-16"/>
        </w:rPr>
        <w:t>培育发展新兴先导型服务业，改造提升传统服务业。着力构建生产</w:t>
      </w:r>
      <w:r>
        <w:rPr>
          <w:spacing w:val="-21"/>
        </w:rPr>
        <w:t>性服务体系和消费性服务体系，促进现代服务业跨越式大发展。</w:t>
      </w:r>
    </w:p>
    <w:p>
      <w:pPr>
        <w:pStyle w:val="BodyText"/>
        <w:ind w:left="0"/>
      </w:pPr>
    </w:p>
    <w:p>
      <w:pPr>
        <w:pStyle w:val="BodyText"/>
        <w:tabs>
          <w:tab w:pos="3572" w:val="left" w:leader="none"/>
        </w:tabs>
        <w:spacing w:before="224"/>
        <w:ind w:left="2292"/>
        <w:rPr>
          <w:rFonts w:ascii="黑体" w:eastAsia="黑体" w:hint="eastAsia"/>
        </w:rPr>
      </w:pPr>
      <w:r>
        <w:rPr>
          <w:rFonts w:ascii="黑体" w:eastAsia="黑体" w:hint="eastAsia"/>
        </w:rPr>
        <w:t>第一节</w:t>
        <w:tab/>
      </w:r>
      <w:r>
        <w:rPr>
          <w:rFonts w:ascii="黑体" w:eastAsia="黑体" w:hint="eastAsia"/>
          <w:spacing w:val="-1"/>
        </w:rPr>
        <w:t>发展新兴先导型服务业</w:t>
      </w:r>
    </w:p>
    <w:p>
      <w:pPr>
        <w:pStyle w:val="BodyText"/>
        <w:spacing w:line="343" w:lineRule="auto" w:before="181"/>
        <w:ind w:right="105" w:firstLine="645"/>
        <w:jc w:val="both"/>
      </w:pPr>
      <w:r>
        <w:rPr>
          <w:spacing w:val="3"/>
        </w:rPr>
        <w:t>把新兴先导型服务业作为推进我区产业结构调整和转型升</w:t>
      </w:r>
      <w:r>
        <w:rPr>
          <w:spacing w:val="-10"/>
        </w:rPr>
        <w:t>级的重要支撑产业，重点培育现代物流、电子商务、养老健康服</w:t>
      </w:r>
      <w:r>
        <w:rPr>
          <w:spacing w:val="-1"/>
        </w:rPr>
        <w:t>务、现代金融等现代服务业，抢占未来发展制高点。</w:t>
      </w:r>
    </w:p>
    <w:p>
      <w:pPr>
        <w:pStyle w:val="BodyText"/>
        <w:spacing w:line="343" w:lineRule="auto" w:before="43"/>
        <w:ind w:right="105" w:firstLine="645"/>
        <w:jc w:val="both"/>
      </w:pPr>
      <w:r>
        <w:rPr>
          <w:spacing w:val="-11"/>
        </w:rPr>
        <w:t>发展现代物流业。充分发挥我区资源和区位优势，跨越式发展现代物流业，引导传统物流业逐步向航空物流、港口物流、保</w:t>
      </w:r>
      <w:r>
        <w:rPr>
          <w:spacing w:val="-12"/>
        </w:rPr>
        <w:t>税物流、城市配送等现代物流业方向发展。依托乐山港发展港口物流，依托乐山机场和临空经济区发展航空物流，依托综合保税</w:t>
      </w:r>
      <w:r>
        <w:rPr>
          <w:spacing w:val="-11"/>
        </w:rPr>
        <w:t>区发展保税物流。加快港口、车站、机场、园区等物流基础设施</w:t>
      </w:r>
      <w:r>
        <w:rPr>
          <w:spacing w:val="-12"/>
        </w:rPr>
        <w:t>建设，完善物流服务功能，引进培育现代物流企业，打造区域性物流枢纽。创新招商引资方式，大力引进物流业重大项目。建设</w:t>
      </w:r>
      <w:r>
        <w:rPr>
          <w:spacing w:val="-10"/>
        </w:rPr>
        <w:t>临港新区商贸物流园、精细盐磷化工循环产业物流园、西坝农产</w:t>
      </w:r>
      <w:r>
        <w:rPr>
          <w:spacing w:val="-14"/>
        </w:rPr>
        <w:t>品加工物流园三大生产性物流园区。到 </w:t>
      </w:r>
      <w:r>
        <w:rPr/>
        <w:t>2020</w:t>
      </w:r>
      <w:r>
        <w:rPr>
          <w:spacing w:val="-10"/>
        </w:rPr>
        <w:t> 年，力争引进和培</w:t>
      </w:r>
    </w:p>
    <w:p>
      <w:pPr>
        <w:pStyle w:val="BodyText"/>
        <w:spacing w:before="43"/>
      </w:pPr>
      <w:r>
        <w:rPr/>
        <w:t>育大型物流企业 5 家以上，第三方物流比重明显增加。</w:t>
      </w:r>
    </w:p>
    <w:p>
      <w:pPr>
        <w:pStyle w:val="BodyText"/>
        <w:spacing w:line="343" w:lineRule="auto" w:before="181"/>
        <w:ind w:right="106" w:firstLine="645"/>
        <w:jc w:val="both"/>
      </w:pPr>
      <w:r>
        <w:rPr>
          <w:spacing w:val="-11"/>
        </w:rPr>
        <w:t>发展电子商务业。以打造本土平台、促进广泛应用、开展创</w:t>
      </w:r>
      <w:r>
        <w:rPr>
          <w:spacing w:val="-12"/>
        </w:rPr>
        <w:t>新孵化为重点，进一步发挥电子商务产业在经济社会发展中的先导型作用。积极搭建电商交易公共服务平台，引导电商企业进驻电商平台网站。大力实施全企入网工程，促进本土名优特新产品</w:t>
      </w:r>
    </w:p>
    <w:p>
      <w:pPr>
        <w:spacing w:after="0" w:line="343" w:lineRule="auto"/>
        <w:jc w:val="both"/>
        <w:sectPr>
          <w:pgSz w:w="11910" w:h="16840"/>
          <w:pgMar w:header="0" w:footer="998" w:top="1540" w:bottom="1180" w:left="1420" w:right="1420"/>
        </w:sectPr>
      </w:pPr>
    </w:p>
    <w:p>
      <w:pPr>
        <w:pStyle w:val="BodyText"/>
        <w:spacing w:line="405" w:lineRule="exact"/>
      </w:pPr>
      <w:r>
        <w:rPr/>
        <w:t>拓宽销路、开拓市场。加强电商基础设施建设，完善移动电子商</w:t>
      </w:r>
    </w:p>
    <w:p>
      <w:pPr>
        <w:pStyle w:val="BodyText"/>
        <w:spacing w:line="343" w:lineRule="auto" w:before="181"/>
        <w:ind w:right="100"/>
      </w:pPr>
      <w:r>
        <w:rPr>
          <w:spacing w:val="-11"/>
        </w:rPr>
        <w:t>务技术体系、标准和业务规范。实施电商进农村，推动农产品电</w:t>
      </w:r>
      <w:r>
        <w:rPr>
          <w:spacing w:val="-17"/>
        </w:rPr>
        <w:t>子商务交易平台等与农村经济融合发展，健全农副土特产品网上</w:t>
      </w:r>
      <w:r>
        <w:rPr>
          <w:spacing w:val="-1"/>
        </w:rPr>
        <w:t>购销体系。实施“互联网+”行动计划，推动互联网+产业发展、</w:t>
      </w:r>
      <w:r>
        <w:rPr>
          <w:spacing w:val="-11"/>
        </w:rPr>
        <w:t>互联网+公共服务、互联网+政务等新业态加快发展，搭建一个服</w:t>
      </w:r>
      <w:r>
        <w:rPr>
          <w:spacing w:val="-17"/>
        </w:rPr>
        <w:t>务网络、培育两个电商龙头企业、推出四类特色农产品。“十三</w:t>
      </w:r>
      <w:r>
        <w:rPr>
          <w:spacing w:val="-13"/>
        </w:rPr>
        <w:t>五”期间，电子商务市场交易规模占社会消费品零售总额比重大</w:t>
      </w:r>
      <w:r>
        <w:rPr>
          <w:spacing w:val="-2"/>
        </w:rPr>
        <w:t>幅提升，成为带动就业、提供税收、拉动需求的重要途径。</w:t>
      </w:r>
    </w:p>
    <w:p>
      <w:pPr>
        <w:pStyle w:val="BodyText"/>
        <w:spacing w:line="343" w:lineRule="auto" w:before="43"/>
        <w:ind w:right="101" w:firstLine="645"/>
      </w:pPr>
      <w:r>
        <w:rPr>
          <w:spacing w:val="-1"/>
        </w:rPr>
        <w:t>发展养老健康服务业。发挥政府引导作用和市场主体作用， </w:t>
      </w:r>
      <w:r>
        <w:rPr>
          <w:spacing w:val="-11"/>
        </w:rPr>
        <w:t>兼顾事业与产业共同发展。鼓励社会民间资本以多种形式投资养</w:t>
      </w:r>
      <w:r>
        <w:rPr>
          <w:spacing w:val="-15"/>
        </w:rPr>
        <w:t>老健康服务业，满足人民群众多层次、多样化的养老健康服务需</w:t>
      </w:r>
      <w:r>
        <w:rPr>
          <w:spacing w:val="-1"/>
        </w:rPr>
        <w:t>求。发挥医疗服务支撑作用，促进医疗卫生资源进入养老机构、</w:t>
      </w:r>
      <w:r>
        <w:rPr>
          <w:spacing w:val="-11"/>
        </w:rPr>
        <w:t>社区和居民家庭，鼓励养老机构与医疗机构开展合作，开通绿色</w:t>
      </w:r>
      <w:r>
        <w:rPr>
          <w:spacing w:val="-15"/>
        </w:rPr>
        <w:t>转诊通道，提供治疗期住院、康复期集中护理、稳定期生活照料</w:t>
      </w:r>
      <w:r>
        <w:rPr>
          <w:spacing w:val="-17"/>
        </w:rPr>
        <w:t>相结合的健康养老服务。推动区中医医院医养融合发展，建成区</w:t>
      </w:r>
      <w:r>
        <w:rPr>
          <w:spacing w:val="-1"/>
        </w:rPr>
        <w:t>福利院、康复中心等养老健康服务项目。</w:t>
      </w:r>
    </w:p>
    <w:p>
      <w:pPr>
        <w:pStyle w:val="BodyText"/>
        <w:spacing w:line="343" w:lineRule="auto" w:before="43"/>
        <w:ind w:right="109" w:firstLine="645"/>
      </w:pPr>
      <w:r>
        <w:rPr>
          <w:spacing w:val="-11"/>
        </w:rPr>
        <w:t>发展现代金融业。以金融改革创新为动力，积极引进各类金</w:t>
      </w:r>
      <w:r>
        <w:rPr>
          <w:spacing w:val="-16"/>
        </w:rPr>
        <w:t>融机构入驻五通桥。积极发展多渠道融资，加大金融机构对我区</w:t>
      </w:r>
      <w:r>
        <w:rPr>
          <w:spacing w:val="-21"/>
        </w:rPr>
        <w:t>信贷规模的支持力度。积极探索 </w:t>
      </w:r>
      <w:r>
        <w:rPr/>
        <w:t>PPP</w:t>
      </w:r>
      <w:r>
        <w:rPr>
          <w:spacing w:val="-10"/>
        </w:rPr>
        <w:t> 模式等重大项目融资方式， </w:t>
      </w:r>
      <w:r>
        <w:rPr>
          <w:spacing w:val="-15"/>
        </w:rPr>
        <w:t>为全区重大基础设施、保障性安居工程等重大项目建设提供中长期资金支持。搭建银、政、企交流合作平台。加快村镇银行发展</w:t>
      </w:r>
      <w:r>
        <w:rPr>
          <w:spacing w:val="-1"/>
        </w:rPr>
        <w:t>步伐，逐步实现村镇银行全覆盖。</w:t>
      </w:r>
    </w:p>
    <w:p>
      <w:pPr>
        <w:spacing w:after="0" w:line="343" w:lineRule="auto"/>
        <w:sectPr>
          <w:pgSz w:w="11910" w:h="16840"/>
          <w:pgMar w:header="0" w:footer="998" w:top="1560" w:bottom="1180" w:left="1420" w:right="1300"/>
        </w:sectPr>
      </w:pPr>
    </w:p>
    <w:p>
      <w:pPr>
        <w:pStyle w:val="BodyText"/>
        <w:tabs>
          <w:tab w:pos="3892" w:val="left" w:leader="none"/>
        </w:tabs>
        <w:spacing w:line="405" w:lineRule="exact"/>
        <w:ind w:left="2613"/>
        <w:rPr>
          <w:rFonts w:ascii="黑体" w:eastAsia="黑体" w:hint="eastAsia"/>
        </w:rPr>
      </w:pPr>
      <w:r>
        <w:rPr>
          <w:rFonts w:ascii="黑体" w:eastAsia="黑体" w:hint="eastAsia"/>
        </w:rPr>
        <w:t>第二节</w:t>
        <w:tab/>
      </w:r>
      <w:r>
        <w:rPr>
          <w:rFonts w:ascii="黑体" w:eastAsia="黑体" w:hint="eastAsia"/>
          <w:spacing w:val="-1"/>
        </w:rPr>
        <w:t>加快发展文旅经济</w:t>
      </w:r>
    </w:p>
    <w:p>
      <w:pPr>
        <w:pStyle w:val="BodyText"/>
        <w:spacing w:line="343" w:lineRule="auto" w:before="181"/>
        <w:ind w:right="139" w:firstLine="645"/>
      </w:pPr>
      <w:r>
        <w:rPr>
          <w:spacing w:val="-20"/>
        </w:rPr>
        <w:t>依托厚重的盐业文明，整合桥文化、码头文化、贰柒拾文化、龙舟文化、美食文化、黄葛树文化等资源，加快发展文旅产业， </w:t>
      </w:r>
      <w:r>
        <w:rPr>
          <w:spacing w:val="-17"/>
        </w:rPr>
        <w:t>形成与乐山大佛、峨眉山优势互补、错位发展特色旅游产业，打</w:t>
      </w:r>
      <w:r>
        <w:rPr>
          <w:spacing w:val="-28"/>
        </w:rPr>
        <w:t>造乐山全域旅游增长极。力争到 </w:t>
      </w:r>
      <w:r>
        <w:rPr/>
        <w:t>2020</w:t>
      </w:r>
      <w:r>
        <w:rPr>
          <w:spacing w:val="-17"/>
        </w:rPr>
        <w:t> 年旅游综合收入突破 </w:t>
      </w:r>
      <w:r>
        <w:rPr/>
        <w:t>65</w:t>
      </w:r>
      <w:r>
        <w:rPr>
          <w:spacing w:val="-43"/>
        </w:rPr>
        <w:t> 亿</w:t>
      </w:r>
    </w:p>
    <w:p>
      <w:pPr>
        <w:pStyle w:val="BodyText"/>
        <w:spacing w:before="43"/>
      </w:pPr>
      <w:r>
        <w:rPr/>
        <w:t>元、接待人数突破 430 万人。</w:t>
      </w:r>
    </w:p>
    <w:p>
      <w:pPr>
        <w:pStyle w:val="BodyText"/>
        <w:spacing w:line="343" w:lineRule="auto" w:before="181"/>
        <w:ind w:right="139" w:firstLine="645"/>
      </w:pPr>
      <w:r>
        <w:rPr>
          <w:spacing w:val="-18"/>
        </w:rPr>
        <w:t>打造五通桥古镇。按照国家 </w:t>
      </w:r>
      <w:r>
        <w:rPr/>
        <w:t>5A</w:t>
      </w:r>
      <w:r>
        <w:rPr>
          <w:spacing w:val="-10"/>
        </w:rPr>
        <w:t> 级风景区的标准开发锁龙巷、</w:t>
      </w:r>
      <w:r>
        <w:rPr>
          <w:spacing w:val="-23"/>
        </w:rPr>
        <w:t>群力街、工农街 </w:t>
      </w:r>
      <w:r>
        <w:rPr/>
        <w:t>1.085</w:t>
      </w:r>
      <w:r>
        <w:rPr>
          <w:spacing w:val="-17"/>
        </w:rPr>
        <w:t> 平方公里旅游景区和 </w:t>
      </w:r>
      <w:r>
        <w:rPr/>
        <w:t>700</w:t>
      </w:r>
      <w:r>
        <w:rPr>
          <w:spacing w:val="-20"/>
        </w:rPr>
        <w:t> 亩旅游地产，融</w:t>
      </w:r>
      <w:r>
        <w:rPr>
          <w:spacing w:val="-19"/>
        </w:rPr>
        <w:t>合文化旅游、互动体验、休闲娱乐、特色商业、主题度假于一体， </w:t>
      </w:r>
      <w:r>
        <w:rPr>
          <w:spacing w:val="-17"/>
        </w:rPr>
        <w:t>打造四川一流、全国知名的天府假日小镇、一站式古镇闲乐旅游目的地。</w:t>
      </w:r>
    </w:p>
    <w:p>
      <w:pPr>
        <w:pStyle w:val="BodyText"/>
        <w:spacing w:line="343" w:lineRule="auto" w:before="44"/>
        <w:ind w:right="265" w:firstLine="645"/>
        <w:jc w:val="both"/>
      </w:pPr>
      <w:r>
        <w:rPr>
          <w:spacing w:val="-11"/>
        </w:rPr>
        <w:t>建设文化创意产业园。依托深厚的历史底蕴、丰富的文化资</w:t>
      </w:r>
      <w:r>
        <w:rPr>
          <w:spacing w:val="-12"/>
        </w:rPr>
        <w:t>源、独特的自然风景，打造以艺术和商业为主，集特色主题风情</w:t>
      </w:r>
      <w:r>
        <w:rPr>
          <w:spacing w:val="-11"/>
        </w:rPr>
        <w:t>街区、湿地、创意基地、艺术馆、非物质文化遗产展馆、蚕桑博</w:t>
      </w:r>
      <w:r>
        <w:rPr>
          <w:spacing w:val="-1"/>
        </w:rPr>
        <w:t>物馆、书画工作室等为一体的乐山市文化创意产业园。</w:t>
      </w:r>
    </w:p>
    <w:p>
      <w:pPr>
        <w:pStyle w:val="BodyText"/>
        <w:spacing w:line="343" w:lineRule="auto" w:before="44"/>
        <w:ind w:right="134" w:firstLine="645"/>
      </w:pPr>
      <w:r>
        <w:rPr/>
        <w:t>建设远成·乐山文旅城。打造集会展中心、海洋水世界、儿童游乐、民俗文化、影院、百货超市、商场、酒店、运动中心、特色餐饮、休闲娱乐等为一体的远成·乐山文旅城。</w:t>
      </w:r>
    </w:p>
    <w:p>
      <w:pPr>
        <w:pStyle w:val="BodyText"/>
        <w:spacing w:line="343" w:lineRule="auto" w:before="44"/>
        <w:ind w:right="149" w:firstLine="645"/>
      </w:pPr>
      <w:r>
        <w:rPr>
          <w:spacing w:val="-10"/>
        </w:rPr>
        <w:t>培育发展特色旅游。积极开发民俗文化、休闲度假、农业观</w:t>
      </w:r>
      <w:r>
        <w:rPr>
          <w:spacing w:val="-1"/>
        </w:rPr>
        <w:t>光等特色生态旅游。突出国家级花木科技园、根书艺术馆二期、</w:t>
      </w:r>
      <w:r>
        <w:rPr>
          <w:spacing w:val="-10"/>
        </w:rPr>
        <w:t>木鱼人家休闲区、沫溪河田园风光带、桫椤峡谷、新塘沽工业遗</w:t>
      </w:r>
      <w:r>
        <w:rPr>
          <w:spacing w:val="-12"/>
        </w:rPr>
        <w:t>址、滨岛美食城—桥滩餐饮区等特色旅游点建设，着力构建现代</w:t>
      </w:r>
      <w:r>
        <w:rPr>
          <w:spacing w:val="-1"/>
        </w:rPr>
        <w:t>旅游产业体系，推进旅游业态转型升级。</w:t>
      </w:r>
    </w:p>
    <w:p>
      <w:pPr>
        <w:spacing w:after="0" w:line="343" w:lineRule="auto"/>
        <w:sectPr>
          <w:pgSz w:w="11910" w:h="16840"/>
          <w:pgMar w:header="0" w:footer="998" w:top="1560" w:bottom="1180" w:left="1420" w:right="1260"/>
        </w:sectPr>
      </w:pPr>
    </w:p>
    <w:p>
      <w:pPr>
        <w:pStyle w:val="BodyText"/>
        <w:tabs>
          <w:tab w:pos="1279" w:val="left" w:leader="none"/>
        </w:tabs>
        <w:spacing w:line="405" w:lineRule="exact"/>
        <w:ind w:left="0" w:right="156"/>
        <w:jc w:val="center"/>
        <w:rPr>
          <w:rFonts w:ascii="黑体" w:eastAsia="黑体" w:hint="eastAsia"/>
        </w:rPr>
      </w:pPr>
      <w:r>
        <w:rPr>
          <w:rFonts w:ascii="黑体" w:eastAsia="黑体" w:hint="eastAsia"/>
        </w:rPr>
        <w:t>第三节</w:t>
        <w:tab/>
      </w:r>
      <w:r>
        <w:rPr>
          <w:rFonts w:ascii="黑体" w:eastAsia="黑体" w:hint="eastAsia"/>
          <w:spacing w:val="-1"/>
        </w:rPr>
        <w:t>提升传统服务业</w:t>
      </w:r>
    </w:p>
    <w:p>
      <w:pPr>
        <w:pStyle w:val="BodyText"/>
        <w:spacing w:line="343" w:lineRule="auto" w:before="181"/>
        <w:ind w:right="265" w:firstLine="645"/>
        <w:jc w:val="both"/>
      </w:pPr>
      <w:r>
        <w:rPr>
          <w:spacing w:val="-12"/>
        </w:rPr>
        <w:t>加强现代商品市场、现代流通方式、商业信用等商贸体系建</w:t>
      </w:r>
      <w:r>
        <w:rPr>
          <w:spacing w:val="-11"/>
        </w:rPr>
        <w:t>设，发展新型消费业态，拓展新兴服务消费，改善消费环境，积</w:t>
      </w:r>
      <w:r>
        <w:rPr>
          <w:spacing w:val="-1"/>
        </w:rPr>
        <w:t>极促进消费结构升级。</w:t>
      </w:r>
    </w:p>
    <w:p>
      <w:pPr>
        <w:pStyle w:val="BodyText"/>
        <w:spacing w:line="343" w:lineRule="auto" w:before="43"/>
        <w:ind w:right="99" w:firstLine="645"/>
      </w:pPr>
      <w:r>
        <w:rPr>
          <w:spacing w:val="-19"/>
        </w:rPr>
        <w:t>优化综合超市、购物中心、批发市场等商业网点结构和布局， 积极发展连锁经营和统一配送，鼓励发展专业店、专卖店、会员</w:t>
      </w:r>
      <w:r>
        <w:rPr>
          <w:spacing w:val="-13"/>
        </w:rPr>
        <w:t>店，大力发展便利店、中小超市等社区商业。加速新天地城市商</w:t>
      </w:r>
      <w:r>
        <w:rPr>
          <w:spacing w:val="-20"/>
        </w:rPr>
        <w:t>业综合体建设，增强桥滩商业街的集聚功能。积极推进华润万家、太平洋百货、CCDD</w:t>
      </w:r>
      <w:r>
        <w:rPr/>
        <w:t> 服饰、德克士等知名品牌和商家入驻，提升</w:t>
      </w:r>
      <w:r>
        <w:rPr>
          <w:spacing w:val="-9"/>
        </w:rPr>
        <w:t>城市商业功能和形象，建成融商贸、购物、休闲为一体的现代型商业街。</w:t>
      </w:r>
    </w:p>
    <w:p>
      <w:pPr>
        <w:pStyle w:val="BodyText"/>
        <w:spacing w:line="343" w:lineRule="auto" w:before="43"/>
        <w:ind w:right="265" w:firstLine="645"/>
        <w:jc w:val="both"/>
      </w:pPr>
      <w:r>
        <w:rPr>
          <w:spacing w:val="-12"/>
        </w:rPr>
        <w:t>统筹城乡贸易发展，支持乐山市商业银行向农村延伸开设商业网点，发展农资和日用工业品配送下乡服务，引导农产品进城直销。引导住宿和餐饮业健康规范发展。加快传统服务业转型升</w:t>
      </w:r>
      <w:r>
        <w:rPr>
          <w:spacing w:val="-11"/>
        </w:rPr>
        <w:t>级，促进连锁经营模式从传统商业零售、餐饮业向汽车服务、家</w:t>
      </w:r>
      <w:r>
        <w:rPr>
          <w:spacing w:val="-14"/>
        </w:rPr>
        <w:t>庭服务、教育培训、维修服务等新兴服务业拓展。到 </w:t>
      </w:r>
      <w:r>
        <w:rPr/>
        <w:t>2020</w:t>
      </w:r>
      <w:r>
        <w:rPr>
          <w:spacing w:val="-23"/>
        </w:rPr>
        <w:t> 年， </w:t>
      </w:r>
      <w:r>
        <w:rPr>
          <w:spacing w:val="-8"/>
        </w:rPr>
        <w:t>建成以新天地商贸综合体为中心的商务区，建成花盐街古城文化</w:t>
      </w:r>
      <w:r>
        <w:rPr>
          <w:spacing w:val="-1"/>
        </w:rPr>
        <w:t>街、桥滩休闲美食街、中心路建材装饰城。</w:t>
      </w:r>
    </w:p>
    <w:p>
      <w:pPr>
        <w:spacing w:before="90"/>
        <w:ind w:left="1159" w:right="1314" w:firstLine="0"/>
        <w:jc w:val="center"/>
        <w:rPr>
          <w:sz w:val="28"/>
        </w:rPr>
      </w:pPr>
      <w:r>
        <w:rPr/>
        <w:pict>
          <v:shape style="position:absolute;margin-left:76.560005pt;margin-top:27.091867pt;width:441pt;height:124pt;mso-position-horizontal-relative:page;mso-position-vertical-relative:paragraph;z-index:5752;mso-wrap-distance-left:0;mso-wrap-distance-right:0" type="#_x0000_t202" filled="false" stroked="true" strokeweight=".47998pt" strokecolor="#000000">
            <v:textbox inset="0,0,0,0">
              <w:txbxContent>
                <w:p>
                  <w:pPr>
                    <w:spacing w:line="350" w:lineRule="auto" w:before="88"/>
                    <w:ind w:left="103" w:right="65" w:firstLine="480"/>
                    <w:jc w:val="both"/>
                    <w:rPr>
                      <w:sz w:val="24"/>
                    </w:rPr>
                  </w:pPr>
                  <w:r>
                    <w:rPr>
                      <w:spacing w:val="-5"/>
                      <w:sz w:val="24"/>
                    </w:rPr>
                    <w:t>古镇开发、中国根书艺术馆二期三期、乐山市文化创意产业园、菩提山木鱼山基础设施建设、桫椤峡谷自然生态风景区、沫溪河生态观光度假区、远成文旅城、</w:t>
                  </w:r>
                  <w:r>
                    <w:rPr>
                      <w:spacing w:val="-8"/>
                      <w:sz w:val="24"/>
                    </w:rPr>
                    <w:t>远成物流园区、和邦农业电商项目、建材装饰城、杨柳金山牛华桥沟辉山农贸市场</w:t>
                  </w:r>
                  <w:r>
                    <w:rPr>
                      <w:spacing w:val="-9"/>
                      <w:sz w:val="24"/>
                    </w:rPr>
                    <w:t>改扩建、精细盐磷化工循环产业物流园、新建星级酒店、电子商务基地、牛华城市商贸综合体、西坝农副产品加工物流园区等。</w:t>
                  </w:r>
                </w:p>
              </w:txbxContent>
            </v:textbox>
            <v:stroke dashstyle="solid"/>
            <w10:wrap type="topAndBottom"/>
          </v:shape>
        </w:pict>
      </w:r>
      <w:r>
        <w:rPr>
          <w:w w:val="95"/>
          <w:sz w:val="28"/>
        </w:rPr>
        <w:t>专栏：服务业重点项目</w:t>
      </w:r>
    </w:p>
    <w:p>
      <w:pPr>
        <w:spacing w:after="0"/>
        <w:jc w:val="center"/>
        <w:rPr>
          <w:sz w:val="28"/>
        </w:rPr>
        <w:sectPr>
          <w:pgSz w:w="11910" w:h="16840"/>
          <w:pgMar w:header="0" w:footer="998" w:top="1560" w:bottom="1180" w:left="1420" w:right="1260"/>
        </w:sectPr>
      </w:pPr>
    </w:p>
    <w:p>
      <w:pPr>
        <w:pStyle w:val="Heading2"/>
        <w:spacing w:line="431" w:lineRule="exact"/>
        <w:ind w:left="737"/>
        <w:jc w:val="left"/>
      </w:pPr>
      <w:r>
        <w:rPr/>
        <w:t>第十章 全面推进城市升级 构建山水园林新港城</w:t>
      </w:r>
    </w:p>
    <w:p>
      <w:pPr>
        <w:pStyle w:val="BodyText"/>
        <w:spacing w:line="343" w:lineRule="auto" w:before="175"/>
        <w:ind w:right="264" w:firstLine="645"/>
        <w:jc w:val="both"/>
      </w:pPr>
      <w:r>
        <w:rPr>
          <w:spacing w:val="-12"/>
        </w:rPr>
        <w:t>按照框定总量、限定容量、盘活存量、做优增量、提高质量的原则，主动融入乐山“双百”大城市建设，坚持建设新城、改造旧城、打造古城“三城”同建，着力提高城市发展持续性、宜</w:t>
      </w:r>
      <w:r>
        <w:rPr>
          <w:spacing w:val="-34"/>
        </w:rPr>
        <w:t>居性。到 </w:t>
      </w:r>
      <w:r>
        <w:rPr/>
        <w:t>2020</w:t>
      </w:r>
      <w:r>
        <w:rPr>
          <w:spacing w:val="-19"/>
        </w:rPr>
        <w:t> 年建成区面积达到 </w:t>
      </w:r>
      <w:r>
        <w:rPr/>
        <w:t>21.8</w:t>
      </w:r>
      <w:r>
        <w:rPr>
          <w:spacing w:val="-15"/>
        </w:rPr>
        <w:t> 平方公里，城镇化率达到60%，</w:t>
      </w:r>
      <w:r>
        <w:rPr>
          <w:spacing w:val="-23"/>
        </w:rPr>
        <w:t>建成区绿地覆盖率达到 </w:t>
      </w:r>
      <w:r>
        <w:rPr/>
        <w:t>37%以上。</w:t>
      </w:r>
    </w:p>
    <w:p>
      <w:pPr>
        <w:pStyle w:val="BodyText"/>
        <w:ind w:left="0"/>
      </w:pPr>
    </w:p>
    <w:p>
      <w:pPr>
        <w:pStyle w:val="BodyText"/>
        <w:tabs>
          <w:tab w:pos="1279" w:val="left" w:leader="none"/>
        </w:tabs>
        <w:spacing w:before="224"/>
        <w:ind w:left="0" w:right="156"/>
        <w:jc w:val="center"/>
        <w:rPr>
          <w:rFonts w:ascii="黑体" w:eastAsia="黑体" w:hint="eastAsia"/>
        </w:rPr>
      </w:pPr>
      <w:r>
        <w:rPr>
          <w:rFonts w:ascii="黑体" w:eastAsia="黑体" w:hint="eastAsia"/>
        </w:rPr>
        <w:t>第一节</w:t>
        <w:tab/>
      </w:r>
      <w:r>
        <w:rPr>
          <w:rFonts w:ascii="黑体" w:eastAsia="黑体" w:hint="eastAsia"/>
          <w:spacing w:val="-1"/>
        </w:rPr>
        <w:t>构建现代化城镇体系</w:t>
      </w:r>
    </w:p>
    <w:p>
      <w:pPr>
        <w:pStyle w:val="BodyText"/>
        <w:spacing w:line="343" w:lineRule="auto" w:before="181"/>
        <w:ind w:right="134" w:firstLine="645"/>
      </w:pPr>
      <w:r>
        <w:rPr/>
        <w:t>以竹根滩中心城区为核心，以临港新城冠英片区为重点，以古镇开发为突破，构建完善的城市空间布局和现代化临港新城。</w:t>
      </w:r>
    </w:p>
    <w:p>
      <w:pPr>
        <w:pStyle w:val="BodyText"/>
        <w:spacing w:line="343" w:lineRule="auto" w:before="43"/>
        <w:ind w:right="139" w:firstLine="645"/>
      </w:pPr>
      <w:r>
        <w:rPr>
          <w:spacing w:val="-9"/>
        </w:rPr>
        <w:t>——加快建设临港新城。以三江临港经济开发区、临空经济</w:t>
      </w:r>
      <w:r>
        <w:rPr>
          <w:spacing w:val="-12"/>
        </w:rPr>
        <w:t>区、综合保税区、乐山港为依托，初步建成产-港-城互动发展的</w:t>
      </w:r>
      <w:r>
        <w:rPr>
          <w:spacing w:val="-14"/>
        </w:rPr>
        <w:t>新型城市，创建乐山市高新产城融合示范区。集聚发展产业化支撑项目，建成汽车产业园、远成综合物流基地、盛和稀土矿综合</w:t>
      </w:r>
      <w:r>
        <w:rPr>
          <w:spacing w:val="-15"/>
        </w:rPr>
        <w:t>利用研发中心、东川现代农业装备、和邦碳纤维等项目。建设冠</w:t>
      </w:r>
      <w:r>
        <w:rPr>
          <w:spacing w:val="-13"/>
        </w:rPr>
        <w:t>英新城，建成开发区回迁房、生态河生态湖、中心医院、北大多</w:t>
      </w:r>
      <w:r>
        <w:rPr>
          <w:spacing w:val="-7"/>
        </w:rPr>
        <w:t>元教育实验学校</w:t>
      </w:r>
      <w:r>
        <w:rPr>
          <w:spacing w:val="-1"/>
        </w:rPr>
        <w:t>（乐山</w:t>
      </w:r>
      <w:r>
        <w:rPr>
          <w:spacing w:val="-100"/>
        </w:rPr>
        <w:t>）</w:t>
      </w:r>
      <w:r>
        <w:rPr>
          <w:spacing w:val="-13"/>
        </w:rPr>
        <w:t>，推进临港新城商业综合体、滨海小区、</w:t>
      </w:r>
      <w:r>
        <w:rPr>
          <w:spacing w:val="-1"/>
        </w:rPr>
        <w:t>临港第一幼儿园、临港一小、临港一中等项目建设。</w:t>
      </w:r>
    </w:p>
    <w:p>
      <w:pPr>
        <w:pStyle w:val="BodyText"/>
        <w:spacing w:line="343" w:lineRule="auto" w:before="43"/>
        <w:ind w:right="106" w:firstLine="645"/>
      </w:pPr>
      <w:r>
        <w:rPr>
          <w:spacing w:val="-9"/>
        </w:rPr>
        <w:t>——改造提升旧城。以中心城区现状为基础，继续实施“北</w:t>
      </w:r>
      <w:r>
        <w:rPr>
          <w:spacing w:val="-18"/>
        </w:rPr>
        <w:t>接南限东启西扩”，主动融入乐山中心城市建设。完成发展大厦、麻</w:t>
      </w:r>
      <w:r>
        <w:rPr>
          <w:spacing w:val="-160"/>
        </w:rPr>
        <w:t> </w:t>
      </w:r>
      <w:r>
        <w:rPr>
          <w:spacing w:val="-2"/>
          <w:w w:val="100"/>
        </w:rPr>
        <w:drawing>
          <wp:inline distT="0" distB="0" distL="0" distR="0">
            <wp:extent cx="182803" cy="179831"/>
            <wp:effectExtent l="0" t="0" r="0" b="0"/>
            <wp:docPr id="17" name="image9.png" descr=""/>
            <wp:cNvGraphicFramePr>
              <a:graphicFrameLocks noChangeAspect="1"/>
            </wp:cNvGraphicFramePr>
            <a:graphic>
              <a:graphicData uri="http://schemas.openxmlformats.org/drawingml/2006/picture">
                <pic:pic>
                  <pic:nvPicPr>
                    <pic:cNvPr id="18" name="image9.png"/>
                    <pic:cNvPicPr/>
                  </pic:nvPicPr>
                  <pic:blipFill>
                    <a:blip r:embed="rId18" cstate="print"/>
                    <a:stretch>
                      <a:fillRect/>
                    </a:stretch>
                  </pic:blipFill>
                  <pic:spPr>
                    <a:xfrm>
                      <a:off x="0" y="0"/>
                      <a:ext cx="182803" cy="179831"/>
                    </a:xfrm>
                    <a:prstGeom prst="rect">
                      <a:avLst/>
                    </a:prstGeom>
                  </pic:spPr>
                </pic:pic>
              </a:graphicData>
            </a:graphic>
          </wp:inline>
        </w:drawing>
      </w:r>
      <w:r>
        <w:rPr>
          <w:spacing w:val="-2"/>
          <w:w w:val="100"/>
        </w:rPr>
      </w:r>
      <w:r>
        <w:rPr>
          <w:spacing w:val="-27"/>
        </w:rPr>
        <w:t>、</w:t>
      </w:r>
      <w:r>
        <w:rPr/>
        <w:t>王爷庙片区等旧城改造</w:t>
      </w:r>
      <w:r>
        <w:rPr>
          <w:spacing w:val="-27"/>
        </w:rPr>
        <w:t>，</w:t>
      </w:r>
      <w:r>
        <w:rPr/>
        <w:t>提升城市形象</w:t>
      </w:r>
      <w:r>
        <w:rPr>
          <w:spacing w:val="-28"/>
        </w:rPr>
        <w:t>。</w:t>
      </w:r>
      <w:r>
        <w:rPr/>
        <w:t>适时启动四望  </w:t>
      </w:r>
      <w:r>
        <w:rPr>
          <w:spacing w:val="-12"/>
        </w:rPr>
        <w:t>关、瓦窑沱旧城改造。建成小西湖艺术村及湿地公园</w:t>
      </w:r>
      <w:r>
        <w:rPr/>
        <w:t>（乐山文化</w:t>
      </w:r>
      <w:r>
        <w:rPr>
          <w:spacing w:val="-1"/>
        </w:rPr>
        <w:t>创意产业园</w:t>
      </w:r>
      <w:r>
        <w:rPr>
          <w:spacing w:val="-162"/>
        </w:rPr>
        <w:t>）</w:t>
      </w:r>
      <w:r>
        <w:rPr>
          <w:spacing w:val="-1"/>
        </w:rPr>
        <w:t>。实施菩提山、木鱼山公园改造，建设城市绿心。</w:t>
      </w:r>
    </w:p>
    <w:p>
      <w:pPr>
        <w:spacing w:after="0" w:line="343" w:lineRule="auto"/>
        <w:sectPr>
          <w:pgSz w:w="11910" w:h="16840"/>
          <w:pgMar w:header="0" w:footer="998" w:top="1540" w:bottom="1180" w:left="1420" w:right="1260"/>
        </w:sectPr>
      </w:pPr>
    </w:p>
    <w:p>
      <w:pPr>
        <w:pStyle w:val="BodyText"/>
        <w:spacing w:line="405" w:lineRule="exact"/>
        <w:ind w:firstLine="639"/>
        <w:jc w:val="both"/>
      </w:pPr>
      <w:r>
        <w:rPr/>
        <w:t>——打造五通桥古城。依托五通桥千年盐文化历史，围绕五</w:t>
      </w:r>
    </w:p>
    <w:p>
      <w:pPr>
        <w:pStyle w:val="BodyText"/>
        <w:spacing w:line="343" w:lineRule="auto" w:before="181"/>
        <w:ind w:right="109"/>
      </w:pPr>
      <w:r>
        <w:rPr>
          <w:spacing w:val="-11"/>
        </w:rPr>
        <w:t>通桥古镇开发，推进核心景区打造与周边景观提升改造，建设牌</w:t>
      </w:r>
      <w:r>
        <w:rPr>
          <w:spacing w:val="-1"/>
        </w:rPr>
        <w:t>坊、彩虹廊桥、游客服务中心、停车场、游船码头、群力老街。</w:t>
      </w:r>
      <w:r>
        <w:rPr>
          <w:spacing w:val="-9"/>
        </w:rPr>
        <w:t>整治茫溪河滨水景观大道、锁龙巷景观。配套完善旅游景区基础</w:t>
      </w:r>
      <w:r>
        <w:rPr>
          <w:spacing w:val="-12"/>
        </w:rPr>
        <w:t>要素，开发锁龙巷、庙儿沟片区，建设集旅游、休闲、度假为一</w:t>
      </w:r>
      <w:r>
        <w:rPr>
          <w:spacing w:val="-1"/>
        </w:rPr>
        <w:t>体的天府假日小镇。</w:t>
      </w:r>
    </w:p>
    <w:p>
      <w:pPr>
        <w:pStyle w:val="BodyText"/>
        <w:ind w:left="0"/>
      </w:pPr>
    </w:p>
    <w:p>
      <w:pPr>
        <w:pStyle w:val="BodyText"/>
        <w:tabs>
          <w:tab w:pos="3572" w:val="left" w:leader="none"/>
        </w:tabs>
        <w:spacing w:before="224"/>
        <w:ind w:left="2292"/>
        <w:rPr>
          <w:rFonts w:ascii="黑体" w:eastAsia="黑体" w:hint="eastAsia"/>
        </w:rPr>
      </w:pPr>
      <w:r>
        <w:rPr>
          <w:rFonts w:ascii="黑体" w:eastAsia="黑体" w:hint="eastAsia"/>
        </w:rPr>
        <w:t>第二节</w:t>
        <w:tab/>
      </w:r>
      <w:r>
        <w:rPr>
          <w:rFonts w:ascii="黑体" w:eastAsia="黑体" w:hint="eastAsia"/>
          <w:spacing w:val="-1"/>
        </w:rPr>
        <w:t>提升城市综合承载能力</w:t>
      </w:r>
    </w:p>
    <w:p>
      <w:pPr>
        <w:pStyle w:val="BodyText"/>
        <w:spacing w:line="343" w:lineRule="auto" w:before="180"/>
        <w:ind w:right="219" w:firstLine="639"/>
        <w:jc w:val="both"/>
      </w:pPr>
      <w:r>
        <w:rPr>
          <w:spacing w:val="6"/>
        </w:rPr>
        <w:t>加快城市基础设施和公共服务体系建设，着力完善城镇功</w:t>
      </w:r>
      <w:r>
        <w:rPr>
          <w:spacing w:val="-12"/>
        </w:rPr>
        <w:t>能，建设宜居、宜业、宜商，经济优质、环境优美、生活优越的</w:t>
      </w:r>
      <w:r>
        <w:rPr>
          <w:spacing w:val="-1"/>
        </w:rPr>
        <w:t>美丽水乡小西湖。</w:t>
      </w:r>
    </w:p>
    <w:p>
      <w:pPr>
        <w:pStyle w:val="BodyText"/>
        <w:spacing w:line="343" w:lineRule="auto" w:before="43"/>
        <w:ind w:right="224" w:firstLine="639"/>
        <w:jc w:val="both"/>
      </w:pPr>
      <w:r>
        <w:rPr>
          <w:spacing w:val="-10"/>
        </w:rPr>
        <w:t>推进城市骨架网络。建成五通大道、体育场路、新华路；打</w:t>
      </w:r>
      <w:r>
        <w:rPr>
          <w:spacing w:val="-12"/>
        </w:rPr>
        <w:t>通中心路、幸福路、通江一路；改造劳动街、新生街等道路，构</w:t>
      </w:r>
      <w:r>
        <w:rPr>
          <w:spacing w:val="-9"/>
        </w:rPr>
        <w:t>建完整闭合的城市道路网络。实施岷江大桥加宽改造。建成临港</w:t>
      </w:r>
      <w:r>
        <w:rPr>
          <w:spacing w:val="-10"/>
        </w:rPr>
        <w:t>新城高港大道、玉津路、港北三路、港北四路、港北六路、嘉港</w:t>
      </w:r>
      <w:r>
        <w:rPr>
          <w:spacing w:val="-1"/>
        </w:rPr>
        <w:t>路、机场路、沿江路等干道。</w:t>
      </w:r>
    </w:p>
    <w:p>
      <w:pPr>
        <w:pStyle w:val="BodyText"/>
        <w:spacing w:line="343" w:lineRule="auto" w:before="43"/>
        <w:ind w:right="189" w:firstLine="639"/>
        <w:jc w:val="both"/>
      </w:pPr>
      <w:r>
        <w:rPr>
          <w:spacing w:val="-9"/>
        </w:rPr>
        <w:t>加强城市基础设施建设。扩建污水处理一分厂，确保污水处</w:t>
      </w:r>
      <w:r>
        <w:rPr>
          <w:spacing w:val="-36"/>
        </w:rPr>
        <w:t>理率 </w:t>
      </w:r>
      <w:r>
        <w:rPr/>
        <w:t>95%</w:t>
      </w:r>
      <w:r>
        <w:rPr>
          <w:spacing w:val="-6"/>
        </w:rPr>
        <w:t>以上；加快排水工程和污水处理设施建设和运行，城镇</w:t>
      </w:r>
      <w:r>
        <w:rPr>
          <w:spacing w:val="-13"/>
        </w:rPr>
        <w:t>排水排污管网覆盖率达到 </w:t>
      </w:r>
      <w:r>
        <w:rPr/>
        <w:t>98%</w:t>
      </w:r>
      <w:r>
        <w:rPr>
          <w:spacing w:val="-7"/>
        </w:rPr>
        <w:t>以上；加快城区电网改造，大力实</w:t>
      </w:r>
      <w:r>
        <w:rPr>
          <w:spacing w:val="-13"/>
        </w:rPr>
        <w:t>施夜景灯光工程和亮化工程，确保亮灯率 </w:t>
      </w:r>
      <w:r>
        <w:rPr/>
        <w:t>95</w:t>
      </w:r>
      <w:r>
        <w:rPr>
          <w:spacing w:val="-4"/>
        </w:rPr>
        <w:t>%以上；加强市政设</w:t>
      </w:r>
      <w:r>
        <w:rPr>
          <w:spacing w:val="-10"/>
        </w:rPr>
        <w:t>施维护和管理，确保市政设施完好率 </w:t>
      </w:r>
      <w:r>
        <w:rPr/>
        <w:t>90%以上；在四望关广场、</w:t>
      </w:r>
      <w:r>
        <w:rPr>
          <w:spacing w:val="-1"/>
        </w:rPr>
        <w:t>文创产业园、古镇等建设停车场。</w:t>
      </w:r>
    </w:p>
    <w:p>
      <w:pPr>
        <w:pStyle w:val="BodyText"/>
        <w:spacing w:before="43"/>
        <w:ind w:left="750"/>
      </w:pPr>
      <w:r>
        <w:rPr/>
        <w:t>推进城市管理转型升级。树立城市品牌理念，对城市建筑公</w:t>
      </w:r>
    </w:p>
    <w:p>
      <w:pPr>
        <w:spacing w:after="0"/>
        <w:sectPr>
          <w:pgSz w:w="11910" w:h="16840"/>
          <w:pgMar w:header="0" w:footer="998" w:top="1560" w:bottom="1180" w:left="1420" w:right="1300"/>
        </w:sectPr>
      </w:pPr>
    </w:p>
    <w:p>
      <w:pPr>
        <w:pStyle w:val="BodyText"/>
        <w:spacing w:line="405" w:lineRule="exact"/>
      </w:pPr>
      <w:r>
        <w:rPr/>
        <w:t>共空间实行人性化设计和生态化改造，建立健全城市建设管理长</w:t>
      </w:r>
    </w:p>
    <w:p>
      <w:pPr>
        <w:pStyle w:val="BodyText"/>
        <w:spacing w:before="181"/>
      </w:pPr>
      <w:r>
        <w:rPr/>
        <w:t>效机制，构建生态宜居的城市环境，提升城市形象。</w:t>
      </w:r>
    </w:p>
    <w:p>
      <w:pPr>
        <w:pStyle w:val="BodyText"/>
        <w:ind w:left="0"/>
      </w:pPr>
    </w:p>
    <w:p>
      <w:pPr>
        <w:pStyle w:val="BodyText"/>
        <w:spacing w:before="8"/>
        <w:ind w:left="0"/>
        <w:rPr>
          <w:sz w:val="27"/>
        </w:rPr>
      </w:pPr>
    </w:p>
    <w:p>
      <w:pPr>
        <w:pStyle w:val="BodyText"/>
        <w:tabs>
          <w:tab w:pos="4052" w:val="left" w:leader="none"/>
        </w:tabs>
        <w:spacing w:before="1"/>
        <w:ind w:left="2772"/>
        <w:rPr>
          <w:rFonts w:ascii="黑体" w:eastAsia="黑体" w:hint="eastAsia"/>
        </w:rPr>
      </w:pPr>
      <w:r>
        <w:rPr>
          <w:rFonts w:ascii="黑体" w:eastAsia="黑体" w:hint="eastAsia"/>
        </w:rPr>
        <w:t>第三节</w:t>
        <w:tab/>
      </w:r>
      <w:r>
        <w:rPr>
          <w:rFonts w:ascii="黑体" w:eastAsia="黑体" w:hint="eastAsia"/>
          <w:spacing w:val="-1"/>
        </w:rPr>
        <w:t>推进新型城镇化</w:t>
      </w:r>
    </w:p>
    <w:p>
      <w:pPr>
        <w:pStyle w:val="BodyText"/>
        <w:spacing w:line="343" w:lineRule="auto" w:before="181"/>
        <w:ind w:right="204" w:firstLine="639"/>
      </w:pPr>
      <w:r>
        <w:rPr>
          <w:spacing w:val="-12"/>
        </w:rPr>
        <w:t>统筹城乡发展，加大对中心镇、特色镇建设的支持力度，整</w:t>
      </w:r>
      <w:r>
        <w:rPr>
          <w:spacing w:val="-1"/>
        </w:rPr>
        <w:t>体提高城镇建设发展水平。</w:t>
      </w:r>
    </w:p>
    <w:p>
      <w:pPr>
        <w:pStyle w:val="BodyText"/>
        <w:spacing w:line="343" w:lineRule="auto" w:before="43"/>
        <w:ind w:right="150" w:firstLine="639"/>
      </w:pPr>
      <w:r>
        <w:rPr>
          <w:spacing w:val="-1"/>
        </w:rPr>
        <w:t>建设重点城镇。以强化基础、完善功能、彰显特色为目标， </w:t>
      </w:r>
      <w:r>
        <w:rPr>
          <w:spacing w:val="-10"/>
        </w:rPr>
        <w:t>实施镇村建设。加快金山、西坝全国重点镇建设，推进牛华、金</w:t>
      </w:r>
      <w:r>
        <w:rPr>
          <w:spacing w:val="-12"/>
        </w:rPr>
        <w:t>粟、石麟、桥沟等重点城镇道路、供电、供排水、通讯等基础设</w:t>
      </w:r>
      <w:r>
        <w:rPr>
          <w:spacing w:val="-14"/>
        </w:rPr>
        <w:t>施建设。以点带面，加强村镇建设，突出抓好镇区道路硬化、给</w:t>
      </w:r>
      <w:r>
        <w:rPr>
          <w:spacing w:val="-13"/>
        </w:rPr>
        <w:t>排水、污水垃圾处理、供气及绿化亮化等配套设施建设，提高城</w:t>
      </w:r>
      <w:r>
        <w:rPr>
          <w:spacing w:val="-1"/>
        </w:rPr>
        <w:t>镇运行保障能力。</w:t>
      </w:r>
    </w:p>
    <w:p>
      <w:pPr>
        <w:pStyle w:val="BodyText"/>
        <w:spacing w:line="343" w:lineRule="auto" w:before="43"/>
        <w:ind w:right="107" w:firstLine="639"/>
      </w:pPr>
      <w:r>
        <w:rPr/>
        <w:t>推进农村人口向城镇转移。有步骤地建立城乡一体的户籍、</w:t>
      </w:r>
      <w:r>
        <w:rPr>
          <w:spacing w:val="-19"/>
        </w:rPr>
        <w:t>医疗、社保、就业、住房等制度，消除农民市民化的体制性障碍， </w:t>
      </w:r>
      <w:r>
        <w:rPr>
          <w:spacing w:val="-18"/>
        </w:rPr>
        <w:t>引导农业人口向城区、重点镇集聚，带动农村富余劳动力就地转</w:t>
      </w:r>
      <w:r>
        <w:rPr>
          <w:spacing w:val="-15"/>
          <w:w w:val="100"/>
        </w:rPr>
        <w:t>移，“十三五”期间新增城镇人口</w:t>
      </w:r>
      <w:r>
        <w:rPr>
          <w:spacing w:val="-80"/>
        </w:rPr>
        <w:t> </w:t>
      </w:r>
      <w:r>
        <w:rPr>
          <w:spacing w:val="-1"/>
          <w:w w:val="100"/>
        </w:rPr>
        <w:t>2.</w:t>
      </w:r>
      <w:r>
        <w:rPr>
          <w:w w:val="100"/>
        </w:rPr>
        <w:t>5</w:t>
      </w:r>
      <w:r>
        <w:rPr>
          <w:spacing w:val="-81"/>
        </w:rPr>
        <w:t> </w:t>
      </w:r>
      <w:r>
        <w:rPr>
          <w:spacing w:val="-1"/>
          <w:w w:val="100"/>
        </w:rPr>
        <w:t>万人。</w:t>
      </w:r>
    </w:p>
    <w:p>
      <w:pPr>
        <w:spacing w:before="90"/>
        <w:ind w:left="2712" w:right="0" w:firstLine="0"/>
        <w:jc w:val="left"/>
        <w:rPr>
          <w:sz w:val="28"/>
        </w:rPr>
      </w:pPr>
      <w:r>
        <w:rPr>
          <w:w w:val="95"/>
          <w:sz w:val="28"/>
        </w:rPr>
        <w:t>专栏：城镇基础设施重点项目</w:t>
      </w:r>
    </w:p>
    <w:p>
      <w:pPr>
        <w:pStyle w:val="BodyText"/>
        <w:spacing w:before="1"/>
        <w:ind w:left="0"/>
        <w:rPr>
          <w:sz w:val="26"/>
        </w:rPr>
      </w:pPr>
      <w:r>
        <w:rPr/>
        <w:pict>
          <v:shape style="position:absolute;margin-left:76.560005pt;margin-top:19.279230pt;width:441pt;height:169.4pt;mso-position-horizontal-relative:page;mso-position-vertical-relative:paragraph;z-index:5776;mso-wrap-distance-left:0;mso-wrap-distance-right:0" type="#_x0000_t202" filled="false" stroked="true" strokeweight=".47998pt" strokecolor="#000000">
            <v:textbox inset="0,0,0,0">
              <w:txbxContent>
                <w:p>
                  <w:pPr>
                    <w:spacing w:line="350" w:lineRule="auto" w:before="88"/>
                    <w:ind w:left="103" w:right="-36" w:firstLine="480"/>
                    <w:jc w:val="left"/>
                    <w:rPr>
                      <w:sz w:val="24"/>
                    </w:rPr>
                  </w:pPr>
                  <w:r>
                    <w:rPr>
                      <w:sz w:val="24"/>
                    </w:rPr>
                    <w:t>王爷庙棚改</w:t>
                  </w:r>
                  <w:r>
                    <w:rPr>
                      <w:spacing w:val="-28"/>
                      <w:sz w:val="24"/>
                    </w:rPr>
                    <w:t>、</w:t>
                  </w:r>
                  <w:r>
                    <w:rPr>
                      <w:sz w:val="24"/>
                    </w:rPr>
                    <w:t>麻</w:t>
                  </w:r>
                  <w:r>
                    <w:rPr>
                      <w:spacing w:val="0"/>
                      <w:sz w:val="24"/>
                    </w:rPr>
                    <w:drawing>
                      <wp:inline distT="0" distB="0" distL="0" distR="0">
                        <wp:extent cx="140309" cy="134112"/>
                        <wp:effectExtent l="0" t="0" r="0" b="0"/>
                        <wp:docPr id="19" name="image10.png" descr=""/>
                        <wp:cNvGraphicFramePr>
                          <a:graphicFrameLocks noChangeAspect="1"/>
                        </wp:cNvGraphicFramePr>
                        <a:graphic>
                          <a:graphicData uri="http://schemas.openxmlformats.org/drawingml/2006/picture">
                            <pic:pic>
                              <pic:nvPicPr>
                                <pic:cNvPr id="20" name="image10.png"/>
                                <pic:cNvPicPr/>
                              </pic:nvPicPr>
                              <pic:blipFill>
                                <a:blip r:embed="rId19" cstate="print"/>
                                <a:stretch>
                                  <a:fillRect/>
                                </a:stretch>
                              </pic:blipFill>
                              <pic:spPr>
                                <a:xfrm>
                                  <a:off x="0" y="0"/>
                                  <a:ext cx="140309" cy="134112"/>
                                </a:xfrm>
                                <a:prstGeom prst="rect">
                                  <a:avLst/>
                                </a:prstGeom>
                              </pic:spPr>
                            </pic:pic>
                          </a:graphicData>
                        </a:graphic>
                      </wp:inline>
                    </w:drawing>
                  </w:r>
                  <w:r>
                    <w:rPr>
                      <w:spacing w:val="0"/>
                      <w:sz w:val="24"/>
                    </w:rPr>
                  </w:r>
                  <w:r>
                    <w:rPr>
                      <w:sz w:val="24"/>
                    </w:rPr>
                    <w:t>棚改</w:t>
                  </w:r>
                  <w:r>
                    <w:rPr>
                      <w:spacing w:val="-28"/>
                      <w:sz w:val="24"/>
                    </w:rPr>
                    <w:t>、</w:t>
                  </w:r>
                  <w:r>
                    <w:rPr>
                      <w:sz w:val="24"/>
                    </w:rPr>
                    <w:t>东风厂棚改</w:t>
                  </w:r>
                  <w:r>
                    <w:rPr>
                      <w:spacing w:val="-28"/>
                      <w:sz w:val="24"/>
                    </w:rPr>
                    <w:t>、</w:t>
                  </w:r>
                  <w:r>
                    <w:rPr>
                      <w:sz w:val="24"/>
                    </w:rPr>
                    <w:t>西坝供销社片区棚改</w:t>
                  </w:r>
                  <w:r>
                    <w:rPr>
                      <w:spacing w:val="-28"/>
                      <w:sz w:val="24"/>
                    </w:rPr>
                    <w:t>、</w:t>
                  </w:r>
                  <w:r>
                    <w:rPr>
                      <w:sz w:val="24"/>
                    </w:rPr>
                    <w:t>置恒</w:t>
                  </w:r>
                  <w:r>
                    <w:rPr>
                      <w:spacing w:val="-27"/>
                      <w:sz w:val="24"/>
                    </w:rPr>
                    <w:t>·</w:t>
                  </w:r>
                  <w:r>
                    <w:rPr>
                      <w:sz w:val="24"/>
                    </w:rPr>
                    <w:t>新天地、 魅</w:t>
                  </w:r>
                  <w:r>
                    <w:rPr>
                      <w:spacing w:val="-6"/>
                      <w:sz w:val="24"/>
                    </w:rPr>
                    <w:t>力港城，五通大道、顺江路、牛华镇纬六路、新生街建设、消防通道建设</w:t>
                  </w:r>
                  <w:r>
                    <w:rPr>
                      <w:sz w:val="24"/>
                    </w:rPr>
                    <w:t>（福利院门前和王爷庙地块中部</w:t>
                  </w:r>
                  <w:r>
                    <w:rPr>
                      <w:spacing w:val="-118"/>
                      <w:sz w:val="24"/>
                    </w:rPr>
                    <w:t>）</w:t>
                  </w:r>
                  <w:r>
                    <w:rPr>
                      <w:sz w:val="24"/>
                    </w:rPr>
                    <w:t>、牛华大道、新华路、幸福路、连接线加宽工程、中心路</w:t>
                  </w:r>
                  <w:r>
                    <w:rPr>
                      <w:spacing w:val="-4"/>
                      <w:sz w:val="24"/>
                    </w:rPr>
                    <w:t>北沿—乐宜连接线、竹根路北沿—乐宜连接线、岷江河堤北沿—乐宜连接线、高港大道、开发区回迁房、玉津路（中段及支线</w:t>
                  </w:r>
                  <w:r>
                    <w:rPr>
                      <w:spacing w:val="-118"/>
                      <w:sz w:val="24"/>
                    </w:rPr>
                    <w:t>）</w:t>
                  </w:r>
                  <w:r>
                    <w:rPr>
                      <w:spacing w:val="-3"/>
                      <w:sz w:val="24"/>
                    </w:rPr>
                    <w:t>、港北四路、港北三路、劝业路一期、</w:t>
                  </w:r>
                  <w:r>
                    <w:rPr>
                      <w:spacing w:val="-15"/>
                      <w:sz w:val="24"/>
                    </w:rPr>
                    <w:t>嘉港路、港南四路、港北七路、临港新城商业综合体、临港新城滨海小区 </w:t>
                  </w:r>
                  <w:r>
                    <w:rPr>
                      <w:sz w:val="24"/>
                    </w:rPr>
                    <w:t>1</w:t>
                  </w:r>
                  <w:r>
                    <w:rPr>
                      <w:spacing w:val="-36"/>
                      <w:sz w:val="24"/>
                    </w:rPr>
                    <w:t>、</w:t>
                  </w:r>
                  <w:r>
                    <w:rPr>
                      <w:sz w:val="24"/>
                    </w:rPr>
                    <w:t>2、</w:t>
                  </w:r>
                </w:p>
                <w:p>
                  <w:pPr>
                    <w:spacing w:before="35"/>
                    <w:ind w:left="103" w:right="0" w:firstLine="0"/>
                    <w:jc w:val="left"/>
                    <w:rPr>
                      <w:sz w:val="24"/>
                    </w:rPr>
                  </w:pPr>
                  <w:r>
                    <w:rPr>
                      <w:sz w:val="24"/>
                    </w:rPr>
                    <w:t>3 号项目、文化设施 2 号等。</w:t>
                  </w:r>
                </w:p>
              </w:txbxContent>
            </v:textbox>
            <v:stroke dashstyle="solid"/>
            <w10:wrap type="topAndBottom"/>
          </v:shape>
        </w:pict>
      </w:r>
    </w:p>
    <w:p>
      <w:pPr>
        <w:spacing w:after="0"/>
        <w:rPr>
          <w:sz w:val="26"/>
        </w:rPr>
        <w:sectPr>
          <w:pgSz w:w="11910" w:h="16840"/>
          <w:pgMar w:header="0" w:footer="998" w:top="1560" w:bottom="1180" w:left="1420" w:right="1260"/>
        </w:sectPr>
      </w:pPr>
    </w:p>
    <w:p>
      <w:pPr>
        <w:pStyle w:val="Heading2"/>
        <w:tabs>
          <w:tab w:pos="2463" w:val="left" w:leader="none"/>
        </w:tabs>
        <w:spacing w:line="431" w:lineRule="exact"/>
        <w:ind w:left="663"/>
        <w:jc w:val="left"/>
      </w:pPr>
      <w:r>
        <w:rPr/>
        <w:t>第十一章</w:t>
        <w:tab/>
        <w:t>加强基础设施建设 提升发展保障能力</w:t>
      </w:r>
    </w:p>
    <w:p>
      <w:pPr>
        <w:pStyle w:val="BodyText"/>
        <w:spacing w:line="343" w:lineRule="auto" w:before="175"/>
        <w:ind w:right="204" w:firstLine="639"/>
      </w:pPr>
      <w:r>
        <w:rPr>
          <w:spacing w:val="-13"/>
        </w:rPr>
        <w:t>大力发展交通、能源等基础设施，提高基础设施网络化和现</w:t>
      </w:r>
      <w:r>
        <w:rPr>
          <w:spacing w:val="-1"/>
        </w:rPr>
        <w:t>代化水平，增强基础设施对经济社会发展的保障能力。</w:t>
      </w:r>
    </w:p>
    <w:p>
      <w:pPr>
        <w:pStyle w:val="BodyText"/>
        <w:ind w:left="0"/>
      </w:pPr>
    </w:p>
    <w:p>
      <w:pPr>
        <w:pStyle w:val="BodyText"/>
        <w:tabs>
          <w:tab w:pos="1279" w:val="left" w:leader="none"/>
        </w:tabs>
        <w:spacing w:before="224"/>
        <w:ind w:left="0" w:right="155"/>
        <w:jc w:val="center"/>
        <w:rPr>
          <w:rFonts w:ascii="黑体" w:eastAsia="黑体" w:hint="eastAsia"/>
        </w:rPr>
      </w:pPr>
      <w:r>
        <w:rPr>
          <w:rFonts w:ascii="黑体" w:eastAsia="黑体" w:hint="eastAsia"/>
        </w:rPr>
        <w:t>第一节</w:t>
        <w:tab/>
      </w:r>
      <w:r>
        <w:rPr>
          <w:rFonts w:ascii="黑体" w:eastAsia="黑体" w:hint="eastAsia"/>
          <w:spacing w:val="-1"/>
        </w:rPr>
        <w:t>完善综合交通体系</w:t>
      </w:r>
    </w:p>
    <w:p>
      <w:pPr>
        <w:pStyle w:val="BodyText"/>
        <w:spacing w:line="343" w:lineRule="auto" w:before="181"/>
        <w:ind w:right="98" w:firstLine="639"/>
      </w:pPr>
      <w:r>
        <w:rPr/>
        <w:t>加快公路、铁路、水运、航空、港口等交通基础设施建设， </w:t>
      </w:r>
      <w:r>
        <w:rPr>
          <w:spacing w:val="-22"/>
        </w:rPr>
        <w:t>不断改善交通环境。到 </w:t>
      </w:r>
      <w:r>
        <w:rPr/>
        <w:t>2020</w:t>
      </w:r>
      <w:r>
        <w:rPr>
          <w:spacing w:val="-27"/>
        </w:rPr>
        <w:t> 年，全区公路总里程突破 </w:t>
      </w:r>
      <w:r>
        <w:rPr/>
        <w:t>1000</w:t>
      </w:r>
      <w:r>
        <w:rPr>
          <w:spacing w:val="-22"/>
        </w:rPr>
        <w:t> 公里。</w:t>
      </w:r>
    </w:p>
    <w:p>
      <w:pPr>
        <w:pStyle w:val="BodyText"/>
        <w:spacing w:line="343" w:lineRule="auto" w:before="43"/>
        <w:ind w:right="139" w:firstLine="639"/>
      </w:pPr>
      <w:r>
        <w:rPr>
          <w:spacing w:val="-8"/>
        </w:rPr>
        <w:t>公路。建成 </w:t>
      </w:r>
      <w:r>
        <w:rPr/>
        <w:t>G213/S104</w:t>
      </w:r>
      <w:r>
        <w:rPr>
          <w:spacing w:val="-7"/>
        </w:rPr>
        <w:t> 五通桥城区过境公路、</w:t>
      </w:r>
      <w:r>
        <w:rPr/>
        <w:t>G213</w:t>
      </w:r>
      <w:r>
        <w:rPr>
          <w:spacing w:val="-12"/>
        </w:rPr>
        <w:t> 线五通</w:t>
      </w:r>
      <w:r>
        <w:rPr>
          <w:spacing w:val="-19"/>
        </w:rPr>
        <w:t>桥至沐川联网公路，建设进港大道西坝延伸线、乐山机场连接线、</w:t>
      </w:r>
      <w:r>
        <w:rPr>
          <w:spacing w:val="-17"/>
        </w:rPr>
        <w:t>乐五货运通道等，新改扩建农村公路 </w:t>
      </w:r>
      <w:r>
        <w:rPr/>
        <w:t>130 条、新改扩建县乡道</w:t>
      </w:r>
    </w:p>
    <w:p>
      <w:pPr>
        <w:pStyle w:val="BodyText"/>
        <w:spacing w:line="343" w:lineRule="auto" w:before="43"/>
        <w:ind w:left="750" w:right="633" w:hanging="640"/>
      </w:pPr>
      <w:r>
        <w:rPr/>
        <w:t>11</w:t>
      </w:r>
      <w:r>
        <w:rPr>
          <w:spacing w:val="-11"/>
        </w:rPr>
        <w:t> 条，建成和邦一桥、二桥</w:t>
      </w:r>
      <w:r>
        <w:rPr/>
        <w:t>（汤家坝大桥和沙板滩大桥</w:t>
      </w:r>
      <w:r>
        <w:rPr>
          <w:spacing w:val="-161"/>
        </w:rPr>
        <w:t>）</w:t>
      </w:r>
      <w:r>
        <w:rPr/>
        <w:t>。</w:t>
      </w:r>
      <w:r>
        <w:rPr>
          <w:spacing w:val="-1"/>
        </w:rPr>
        <w:t>铁路。建成成贵铁路客运专线，开工建设连乐铁路。</w:t>
      </w:r>
    </w:p>
    <w:p>
      <w:pPr>
        <w:pStyle w:val="BodyText"/>
        <w:spacing w:line="343" w:lineRule="auto" w:before="43"/>
        <w:ind w:right="204" w:firstLine="639"/>
      </w:pPr>
      <w:r>
        <w:rPr>
          <w:spacing w:val="-13"/>
        </w:rPr>
        <w:t>港口。配合建设岷江航电老木孔、东风岩二个梯级电站综合</w:t>
      </w:r>
      <w:r>
        <w:rPr>
          <w:spacing w:val="-1"/>
        </w:rPr>
        <w:t>开发及乐山港一期。</w:t>
      </w:r>
    </w:p>
    <w:p>
      <w:pPr>
        <w:pStyle w:val="BodyText"/>
        <w:spacing w:line="343" w:lineRule="auto" w:before="43"/>
        <w:ind w:right="139" w:firstLine="639"/>
      </w:pPr>
      <w:r>
        <w:rPr>
          <w:spacing w:val="-11"/>
        </w:rPr>
        <w:t>航空。建设 </w:t>
      </w:r>
      <w:r>
        <w:rPr/>
        <w:t>4D</w:t>
      </w:r>
      <w:r>
        <w:rPr>
          <w:spacing w:val="-9"/>
        </w:rPr>
        <w:t> 军民共用机场—乐山机场，优化航班，开设</w:t>
      </w:r>
      <w:r>
        <w:rPr>
          <w:spacing w:val="-2"/>
        </w:rPr>
        <w:t>周边城市至机场直通车，扩大乐山机场的吸引力和辐射力。</w:t>
      </w:r>
    </w:p>
    <w:p>
      <w:pPr>
        <w:spacing w:after="0" w:line="343" w:lineRule="auto"/>
        <w:sectPr>
          <w:pgSz w:w="11910" w:h="16840"/>
          <w:pgMar w:header="0" w:footer="998" w:top="1540" w:bottom="1180" w:left="1420" w:right="1260"/>
        </w:sectPr>
      </w:pPr>
    </w:p>
    <w:p>
      <w:pPr>
        <w:pStyle w:val="BodyText"/>
        <w:ind w:left="471"/>
        <w:rPr>
          <w:sz w:val="20"/>
        </w:rPr>
      </w:pPr>
      <w:r>
        <w:rPr>
          <w:sz w:val="20"/>
        </w:rPr>
        <w:drawing>
          <wp:inline distT="0" distB="0" distL="0" distR="0">
            <wp:extent cx="5056815" cy="8217408"/>
            <wp:effectExtent l="0" t="0" r="0" b="0"/>
            <wp:docPr id="21" name="image11.jpeg" descr=""/>
            <wp:cNvGraphicFramePr>
              <a:graphicFrameLocks noChangeAspect="1"/>
            </wp:cNvGraphicFramePr>
            <a:graphic>
              <a:graphicData uri="http://schemas.openxmlformats.org/drawingml/2006/picture">
                <pic:pic>
                  <pic:nvPicPr>
                    <pic:cNvPr id="22" name="image11.jpeg"/>
                    <pic:cNvPicPr/>
                  </pic:nvPicPr>
                  <pic:blipFill>
                    <a:blip r:embed="rId20" cstate="print"/>
                    <a:stretch>
                      <a:fillRect/>
                    </a:stretch>
                  </pic:blipFill>
                  <pic:spPr>
                    <a:xfrm>
                      <a:off x="0" y="0"/>
                      <a:ext cx="5056815" cy="8217408"/>
                    </a:xfrm>
                    <a:prstGeom prst="rect">
                      <a:avLst/>
                    </a:prstGeom>
                  </pic:spPr>
                </pic:pic>
              </a:graphicData>
            </a:graphic>
          </wp:inline>
        </w:drawing>
      </w:r>
      <w:r>
        <w:rPr>
          <w:sz w:val="20"/>
        </w:rPr>
      </w:r>
    </w:p>
    <w:p>
      <w:pPr>
        <w:spacing w:after="0"/>
        <w:rPr>
          <w:sz w:val="20"/>
        </w:rPr>
        <w:sectPr>
          <w:pgSz w:w="11910" w:h="16840"/>
          <w:pgMar w:header="0" w:footer="998" w:top="1600" w:bottom="1120" w:left="1420" w:right="1680"/>
        </w:sectPr>
      </w:pPr>
    </w:p>
    <w:p>
      <w:pPr>
        <w:pStyle w:val="BodyText"/>
        <w:tabs>
          <w:tab w:pos="1279" w:val="left" w:leader="none"/>
        </w:tabs>
        <w:spacing w:line="405" w:lineRule="exact"/>
        <w:ind w:left="0" w:right="16"/>
        <w:jc w:val="center"/>
        <w:rPr>
          <w:rFonts w:ascii="黑体" w:eastAsia="黑体" w:hint="eastAsia"/>
        </w:rPr>
      </w:pPr>
      <w:r>
        <w:rPr>
          <w:rFonts w:ascii="黑体" w:eastAsia="黑体" w:hint="eastAsia"/>
        </w:rPr>
        <w:t>第二节</w:t>
        <w:tab/>
      </w:r>
      <w:r>
        <w:rPr>
          <w:rFonts w:ascii="黑体" w:eastAsia="黑体" w:hint="eastAsia"/>
          <w:spacing w:val="-1"/>
        </w:rPr>
        <w:t>构建现代能源保障体系</w:t>
      </w:r>
    </w:p>
    <w:p>
      <w:pPr>
        <w:pStyle w:val="BodyText"/>
        <w:spacing w:line="343" w:lineRule="auto" w:before="181"/>
        <w:ind w:left="411" w:right="341" w:firstLine="639"/>
      </w:pPr>
      <w:r>
        <w:rPr>
          <w:spacing w:val="-11"/>
        </w:rPr>
        <w:t>加快优化电网结构，加强煤炭、燃油、天然气输配送能力建</w:t>
      </w:r>
      <w:r>
        <w:rPr>
          <w:spacing w:val="-1"/>
        </w:rPr>
        <w:t>设，保障能源供给。</w:t>
      </w:r>
    </w:p>
    <w:p>
      <w:pPr>
        <w:pStyle w:val="BodyText"/>
        <w:spacing w:line="343" w:lineRule="auto" w:before="43"/>
        <w:ind w:left="411" w:right="341" w:firstLine="639"/>
      </w:pPr>
      <w:r>
        <w:rPr>
          <w:spacing w:val="-12"/>
        </w:rPr>
        <w:t>电网。优化配电系统网架结构，建设布局合理、安全优质高</w:t>
      </w:r>
      <w:r>
        <w:rPr>
          <w:spacing w:val="-10"/>
        </w:rPr>
        <w:t>效运行的配电网。建成塘叶 </w:t>
      </w:r>
      <w:r>
        <w:rPr/>
        <w:t>220 千伏变电站，新建老木孔电站</w:t>
      </w:r>
    </w:p>
    <w:p>
      <w:pPr>
        <w:pStyle w:val="BodyText"/>
        <w:spacing w:before="43"/>
        <w:ind w:left="411"/>
      </w:pPr>
      <w:r>
        <w:rPr/>
        <w:t>220 千伏送出线路和东风岩电站220 千伏送出工程，新建大兴110</w:t>
      </w:r>
    </w:p>
    <w:p>
      <w:pPr>
        <w:pStyle w:val="BodyText"/>
        <w:spacing w:before="181"/>
        <w:ind w:left="411"/>
      </w:pPr>
      <w:r>
        <w:rPr>
          <w:spacing w:val="-14"/>
        </w:rPr>
        <w:t>千伏输变电，新建大兴变电站 </w:t>
      </w:r>
      <w:r>
        <w:rPr/>
        <w:t>35</w:t>
      </w:r>
      <w:r>
        <w:rPr>
          <w:spacing w:val="-23"/>
        </w:rPr>
        <w:t> 千伏配套工程、新云 </w:t>
      </w:r>
      <w:r>
        <w:rPr/>
        <w:t>35</w:t>
      </w:r>
      <w:r>
        <w:rPr>
          <w:spacing w:val="-22"/>
        </w:rPr>
        <w:t> 千伏输</w:t>
      </w:r>
    </w:p>
    <w:p>
      <w:pPr>
        <w:pStyle w:val="BodyText"/>
        <w:spacing w:line="343" w:lineRule="auto" w:before="181"/>
        <w:ind w:left="411" w:right="341"/>
      </w:pPr>
      <w:r>
        <w:rPr>
          <w:spacing w:val="-22"/>
        </w:rPr>
        <w:t>变电、中坝 </w:t>
      </w:r>
      <w:r>
        <w:rPr/>
        <w:t>35</w:t>
      </w:r>
      <w:r>
        <w:rPr>
          <w:spacing w:val="-19"/>
        </w:rPr>
        <w:t> 千伏变电站扩建、辉山 </w:t>
      </w:r>
      <w:r>
        <w:rPr/>
        <w:t>35</w:t>
      </w:r>
      <w:r>
        <w:rPr>
          <w:spacing w:val="-13"/>
        </w:rPr>
        <w:t> 千伏输变电工程。加快</w:t>
      </w:r>
      <w:r>
        <w:rPr>
          <w:spacing w:val="-2"/>
        </w:rPr>
        <w:t>电网改造和优化，实施城网、农网改造升级工程。</w:t>
      </w:r>
    </w:p>
    <w:p>
      <w:pPr>
        <w:pStyle w:val="BodyText"/>
        <w:spacing w:before="43"/>
        <w:ind w:left="0" w:right="17"/>
        <w:jc w:val="center"/>
      </w:pPr>
      <w:r>
        <w:rPr/>
        <w:t>图 18 五通桥区十三五电网规划布局图</w:t>
      </w:r>
    </w:p>
    <w:p>
      <w:pPr>
        <w:pStyle w:val="BodyText"/>
        <w:spacing w:before="6"/>
        <w:ind w:left="0"/>
        <w:rPr>
          <w:sz w:val="9"/>
        </w:rPr>
      </w:pPr>
      <w:r>
        <w:rPr/>
        <w:drawing>
          <wp:anchor distT="0" distB="0" distL="0" distR="0" allowOverlap="1" layoutInCell="1" locked="0" behindDoc="0" simplePos="0" relativeHeight="5800">
            <wp:simplePos x="0" y="0"/>
            <wp:positionH relativeFrom="page">
              <wp:posOffset>774954</wp:posOffset>
            </wp:positionH>
            <wp:positionV relativeFrom="paragraph">
              <wp:posOffset>103690</wp:posOffset>
            </wp:positionV>
            <wp:extent cx="6006932" cy="4636008"/>
            <wp:effectExtent l="0" t="0" r="0" b="0"/>
            <wp:wrapTopAndBottom/>
            <wp:docPr id="23" name="image12.jpeg" descr=""/>
            <wp:cNvGraphicFramePr>
              <a:graphicFrameLocks noChangeAspect="1"/>
            </wp:cNvGraphicFramePr>
            <a:graphic>
              <a:graphicData uri="http://schemas.openxmlformats.org/drawingml/2006/picture">
                <pic:pic>
                  <pic:nvPicPr>
                    <pic:cNvPr id="24" name="image12.jpeg"/>
                    <pic:cNvPicPr/>
                  </pic:nvPicPr>
                  <pic:blipFill>
                    <a:blip r:embed="rId21" cstate="print"/>
                    <a:stretch>
                      <a:fillRect/>
                    </a:stretch>
                  </pic:blipFill>
                  <pic:spPr>
                    <a:xfrm>
                      <a:off x="0" y="0"/>
                      <a:ext cx="6006932" cy="4636008"/>
                    </a:xfrm>
                    <a:prstGeom prst="rect">
                      <a:avLst/>
                    </a:prstGeom>
                  </pic:spPr>
                </pic:pic>
              </a:graphicData>
            </a:graphic>
          </wp:anchor>
        </w:drawing>
      </w:r>
    </w:p>
    <w:p>
      <w:pPr>
        <w:spacing w:after="0"/>
        <w:rPr>
          <w:sz w:val="9"/>
        </w:rPr>
        <w:sectPr>
          <w:pgSz w:w="11910" w:h="16840"/>
          <w:pgMar w:header="0" w:footer="998" w:top="1560" w:bottom="1180" w:left="1120" w:right="1100"/>
        </w:sectPr>
      </w:pPr>
    </w:p>
    <w:p>
      <w:pPr>
        <w:pStyle w:val="BodyText"/>
        <w:spacing w:line="405" w:lineRule="exact"/>
        <w:ind w:firstLine="639"/>
      </w:pPr>
      <w:r>
        <w:rPr/>
        <w:t>煤炭。加大煤矿资源整合和安全改造力度，安全生产及抗灾</w:t>
      </w:r>
    </w:p>
    <w:p>
      <w:pPr>
        <w:pStyle w:val="BodyText"/>
        <w:spacing w:line="343" w:lineRule="auto" w:before="181"/>
        <w:ind w:right="204"/>
      </w:pPr>
      <w:r>
        <w:rPr>
          <w:spacing w:val="-11"/>
        </w:rPr>
        <w:t>保障能力持续加强。建成龙坝煤矿、癸金煤矿。全区煤矿数量控</w:t>
      </w:r>
      <w:r>
        <w:rPr>
          <w:spacing w:val="-35"/>
        </w:rPr>
        <w:t>制在 </w:t>
      </w:r>
      <w:r>
        <w:rPr/>
        <w:t>14</w:t>
      </w:r>
      <w:r>
        <w:rPr>
          <w:spacing w:val="-16"/>
        </w:rPr>
        <w:t> 处以内，煤炭年产量稳定在 </w:t>
      </w:r>
      <w:r>
        <w:rPr/>
        <w:t>237</w:t>
      </w:r>
      <w:r>
        <w:rPr>
          <w:spacing w:val="-21"/>
        </w:rPr>
        <w:t> 万吨。</w:t>
      </w:r>
    </w:p>
    <w:p>
      <w:pPr>
        <w:pStyle w:val="BodyText"/>
        <w:spacing w:line="343" w:lineRule="auto" w:before="43"/>
        <w:ind w:right="139" w:firstLine="639"/>
      </w:pPr>
      <w:r>
        <w:rPr>
          <w:spacing w:val="-18"/>
        </w:rPr>
        <w:t>油气。加快城区管网改造提升，支持岷江燃气管网覆盖范围。</w:t>
      </w:r>
      <w:r>
        <w:rPr>
          <w:spacing w:val="-39"/>
        </w:rPr>
        <w:t>在进港大道、</w:t>
      </w:r>
      <w:r>
        <w:rPr/>
        <w:t>G213/S104</w:t>
      </w:r>
      <w:r>
        <w:rPr>
          <w:spacing w:val="-26"/>
        </w:rPr>
        <w:t> 过境公路、车福路等新建 </w:t>
      </w:r>
      <w:r>
        <w:rPr/>
        <w:t>4</w:t>
      </w:r>
      <w:r>
        <w:rPr>
          <w:spacing w:val="-56"/>
        </w:rPr>
        <w:t> 个 </w:t>
      </w:r>
      <w:r>
        <w:rPr/>
        <w:t>CNG</w:t>
      </w:r>
      <w:r>
        <w:rPr>
          <w:spacing w:val="-56"/>
        </w:rPr>
        <w:t> 和 </w:t>
      </w:r>
      <w:r>
        <w:rPr/>
        <w:t>LNG </w:t>
      </w:r>
      <w:r>
        <w:rPr>
          <w:spacing w:val="-15"/>
        </w:rPr>
        <w:t>加气站。在杨柳、桥沟、冠英新建 </w:t>
      </w:r>
      <w:r>
        <w:rPr/>
        <w:t>3</w:t>
      </w:r>
      <w:r>
        <w:rPr>
          <w:spacing w:val="-11"/>
        </w:rPr>
        <w:t> 个加油站，铺设金山至五通</w:t>
      </w:r>
      <w:r>
        <w:rPr>
          <w:spacing w:val="-1"/>
        </w:rPr>
        <w:t>桥输气管线。</w:t>
      </w:r>
    </w:p>
    <w:p>
      <w:pPr>
        <w:pStyle w:val="BodyText"/>
        <w:ind w:left="0"/>
      </w:pPr>
    </w:p>
    <w:p>
      <w:pPr>
        <w:pStyle w:val="BodyText"/>
        <w:tabs>
          <w:tab w:pos="3661" w:val="left" w:leader="none"/>
        </w:tabs>
        <w:spacing w:before="224"/>
        <w:ind w:left="2381"/>
        <w:rPr>
          <w:rFonts w:ascii="黑体" w:eastAsia="黑体" w:hint="eastAsia"/>
        </w:rPr>
      </w:pPr>
      <w:r>
        <w:rPr>
          <w:rFonts w:ascii="黑体" w:eastAsia="黑体" w:hint="eastAsia"/>
        </w:rPr>
        <w:t>第三节</w:t>
        <w:tab/>
      </w:r>
      <w:r>
        <w:rPr>
          <w:rFonts w:ascii="黑体" w:eastAsia="黑体" w:hint="eastAsia"/>
          <w:spacing w:val="-1"/>
        </w:rPr>
        <w:t>加强网络化信息化建设</w:t>
      </w:r>
    </w:p>
    <w:p>
      <w:pPr>
        <w:pStyle w:val="BodyText"/>
        <w:spacing w:line="343" w:lineRule="auto" w:before="181"/>
        <w:ind w:right="139" w:firstLine="639"/>
      </w:pPr>
      <w:r>
        <w:rPr>
          <w:spacing w:val="-10"/>
        </w:rPr>
        <w:t>打造智慧五通桥。围绕政务、民生两大领域，加快信息化建</w:t>
      </w:r>
      <w:r>
        <w:rPr>
          <w:spacing w:val="-12"/>
        </w:rPr>
        <w:t>设，实现信息网络、信息应用、信息产业的良性发展。推进电信</w:t>
      </w:r>
      <w:r>
        <w:rPr>
          <w:spacing w:val="-13"/>
        </w:rPr>
        <w:t>网、广电网与互联网的融合，工业化与信息化融合，物联网与互</w:t>
      </w:r>
      <w:r>
        <w:rPr>
          <w:spacing w:val="-14"/>
        </w:rPr>
        <w:t>联网融合，促进信息产业成为经济增长的重要引擎，电子政务成</w:t>
      </w:r>
      <w:r>
        <w:rPr>
          <w:spacing w:val="-1"/>
        </w:rPr>
        <w:t>为公共管理和服务的主流模式，网络化工作生活方式广泛普及， 城市信息化与农村信息化协调发展。</w:t>
      </w:r>
    </w:p>
    <w:p>
      <w:pPr>
        <w:pStyle w:val="BodyText"/>
        <w:spacing w:line="343" w:lineRule="auto" w:before="44"/>
        <w:ind w:right="264" w:firstLine="639"/>
        <w:jc w:val="both"/>
      </w:pPr>
      <w:r>
        <w:rPr>
          <w:spacing w:val="-10"/>
        </w:rPr>
        <w:t>加快网络基础设施建设。推进学校、政府机构、医疗卫生机</w:t>
      </w:r>
      <w:r>
        <w:rPr>
          <w:spacing w:val="-12"/>
        </w:rPr>
        <w:t>构、园区、宾馆酒店等公益性场所的光纤宽带接入。扩大宽带网</w:t>
      </w:r>
      <w:r>
        <w:rPr>
          <w:spacing w:val="-10"/>
        </w:rPr>
        <w:t>络在农村地区覆盖，大力推进光纤到村，提升行政村通宽带、通</w:t>
      </w:r>
      <w:r>
        <w:rPr>
          <w:spacing w:val="-17"/>
        </w:rPr>
        <w:t>光缆比例。扩大 </w:t>
      </w:r>
      <w:r>
        <w:rPr/>
        <w:t>4G</w:t>
      </w:r>
      <w:r>
        <w:rPr>
          <w:spacing w:val="-9"/>
        </w:rPr>
        <w:t> 网络覆盖范围和覆盖深度，重点向乡镇、行</w:t>
      </w:r>
      <w:r>
        <w:rPr>
          <w:spacing w:val="-13"/>
        </w:rPr>
        <w:t>政村延伸，提升网络质量。推进 </w:t>
      </w:r>
      <w:r>
        <w:rPr/>
        <w:t>WLAN</w:t>
      </w:r>
      <w:r>
        <w:rPr>
          <w:spacing w:val="-9"/>
        </w:rPr>
        <w:t> 在热点地区和公共场所覆</w:t>
      </w:r>
      <w:r>
        <w:rPr>
          <w:spacing w:val="-12"/>
        </w:rPr>
        <w:t>盖，提高大流量移动数据业务的承载能力。加快宽带应用基础设</w:t>
      </w:r>
      <w:r>
        <w:rPr>
          <w:spacing w:val="-21"/>
        </w:rPr>
        <w:t>施建设，新建 </w:t>
      </w:r>
      <w:r>
        <w:rPr/>
        <w:t>450</w:t>
      </w:r>
      <w:r>
        <w:rPr>
          <w:spacing w:val="-14"/>
        </w:rPr>
        <w:t> 个通信基站。到“十三五”末，基本实现城市</w:t>
      </w:r>
      <w:r>
        <w:rPr>
          <w:spacing w:val="-1"/>
        </w:rPr>
        <w:t>光纤到楼入户，农村宽带进村入组。</w:t>
      </w:r>
    </w:p>
    <w:p>
      <w:pPr>
        <w:spacing w:after="0" w:line="343" w:lineRule="auto"/>
        <w:jc w:val="both"/>
        <w:sectPr>
          <w:pgSz w:w="11910" w:h="16840"/>
          <w:pgMar w:header="0" w:footer="998" w:top="1560" w:bottom="1120" w:left="1420" w:right="1260"/>
        </w:sectPr>
      </w:pPr>
    </w:p>
    <w:p>
      <w:pPr>
        <w:spacing w:line="359" w:lineRule="exact" w:before="0"/>
        <w:ind w:left="2433" w:right="0" w:firstLine="0"/>
        <w:jc w:val="left"/>
        <w:rPr>
          <w:sz w:val="28"/>
        </w:rPr>
      </w:pPr>
      <w:r>
        <w:rPr/>
        <w:pict>
          <v:shape style="position:absolute;margin-left:76.560005pt;margin-top:22.239981pt;width:441pt;height:219.6pt;mso-position-horizontal-relative:page;mso-position-vertical-relative:paragraph;z-index:5824;mso-wrap-distance-left:0;mso-wrap-distance-right:0" type="#_x0000_t202" filled="false" stroked="true" strokeweight=".47998pt" strokecolor="#000000">
            <v:textbox inset="0,0,0,0">
              <w:txbxContent>
                <w:p>
                  <w:pPr>
                    <w:spacing w:line="350" w:lineRule="auto" w:before="88"/>
                    <w:ind w:left="103" w:right="-36" w:firstLine="480"/>
                    <w:jc w:val="left"/>
                    <w:rPr>
                      <w:sz w:val="24"/>
                    </w:rPr>
                  </w:pPr>
                  <w:r>
                    <w:rPr>
                      <w:spacing w:val="-19"/>
                      <w:sz w:val="24"/>
                    </w:rPr>
                    <w:t>乐山机场、岷江航电东风岩枢纽、岷江航电老木孔枢纽、成贵铁路</w:t>
                  </w:r>
                  <w:r>
                    <w:rPr>
                      <w:sz w:val="24"/>
                    </w:rPr>
                    <w:t>（五通桥段</w:t>
                  </w:r>
                  <w:r>
                    <w:rPr>
                      <w:spacing w:val="-120"/>
                      <w:sz w:val="24"/>
                    </w:rPr>
                    <w:t>）</w:t>
                  </w:r>
                  <w:r>
                    <w:rPr>
                      <w:sz w:val="24"/>
                    </w:rPr>
                    <w:t>、</w:t>
                  </w:r>
                  <w:r>
                    <w:rPr>
                      <w:spacing w:val="-11"/>
                      <w:sz w:val="24"/>
                    </w:rPr>
                    <w:t>连乐铁路、国道 </w:t>
                  </w:r>
                  <w:r>
                    <w:rPr>
                      <w:sz w:val="24"/>
                    </w:rPr>
                    <w:t>213</w:t>
                  </w:r>
                  <w:r>
                    <w:rPr>
                      <w:spacing w:val="-24"/>
                      <w:sz w:val="24"/>
                    </w:rPr>
                    <w:t> 线省道 </w:t>
                  </w:r>
                  <w:r>
                    <w:rPr>
                      <w:sz w:val="24"/>
                    </w:rPr>
                    <w:t>104</w:t>
                  </w:r>
                  <w:r>
                    <w:rPr>
                      <w:spacing w:val="-10"/>
                      <w:sz w:val="24"/>
                    </w:rPr>
                    <w:t> 线五通桥城区过境公路、进港大道延伸线、乐宜高</w:t>
                  </w:r>
                  <w:r>
                    <w:rPr>
                      <w:spacing w:val="-13"/>
                      <w:sz w:val="24"/>
                    </w:rPr>
                    <w:t>速五通连接线及岷江大桥加宽、</w:t>
                  </w:r>
                  <w:r>
                    <w:rPr>
                      <w:sz w:val="24"/>
                    </w:rPr>
                    <w:t>G213</w:t>
                  </w:r>
                  <w:r>
                    <w:rPr>
                      <w:spacing w:val="-12"/>
                      <w:sz w:val="24"/>
                    </w:rPr>
                    <w:t> 线五通桥至沐川段公路、五通桥区公路养护管</w:t>
                  </w:r>
                  <w:r>
                    <w:rPr>
                      <w:spacing w:val="-6"/>
                      <w:sz w:val="24"/>
                    </w:rPr>
                    <w:t>理站、桫椤沟桥、李家沟桥、弯弯桥、罗居沱桥、柑子堰桥、红星桥、黄石桥、九</w:t>
                  </w:r>
                  <w:r>
                    <w:rPr>
                      <w:spacing w:val="-3"/>
                      <w:sz w:val="24"/>
                    </w:rPr>
                    <w:t>黄路改造工程</w:t>
                  </w:r>
                  <w:r>
                    <w:rPr>
                      <w:spacing w:val="-1"/>
                      <w:sz w:val="24"/>
                    </w:rPr>
                    <w:t>（双河店至高峰段</w:t>
                  </w:r>
                  <w:r>
                    <w:rPr>
                      <w:spacing w:val="-120"/>
                      <w:sz w:val="24"/>
                    </w:rPr>
                    <w:t>）</w:t>
                  </w:r>
                  <w:r>
                    <w:rPr>
                      <w:spacing w:val="-5"/>
                      <w:sz w:val="24"/>
                    </w:rPr>
                    <w:t>、冠福路改造</w:t>
                  </w:r>
                  <w:r>
                    <w:rPr>
                      <w:sz w:val="24"/>
                    </w:rPr>
                    <w:t>（鱼儿坟至石麟加油站段</w:t>
                  </w:r>
                  <w:r>
                    <w:rPr>
                      <w:spacing w:val="-121"/>
                      <w:sz w:val="24"/>
                    </w:rPr>
                    <w:t>）</w:t>
                  </w:r>
                  <w:r>
                    <w:rPr>
                      <w:spacing w:val="-3"/>
                      <w:sz w:val="24"/>
                    </w:rPr>
                    <w:t>、石桫路</w:t>
                  </w:r>
                </w:p>
                <w:p>
                  <w:pPr>
                    <w:spacing w:line="350" w:lineRule="auto" w:before="36"/>
                    <w:ind w:left="103" w:right="101" w:firstLine="0"/>
                    <w:jc w:val="both"/>
                    <w:rPr>
                      <w:sz w:val="24"/>
                    </w:rPr>
                  </w:pPr>
                  <w:r>
                    <w:rPr>
                      <w:sz w:val="24"/>
                    </w:rPr>
                    <w:t>（乌龟桥至红星水库段</w:t>
                  </w:r>
                  <w:r>
                    <w:rPr>
                      <w:spacing w:val="-6"/>
                      <w:sz w:val="24"/>
                    </w:rPr>
                    <w:t>）</w:t>
                  </w:r>
                  <w:r>
                    <w:rPr>
                      <w:spacing w:val="-3"/>
                      <w:sz w:val="24"/>
                    </w:rPr>
                    <w:t>改造、石西路</w:t>
                  </w:r>
                  <w:r>
                    <w:rPr>
                      <w:sz w:val="24"/>
                    </w:rPr>
                    <w:t>（正觉寺桥至双土地段</w:t>
                  </w:r>
                  <w:r>
                    <w:rPr>
                      <w:spacing w:val="-6"/>
                      <w:sz w:val="24"/>
                    </w:rPr>
                    <w:t>）</w:t>
                  </w:r>
                  <w:r>
                    <w:rPr>
                      <w:spacing w:val="-3"/>
                      <w:sz w:val="24"/>
                    </w:rPr>
                    <w:t>改造、金牛路</w:t>
                  </w:r>
                  <w:r>
                    <w:rPr>
                      <w:sz w:val="24"/>
                    </w:rPr>
                    <w:t>（高山步至白塔子段</w:t>
                  </w:r>
                  <w:r>
                    <w:rPr>
                      <w:spacing w:val="-6"/>
                      <w:sz w:val="24"/>
                    </w:rPr>
                    <w:t>）</w:t>
                  </w:r>
                  <w:r>
                    <w:rPr>
                      <w:spacing w:val="-3"/>
                      <w:sz w:val="24"/>
                    </w:rPr>
                    <w:t>改造、辉寿路</w:t>
                  </w:r>
                  <w:r>
                    <w:rPr>
                      <w:sz w:val="24"/>
                    </w:rPr>
                    <w:t>（大茅寺至大坡段</w:t>
                  </w:r>
                  <w:r>
                    <w:rPr>
                      <w:spacing w:val="-6"/>
                      <w:sz w:val="24"/>
                    </w:rPr>
                    <w:t>）</w:t>
                  </w:r>
                  <w:r>
                    <w:rPr>
                      <w:spacing w:val="-3"/>
                      <w:sz w:val="24"/>
                    </w:rPr>
                    <w:t>改造、杨牛路</w:t>
                  </w:r>
                  <w:r>
                    <w:rPr>
                      <w:sz w:val="24"/>
                    </w:rPr>
                    <w:t>（杨柳镇政府至碑儿石段</w:t>
                  </w:r>
                  <w:r>
                    <w:rPr>
                      <w:spacing w:val="-5"/>
                      <w:sz w:val="24"/>
                    </w:rPr>
                    <w:t>）</w:t>
                  </w:r>
                  <w:r>
                    <w:rPr>
                      <w:spacing w:val="-3"/>
                      <w:sz w:val="24"/>
                    </w:rPr>
                    <w:t>改造、冠蔡路</w:t>
                  </w:r>
                  <w:r>
                    <w:rPr>
                      <w:sz w:val="24"/>
                    </w:rPr>
                    <w:t>（尚村至牛市坝段</w:t>
                  </w:r>
                  <w:r>
                    <w:rPr>
                      <w:spacing w:val="-5"/>
                      <w:sz w:val="24"/>
                    </w:rPr>
                    <w:t>）</w:t>
                  </w:r>
                  <w:r>
                    <w:rPr>
                      <w:spacing w:val="-4"/>
                      <w:sz w:val="24"/>
                    </w:rPr>
                    <w:t>改造、乡村公路改造、和邦一桥、和邦二桥（汤家坝大桥和沙板滩大桥）等项目。</w:t>
                  </w:r>
                </w:p>
              </w:txbxContent>
            </v:textbox>
            <v:stroke dashstyle="solid"/>
            <w10:wrap type="topAndBottom"/>
          </v:shape>
        </w:pict>
      </w:r>
      <w:r>
        <w:rPr>
          <w:w w:val="95"/>
          <w:sz w:val="28"/>
        </w:rPr>
        <w:t>专栏：交通基础设施建设重点项目</w:t>
      </w:r>
    </w:p>
    <w:p>
      <w:pPr>
        <w:pStyle w:val="BodyText"/>
        <w:ind w:left="0"/>
        <w:rPr>
          <w:sz w:val="20"/>
        </w:rPr>
      </w:pPr>
    </w:p>
    <w:p>
      <w:pPr>
        <w:pStyle w:val="BodyText"/>
        <w:spacing w:before="10"/>
        <w:ind w:left="0"/>
        <w:rPr>
          <w:sz w:val="14"/>
        </w:rPr>
      </w:pPr>
    </w:p>
    <w:p>
      <w:pPr>
        <w:pStyle w:val="Heading2"/>
        <w:tabs>
          <w:tab w:pos="2463" w:val="left" w:leader="none"/>
        </w:tabs>
        <w:spacing w:line="460" w:lineRule="exact"/>
        <w:ind w:left="663"/>
        <w:jc w:val="left"/>
      </w:pPr>
      <w:r>
        <w:rPr/>
        <w:t>第十二章</w:t>
        <w:tab/>
        <w:t>大力发展循环经济 强化生态环境保护</w:t>
      </w:r>
    </w:p>
    <w:p>
      <w:pPr>
        <w:pStyle w:val="BodyText"/>
        <w:spacing w:line="343" w:lineRule="auto" w:before="175"/>
        <w:ind w:right="139" w:firstLine="639"/>
      </w:pPr>
      <w:r>
        <w:rPr>
          <w:spacing w:val="-16"/>
        </w:rPr>
        <w:t>以资源合理配置和循环利用为核心，按照“减量化、再利用、资源化”原则，树立绿色、低碳发展理念，坚持发展循环经济。</w:t>
      </w:r>
      <w:r>
        <w:rPr>
          <w:spacing w:val="-19"/>
        </w:rPr>
        <w:t>巩固省级循环经济示范区建设成果，盐磷化工循环产业园争创国家级循环经济示范园区，加强生态环境保护，让五通桥天更蓝、</w:t>
      </w:r>
      <w:r>
        <w:rPr>
          <w:spacing w:val="-1"/>
        </w:rPr>
        <w:t>山更绿、水更清。</w:t>
      </w:r>
    </w:p>
    <w:p>
      <w:pPr>
        <w:pStyle w:val="BodyText"/>
        <w:ind w:left="0"/>
      </w:pPr>
    </w:p>
    <w:p>
      <w:pPr>
        <w:pStyle w:val="BodyText"/>
        <w:tabs>
          <w:tab w:pos="1279" w:val="left" w:leader="none"/>
        </w:tabs>
        <w:spacing w:before="224"/>
        <w:ind w:left="0" w:right="156"/>
        <w:jc w:val="center"/>
        <w:rPr>
          <w:rFonts w:ascii="黑体" w:eastAsia="黑体" w:hint="eastAsia"/>
        </w:rPr>
      </w:pPr>
      <w:r>
        <w:rPr>
          <w:rFonts w:ascii="黑体" w:eastAsia="黑体" w:hint="eastAsia"/>
        </w:rPr>
        <w:t>第一节</w:t>
        <w:tab/>
      </w:r>
      <w:r>
        <w:rPr>
          <w:rFonts w:ascii="黑体" w:eastAsia="黑体" w:hint="eastAsia"/>
          <w:spacing w:val="-1"/>
        </w:rPr>
        <w:t>发展循环型工业</w:t>
      </w:r>
    </w:p>
    <w:p>
      <w:pPr>
        <w:pStyle w:val="BodyText"/>
        <w:spacing w:line="343" w:lineRule="auto" w:before="181"/>
        <w:ind w:right="117" w:firstLine="600"/>
        <w:jc w:val="both"/>
      </w:pPr>
      <w:r>
        <w:rPr>
          <w:spacing w:val="-15"/>
        </w:rPr>
        <w:t>以技术创新为动力，引导企业在产业链上扩大投资，不断延伸</w:t>
      </w:r>
      <w:r>
        <w:rPr>
          <w:spacing w:val="-16"/>
        </w:rPr>
        <w:t>盐磷化工、硅材料、稀土应用循环产业链，构建企业内部、产业内</w:t>
      </w:r>
      <w:r>
        <w:rPr>
          <w:spacing w:val="-41"/>
        </w:rPr>
        <w:t>部、产业与产业之间的循环发展体系，形成耦合共生的生态工业网络。</w:t>
      </w:r>
    </w:p>
    <w:p>
      <w:pPr>
        <w:pStyle w:val="BodyText"/>
        <w:spacing w:line="343" w:lineRule="auto" w:before="43"/>
        <w:ind w:right="257" w:firstLine="639"/>
        <w:jc w:val="both"/>
      </w:pPr>
      <w:r>
        <w:rPr>
          <w:spacing w:val="-11"/>
        </w:rPr>
        <w:t>盐磷化工产业循环。按照限制基础化工、发展精细化工的思</w:t>
      </w:r>
      <w:r>
        <w:rPr>
          <w:spacing w:val="-13"/>
        </w:rPr>
        <w:t>路，以原有盐、酸、碱等资源为基础，发展精细化工产品和循环</w:t>
      </w:r>
      <w:r>
        <w:rPr>
          <w:spacing w:val="5"/>
        </w:rPr>
        <w:t>产业链上的补链项目，实现盐磷化工从原料型基础化工向高科</w:t>
      </w:r>
    </w:p>
    <w:p>
      <w:pPr>
        <w:spacing w:after="0" w:line="343" w:lineRule="auto"/>
        <w:jc w:val="both"/>
        <w:sectPr>
          <w:pgSz w:w="11910" w:h="16840"/>
          <w:pgMar w:header="0" w:footer="998" w:top="1600" w:bottom="1180" w:left="1420" w:right="1260"/>
        </w:sectPr>
      </w:pPr>
    </w:p>
    <w:p>
      <w:pPr>
        <w:pStyle w:val="BodyText"/>
        <w:spacing w:line="405" w:lineRule="exact"/>
        <w:jc w:val="both"/>
      </w:pPr>
      <w:r>
        <w:rPr/>
        <w:t>技、高附加值、低耗能、低排放的精细化工转变。不断延伸“卤</w:t>
      </w:r>
    </w:p>
    <w:p>
      <w:pPr>
        <w:pStyle w:val="BodyText"/>
        <w:spacing w:line="343" w:lineRule="auto" w:before="181"/>
        <w:ind w:right="139"/>
      </w:pPr>
      <w:r>
        <w:rPr>
          <w:spacing w:val="-1"/>
          <w:w w:val="100"/>
        </w:rPr>
        <w:t>水→烧碱及附产物液氯→PV</w:t>
      </w:r>
      <w:r>
        <w:rPr>
          <w:w w:val="100"/>
        </w:rPr>
        <w:t>C</w:t>
      </w:r>
      <w:r>
        <w:rPr>
          <w:spacing w:val="-81"/>
        </w:rPr>
        <w:t> </w:t>
      </w:r>
      <w:r>
        <w:rPr>
          <w:spacing w:val="-17"/>
          <w:w w:val="100"/>
        </w:rPr>
        <w:t>附产物电石渣→水泥”</w:t>
      </w:r>
      <w:r>
        <w:rPr>
          <w:spacing w:val="-35"/>
          <w:w w:val="100"/>
        </w:rPr>
        <w:t>；“卤水→盐</w:t>
      </w:r>
      <w:r>
        <w:rPr>
          <w:spacing w:val="-29"/>
          <w:w w:val="100"/>
        </w:rPr>
        <w:t>酸、氢气、烧碱→纯碱、氯化铵→三聚磷酸钠、磷酸一铵及二铵”；</w:t>
      </w:r>
    </w:p>
    <w:p>
      <w:pPr>
        <w:pStyle w:val="BodyText"/>
        <w:spacing w:line="343" w:lineRule="auto" w:before="43"/>
        <w:ind w:right="257"/>
        <w:jc w:val="both"/>
      </w:pPr>
      <w:r>
        <w:rPr>
          <w:spacing w:val="5"/>
        </w:rPr>
        <w:t>“卤水→烧碱及附产物液氯→草甘膦及附产物氯甲烷→有机硅</w:t>
      </w:r>
      <w:r>
        <w:rPr>
          <w:spacing w:val="-11"/>
        </w:rPr>
        <w:t>及附产物盐酸→草甘膦、三氯氢硅及附产物四氯化硅→气相二氧</w:t>
      </w:r>
      <w:r>
        <w:rPr>
          <w:spacing w:val="-2"/>
        </w:rPr>
        <w:t>化硅”等循环产业链，发展壮大省级盐磷化工循环产业园。</w:t>
      </w:r>
    </w:p>
    <w:p>
      <w:pPr>
        <w:pStyle w:val="BodyText"/>
        <w:spacing w:line="343" w:lineRule="auto" w:before="43"/>
        <w:ind w:right="265" w:firstLine="639"/>
        <w:jc w:val="both"/>
      </w:pPr>
      <w:r>
        <w:rPr>
          <w:spacing w:val="-11"/>
        </w:rPr>
        <w:t>硅材料产业循环。加快资源整合和优化配置，不断延伸硅材</w:t>
      </w:r>
      <w:r>
        <w:rPr>
          <w:spacing w:val="-12"/>
        </w:rPr>
        <w:t>料产业链，发展太阳能光伏产业。培育“工业硅→电子级多晶硅</w:t>
      </w:r>
    </w:p>
    <w:p>
      <w:pPr>
        <w:pStyle w:val="BodyText"/>
        <w:spacing w:line="343" w:lineRule="auto" w:before="43"/>
        <w:ind w:right="257"/>
        <w:jc w:val="both"/>
      </w:pPr>
      <w:r>
        <w:rPr>
          <w:spacing w:val="-8"/>
          <w:w w:val="100"/>
        </w:rPr>
        <w:t>→单晶硅→硅片→硅半导体器件→集成电路→机电”</w:t>
      </w:r>
      <w:r>
        <w:rPr>
          <w:spacing w:val="-48"/>
          <w:w w:val="100"/>
        </w:rPr>
        <w:t>；“工业硅→</w:t>
      </w:r>
      <w:r>
        <w:rPr>
          <w:spacing w:val="5"/>
        </w:rPr>
        <w:t>太阳能级多晶硅→单晶硅或硅锭→太阳能电池极→太阳能发电</w:t>
      </w:r>
      <w:r>
        <w:rPr>
          <w:spacing w:val="-24"/>
          <w:w w:val="100"/>
        </w:rPr>
        <w:t>装置”；“多晶硅→四氯化硅→气相二氧化硅、有机硅单体→硅橡</w:t>
      </w:r>
      <w:r>
        <w:rPr>
          <w:spacing w:val="-25"/>
          <w:w w:val="100"/>
        </w:rPr>
        <w:t>胶、硅油、硅涂料、硅活性中间体”；“多晶硅、四氯化硅→光纤</w:t>
      </w:r>
      <w:r>
        <w:rPr>
          <w:spacing w:val="-14"/>
        </w:rPr>
        <w:t>级四氯化硅→光纤预制棒→光纤→光缆”等循环产业链条，构建</w:t>
      </w:r>
      <w:r>
        <w:rPr>
          <w:spacing w:val="-1"/>
        </w:rPr>
        <w:t>以硅材料生产加工为核心的产业集群。</w:t>
      </w:r>
    </w:p>
    <w:p>
      <w:pPr>
        <w:pStyle w:val="BodyText"/>
        <w:spacing w:line="343" w:lineRule="auto" w:before="43"/>
        <w:ind w:right="265" w:firstLine="639"/>
        <w:jc w:val="both"/>
      </w:pPr>
      <w:r>
        <w:rPr>
          <w:spacing w:val="-12"/>
        </w:rPr>
        <w:t>稀土产业循环。充分发挥我区稀土技术人才和原材料运输优势，依托盛和、润和等骨干企业，通过自主创新和引进消化吸收再创新，不断发展“卤水→盐酸、烧碱→稀土萃取→稀土应用产</w:t>
      </w:r>
      <w:r>
        <w:rPr>
          <w:spacing w:val="-28"/>
          <w:w w:val="100"/>
        </w:rPr>
        <w:t>品”；“卤水→烧碱及附产物液氯→</w:t>
      </w:r>
      <w:r>
        <w:rPr>
          <w:spacing w:val="-2"/>
          <w:w w:val="100"/>
        </w:rPr>
        <w:t>P</w:t>
      </w:r>
      <w:r>
        <w:rPr>
          <w:spacing w:val="-1"/>
          <w:w w:val="100"/>
        </w:rPr>
        <w:t>V</w:t>
      </w:r>
      <w:r>
        <w:rPr>
          <w:w w:val="100"/>
        </w:rPr>
        <w:t>C</w:t>
      </w:r>
      <w:r>
        <w:rPr>
          <w:spacing w:val="-81"/>
        </w:rPr>
        <w:t> </w:t>
      </w:r>
      <w:r>
        <w:rPr>
          <w:spacing w:val="-1"/>
          <w:w w:val="100"/>
        </w:rPr>
        <w:t>附产物稀盐酸→稀土萃取</w:t>
      </w:r>
    </w:p>
    <w:p>
      <w:pPr>
        <w:pStyle w:val="BodyText"/>
        <w:spacing w:line="343" w:lineRule="auto" w:before="43"/>
        <w:ind w:right="265"/>
        <w:jc w:val="both"/>
      </w:pPr>
      <w:r>
        <w:rPr>
          <w:spacing w:val="-11"/>
        </w:rPr>
        <w:t>→稀土应用产品”等产业链，延伸下游产业链，实现稀土初加工</w:t>
      </w:r>
      <w:r>
        <w:rPr>
          <w:spacing w:val="-1"/>
        </w:rPr>
        <w:t>产品向稀土应用产品转变。</w:t>
      </w:r>
    </w:p>
    <w:p>
      <w:pPr>
        <w:spacing w:after="0" w:line="343" w:lineRule="auto"/>
        <w:jc w:val="both"/>
        <w:sectPr>
          <w:pgSz w:w="11910" w:h="16840"/>
          <w:pgMar w:header="0" w:footer="998" w:top="1560" w:bottom="1180" w:left="1420" w:right="1260"/>
        </w:sectPr>
      </w:pPr>
    </w:p>
    <w:p>
      <w:pPr>
        <w:pStyle w:val="BodyText"/>
        <w:ind w:left="112"/>
        <w:rPr>
          <w:sz w:val="20"/>
        </w:rPr>
      </w:pPr>
      <w:r>
        <w:rPr>
          <w:sz w:val="20"/>
        </w:rPr>
        <w:drawing>
          <wp:inline distT="0" distB="0" distL="0" distR="0">
            <wp:extent cx="6007107" cy="8597074"/>
            <wp:effectExtent l="0" t="0" r="0" b="0"/>
            <wp:docPr id="25" name="image13.jpeg" descr=""/>
            <wp:cNvGraphicFramePr>
              <a:graphicFrameLocks noChangeAspect="1"/>
            </wp:cNvGraphicFramePr>
            <a:graphic>
              <a:graphicData uri="http://schemas.openxmlformats.org/drawingml/2006/picture">
                <pic:pic>
                  <pic:nvPicPr>
                    <pic:cNvPr id="26" name="image13.jpeg"/>
                    <pic:cNvPicPr/>
                  </pic:nvPicPr>
                  <pic:blipFill>
                    <a:blip r:embed="rId24" cstate="print"/>
                    <a:stretch>
                      <a:fillRect/>
                    </a:stretch>
                  </pic:blipFill>
                  <pic:spPr>
                    <a:xfrm>
                      <a:off x="0" y="0"/>
                      <a:ext cx="6007107" cy="8597074"/>
                    </a:xfrm>
                    <a:prstGeom prst="rect">
                      <a:avLst/>
                    </a:prstGeom>
                  </pic:spPr>
                </pic:pic>
              </a:graphicData>
            </a:graphic>
          </wp:inline>
        </w:drawing>
      </w:r>
      <w:r>
        <w:rPr>
          <w:sz w:val="20"/>
        </w:rPr>
      </w:r>
    </w:p>
    <w:p>
      <w:pPr>
        <w:spacing w:after="0"/>
        <w:rPr>
          <w:sz w:val="20"/>
        </w:rPr>
        <w:sectPr>
          <w:footerReference w:type="default" r:id="rId22"/>
          <w:footerReference w:type="even" r:id="rId23"/>
          <w:pgSz w:w="11910" w:h="16840"/>
          <w:pgMar w:footer="938" w:header="0" w:top="1520" w:bottom="1120" w:left="1020" w:right="1020"/>
          <w:pgNumType w:start="51"/>
        </w:sectPr>
      </w:pPr>
    </w:p>
    <w:p>
      <w:pPr>
        <w:pStyle w:val="BodyText"/>
        <w:rPr>
          <w:sz w:val="20"/>
        </w:rPr>
      </w:pPr>
      <w:r>
        <w:rPr>
          <w:sz w:val="20"/>
        </w:rPr>
        <w:drawing>
          <wp:inline distT="0" distB="0" distL="0" distR="0">
            <wp:extent cx="6104631" cy="9006459"/>
            <wp:effectExtent l="0" t="0" r="0" b="0"/>
            <wp:docPr id="27" name="image14.jpeg" descr=""/>
            <wp:cNvGraphicFramePr>
              <a:graphicFrameLocks noChangeAspect="1"/>
            </wp:cNvGraphicFramePr>
            <a:graphic>
              <a:graphicData uri="http://schemas.openxmlformats.org/drawingml/2006/picture">
                <pic:pic>
                  <pic:nvPicPr>
                    <pic:cNvPr id="28" name="image14.jpeg"/>
                    <pic:cNvPicPr/>
                  </pic:nvPicPr>
                  <pic:blipFill>
                    <a:blip r:embed="rId25" cstate="print"/>
                    <a:stretch>
                      <a:fillRect/>
                    </a:stretch>
                  </pic:blipFill>
                  <pic:spPr>
                    <a:xfrm>
                      <a:off x="0" y="0"/>
                      <a:ext cx="6104631" cy="9006459"/>
                    </a:xfrm>
                    <a:prstGeom prst="rect">
                      <a:avLst/>
                    </a:prstGeom>
                  </pic:spPr>
                </pic:pic>
              </a:graphicData>
            </a:graphic>
          </wp:inline>
        </w:drawing>
      </w:r>
      <w:r>
        <w:rPr>
          <w:sz w:val="20"/>
        </w:rPr>
      </w:r>
    </w:p>
    <w:p>
      <w:pPr>
        <w:spacing w:after="0"/>
        <w:rPr>
          <w:sz w:val="20"/>
        </w:rPr>
        <w:sectPr>
          <w:pgSz w:w="11910" w:h="16840"/>
          <w:pgMar w:header="0" w:footer="938" w:top="1120" w:bottom="1120" w:left="1060" w:right="980"/>
        </w:sectPr>
      </w:pPr>
    </w:p>
    <w:p>
      <w:pPr>
        <w:pStyle w:val="BodyText"/>
        <w:ind w:left="114"/>
        <w:rPr>
          <w:sz w:val="20"/>
        </w:rPr>
      </w:pPr>
      <w:r>
        <w:rPr>
          <w:sz w:val="20"/>
        </w:rPr>
        <w:drawing>
          <wp:inline distT="0" distB="0" distL="0" distR="0">
            <wp:extent cx="6039395" cy="9006459"/>
            <wp:effectExtent l="0" t="0" r="0" b="0"/>
            <wp:docPr id="29" name="image15.jpeg" descr=""/>
            <wp:cNvGraphicFramePr>
              <a:graphicFrameLocks noChangeAspect="1"/>
            </wp:cNvGraphicFramePr>
            <a:graphic>
              <a:graphicData uri="http://schemas.openxmlformats.org/drawingml/2006/picture">
                <pic:pic>
                  <pic:nvPicPr>
                    <pic:cNvPr id="30" name="image15.jpeg"/>
                    <pic:cNvPicPr/>
                  </pic:nvPicPr>
                  <pic:blipFill>
                    <a:blip r:embed="rId26" cstate="print"/>
                    <a:stretch>
                      <a:fillRect/>
                    </a:stretch>
                  </pic:blipFill>
                  <pic:spPr>
                    <a:xfrm>
                      <a:off x="0" y="0"/>
                      <a:ext cx="6039395" cy="9006459"/>
                    </a:xfrm>
                    <a:prstGeom prst="rect">
                      <a:avLst/>
                    </a:prstGeom>
                  </pic:spPr>
                </pic:pic>
              </a:graphicData>
            </a:graphic>
          </wp:inline>
        </w:drawing>
      </w:r>
      <w:r>
        <w:rPr>
          <w:sz w:val="20"/>
        </w:rPr>
      </w:r>
    </w:p>
    <w:p>
      <w:pPr>
        <w:spacing w:after="0"/>
        <w:rPr>
          <w:sz w:val="20"/>
        </w:rPr>
        <w:sectPr>
          <w:pgSz w:w="11910" w:h="16840"/>
          <w:pgMar w:header="0" w:footer="938" w:top="1120" w:bottom="1120" w:left="1020" w:right="1020"/>
        </w:sectPr>
      </w:pPr>
    </w:p>
    <w:p>
      <w:pPr>
        <w:pStyle w:val="BodyText"/>
        <w:tabs>
          <w:tab w:pos="1279" w:val="left" w:leader="none"/>
        </w:tabs>
        <w:spacing w:line="405" w:lineRule="exact"/>
        <w:ind w:left="0" w:right="156"/>
        <w:jc w:val="center"/>
        <w:rPr>
          <w:rFonts w:ascii="黑体" w:eastAsia="黑体" w:hint="eastAsia"/>
        </w:rPr>
      </w:pPr>
      <w:r>
        <w:rPr>
          <w:rFonts w:ascii="黑体" w:eastAsia="黑体" w:hint="eastAsia"/>
        </w:rPr>
        <w:t>第二节</w:t>
        <w:tab/>
      </w:r>
      <w:r>
        <w:rPr>
          <w:rFonts w:ascii="黑体" w:eastAsia="黑体" w:hint="eastAsia"/>
          <w:spacing w:val="-1"/>
        </w:rPr>
        <w:t>发展循环型农业</w:t>
      </w:r>
    </w:p>
    <w:p>
      <w:pPr>
        <w:pStyle w:val="BodyText"/>
        <w:spacing w:line="343" w:lineRule="auto" w:before="181"/>
        <w:ind w:right="266" w:firstLine="639"/>
        <w:jc w:val="both"/>
      </w:pPr>
      <w:r>
        <w:rPr>
          <w:spacing w:val="-9"/>
        </w:rPr>
        <w:t>突出农业生态平衡和自然修复，减少农药化肥施用，提高农</w:t>
      </w:r>
      <w:r>
        <w:rPr>
          <w:spacing w:val="-12"/>
        </w:rPr>
        <w:t>业资源利用效率、畜禽废弃物资源化利用率，形成农业内部良性循环。</w:t>
      </w:r>
    </w:p>
    <w:p>
      <w:pPr>
        <w:pStyle w:val="BodyText"/>
        <w:spacing w:line="343" w:lineRule="auto" w:before="43"/>
        <w:ind w:right="139" w:firstLine="639"/>
      </w:pPr>
      <w:r>
        <w:rPr>
          <w:spacing w:val="-1"/>
        </w:rPr>
        <w:t>种植业循环。将绿色、循环理念置入土地整理和土壤改良、</w:t>
      </w:r>
      <w:r>
        <w:rPr>
          <w:spacing w:val="-12"/>
        </w:rPr>
        <w:t>种子选育、作物栽培、保水施肥、农产品加工、保鲜储运和销售</w:t>
      </w:r>
      <w:r>
        <w:rPr>
          <w:spacing w:val="-13"/>
        </w:rPr>
        <w:t>等各个环节，不断推进“种养→加工→运销”和“农作物秸秆→ </w:t>
      </w:r>
      <w:r>
        <w:rPr>
          <w:spacing w:val="-2"/>
        </w:rPr>
        <w:t>沼气与腐熟→肥料还田→优质无公害农产品”配套的产业链。</w:t>
      </w:r>
    </w:p>
    <w:p>
      <w:pPr>
        <w:pStyle w:val="BodyText"/>
        <w:spacing w:line="343" w:lineRule="auto" w:before="43"/>
        <w:ind w:right="139" w:firstLine="639"/>
      </w:pPr>
      <w:r>
        <w:rPr>
          <w:spacing w:val="-19"/>
        </w:rPr>
        <w:t>养殖业循环。稳步发展肉猪、肉鸡产业，建设一批优质养猪、</w:t>
      </w:r>
      <w:r>
        <w:rPr>
          <w:spacing w:val="-9"/>
        </w:rPr>
        <w:t>养鸡等标准化养殖专业合作社，实施农村沼气池建设，深入推进</w:t>
      </w:r>
    </w:p>
    <w:p>
      <w:pPr>
        <w:pStyle w:val="BodyText"/>
        <w:spacing w:line="343" w:lineRule="auto" w:before="43"/>
        <w:ind w:left="122" w:right="268"/>
        <w:jc w:val="center"/>
      </w:pPr>
      <w:r>
        <w:rPr/>
        <w:t>“畜禽饲养→畜禽饲养加工→粪便→有机肥→生物肥→优质无公害农产品”和 “饲料→种猪繁育→饲养→生猪→屠宰→分割</w:t>
      </w:r>
    </w:p>
    <w:p>
      <w:pPr>
        <w:pStyle w:val="BodyText"/>
        <w:spacing w:line="343" w:lineRule="auto" w:before="43"/>
        <w:ind w:right="204"/>
      </w:pPr>
      <w:r>
        <w:rPr>
          <w:spacing w:val="-11"/>
        </w:rPr>
        <w:t>→冷冻猪→皮革、鬃尾加工→肉制品→传统腌腊制品→销售”等</w:t>
      </w:r>
      <w:r>
        <w:rPr>
          <w:spacing w:val="-1"/>
        </w:rPr>
        <w:t>畜牧产业链，减少环境污染。</w:t>
      </w:r>
    </w:p>
    <w:p>
      <w:pPr>
        <w:pStyle w:val="BodyText"/>
        <w:ind w:left="0"/>
      </w:pPr>
    </w:p>
    <w:p>
      <w:pPr>
        <w:pStyle w:val="BodyText"/>
        <w:tabs>
          <w:tab w:pos="1279" w:val="left" w:leader="none"/>
        </w:tabs>
        <w:spacing w:before="224"/>
        <w:ind w:left="0" w:right="156"/>
        <w:jc w:val="center"/>
        <w:rPr>
          <w:rFonts w:ascii="黑体" w:eastAsia="黑体" w:hint="eastAsia"/>
        </w:rPr>
      </w:pPr>
      <w:r>
        <w:rPr>
          <w:rFonts w:ascii="黑体" w:eastAsia="黑体" w:hint="eastAsia"/>
        </w:rPr>
        <w:t>第三节</w:t>
        <w:tab/>
      </w:r>
      <w:r>
        <w:rPr>
          <w:rFonts w:ascii="黑体" w:eastAsia="黑体" w:hint="eastAsia"/>
          <w:spacing w:val="-1"/>
        </w:rPr>
        <w:t>建设循环型社会</w:t>
      </w:r>
    </w:p>
    <w:p>
      <w:pPr>
        <w:pStyle w:val="BodyText"/>
        <w:spacing w:line="343" w:lineRule="auto" w:before="180"/>
        <w:ind w:right="265" w:firstLine="639"/>
        <w:jc w:val="both"/>
      </w:pPr>
      <w:r>
        <w:rPr>
          <w:spacing w:val="-12"/>
        </w:rPr>
        <w:t>提倡健康、文明，有利于节约资源和保护环境的消费方式和</w:t>
      </w:r>
      <w:r>
        <w:rPr>
          <w:spacing w:val="-13"/>
        </w:rPr>
        <w:t>生活方式，突出在建筑、交通、资源、垃圾污水等方面促进资源</w:t>
      </w:r>
      <w:r>
        <w:rPr>
          <w:spacing w:val="-1"/>
        </w:rPr>
        <w:t>循环利用，实现人与自然和谐。</w:t>
      </w:r>
    </w:p>
    <w:p>
      <w:pPr>
        <w:pStyle w:val="BodyText"/>
        <w:spacing w:line="343" w:lineRule="auto" w:before="43"/>
        <w:ind w:right="98" w:firstLine="639"/>
      </w:pPr>
      <w:r>
        <w:rPr>
          <w:spacing w:val="-11"/>
        </w:rPr>
        <w:t>资源综合利用。推广电石渣、煤矸石、粉煤灰以及其他工业</w:t>
      </w:r>
      <w:r>
        <w:rPr>
          <w:spacing w:val="-15"/>
        </w:rPr>
        <w:t>固体废弃物综合利用。鼓励对废旧家电、废金属、废塑料、废旧</w:t>
      </w:r>
      <w:r>
        <w:rPr>
          <w:spacing w:val="-19"/>
        </w:rPr>
        <w:t>轮胎等废旧物资的拆解、加工、再利用，形成再生资源产业链条， </w:t>
      </w:r>
      <w:r>
        <w:rPr>
          <w:spacing w:val="-1"/>
        </w:rPr>
        <w:t>努力提高再生资源综合利用率。</w:t>
      </w:r>
    </w:p>
    <w:p>
      <w:pPr>
        <w:spacing w:after="0" w:line="343" w:lineRule="auto"/>
        <w:sectPr>
          <w:pgSz w:w="11910" w:h="16840"/>
          <w:pgMar w:header="0" w:footer="938" w:top="1560" w:bottom="1120" w:left="1420" w:right="1260"/>
        </w:sectPr>
      </w:pPr>
    </w:p>
    <w:p>
      <w:pPr>
        <w:pStyle w:val="BodyText"/>
        <w:spacing w:line="405" w:lineRule="exact"/>
        <w:ind w:left="750"/>
      </w:pPr>
      <w:r>
        <w:rPr/>
        <w:t>垃圾污水处理。在城区、集镇建立垃圾分类回收装置，推进</w:t>
      </w:r>
    </w:p>
    <w:p>
      <w:pPr>
        <w:pStyle w:val="BodyText"/>
        <w:spacing w:line="343" w:lineRule="auto" w:before="181"/>
        <w:ind w:right="139"/>
      </w:pPr>
      <w:r>
        <w:rPr/>
        <w:t>城市生活垃圾分类回收。实现中心城区和乡镇污水处理全覆盖。工业废水经过无害化处理后循环利用。</w:t>
      </w:r>
    </w:p>
    <w:p>
      <w:pPr>
        <w:pStyle w:val="BodyText"/>
        <w:ind w:left="0"/>
      </w:pPr>
    </w:p>
    <w:p>
      <w:pPr>
        <w:pStyle w:val="BodyText"/>
        <w:tabs>
          <w:tab w:pos="3892" w:val="left" w:leader="none"/>
        </w:tabs>
        <w:spacing w:before="224"/>
        <w:ind w:left="2613"/>
        <w:rPr>
          <w:rFonts w:ascii="黑体" w:eastAsia="黑体" w:hint="eastAsia"/>
        </w:rPr>
      </w:pPr>
      <w:r>
        <w:rPr>
          <w:rFonts w:ascii="黑体" w:eastAsia="黑体" w:hint="eastAsia"/>
        </w:rPr>
        <w:t>第四节</w:t>
        <w:tab/>
      </w:r>
      <w:r>
        <w:rPr>
          <w:rFonts w:ascii="黑体" w:eastAsia="黑体" w:hint="eastAsia"/>
          <w:spacing w:val="-1"/>
        </w:rPr>
        <w:t>加强生态环境保护</w:t>
      </w:r>
    </w:p>
    <w:p>
      <w:pPr>
        <w:pStyle w:val="BodyText"/>
        <w:spacing w:line="343" w:lineRule="auto" w:before="180"/>
        <w:ind w:right="139" w:firstLine="639"/>
      </w:pPr>
      <w:r>
        <w:rPr>
          <w:spacing w:val="-19"/>
        </w:rPr>
        <w:t>深入贯彻生态优先，可持续发展理念，努力构建水域、森林、</w:t>
      </w:r>
      <w:r>
        <w:rPr>
          <w:spacing w:val="-1"/>
        </w:rPr>
        <w:t>城乡和谐的生态系统。</w:t>
      </w:r>
    </w:p>
    <w:p>
      <w:pPr>
        <w:pStyle w:val="BodyText"/>
        <w:spacing w:line="343" w:lineRule="auto" w:before="43"/>
        <w:ind w:right="266" w:firstLine="639"/>
        <w:jc w:val="both"/>
      </w:pPr>
      <w:r>
        <w:rPr>
          <w:spacing w:val="-12"/>
        </w:rPr>
        <w:t>水生态系统建设。强化涌斯江沿岸水环境治理，切实加强饮用水水源保护，确保饮用水水源水质安全。继续推进茫溪河等流</w:t>
      </w:r>
      <w:r>
        <w:rPr>
          <w:spacing w:val="-10"/>
        </w:rPr>
        <w:t>域水污染治理，实施好活水、补水、养水等工程，流域内严禁高</w:t>
      </w:r>
      <w:r>
        <w:rPr>
          <w:spacing w:val="-12"/>
        </w:rPr>
        <w:t>污染、高排放项目落地。鼓励企业抓好循环用水工程建设，广泛</w:t>
      </w:r>
      <w:r>
        <w:rPr>
          <w:spacing w:val="-1"/>
        </w:rPr>
        <w:t>采用节水新工艺、新技术和新材料。</w:t>
      </w:r>
    </w:p>
    <w:p>
      <w:pPr>
        <w:pStyle w:val="BodyText"/>
        <w:spacing w:line="343" w:lineRule="auto" w:before="43"/>
        <w:ind w:right="98" w:firstLine="639"/>
      </w:pPr>
      <w:r>
        <w:rPr>
          <w:spacing w:val="-10"/>
        </w:rPr>
        <w:t>森林生态系统建设。推进以封山育林为重点的山区绿化，以</w:t>
      </w:r>
      <w:r>
        <w:rPr>
          <w:spacing w:val="-19"/>
        </w:rPr>
        <w:t>绿色通道为重点的沿路、沿河、沿江绿化美化工程。抓好天然林、</w:t>
      </w:r>
      <w:r>
        <w:rPr>
          <w:spacing w:val="-16"/>
        </w:rPr>
        <w:t>退耕还林工程，建设绿色生态屏障。加强农村面源污染防治和规</w:t>
      </w:r>
      <w:r>
        <w:rPr>
          <w:spacing w:val="-17"/>
        </w:rPr>
        <w:t>模化畜禽养殖污染防治，加强城区生态植被和景观、公共绿地建</w:t>
      </w:r>
      <w:r>
        <w:rPr>
          <w:spacing w:val="-20"/>
        </w:rPr>
        <w:t>设，完善城市垃圾、污水处理系统。到 </w:t>
      </w:r>
      <w:r>
        <w:rPr/>
        <w:t>2020</w:t>
      </w:r>
      <w:r>
        <w:rPr>
          <w:spacing w:val="-9"/>
        </w:rPr>
        <w:t> 年，全区森林覆盖</w:t>
      </w:r>
      <w:r>
        <w:rPr>
          <w:spacing w:val="-25"/>
        </w:rPr>
        <w:t>率提高到 </w:t>
      </w:r>
      <w:r>
        <w:rPr/>
        <w:t>36.54％。</w:t>
      </w:r>
    </w:p>
    <w:p>
      <w:pPr>
        <w:pStyle w:val="BodyText"/>
        <w:spacing w:line="343" w:lineRule="auto" w:before="43"/>
        <w:ind w:right="108" w:firstLine="639"/>
        <w:jc w:val="both"/>
      </w:pPr>
      <w:r>
        <w:rPr>
          <w:spacing w:val="-9"/>
        </w:rPr>
        <w:t>生态安全保障体系建设。对生态红线区域实施特殊保护，建</w:t>
      </w:r>
      <w:r>
        <w:rPr>
          <w:spacing w:val="-15"/>
        </w:rPr>
        <w:t>立最严格的生态保护制度，对不属于生态红线范围的区域，严格项目准入，实施排放总量控制、排放许可和环境影响评价“三同</w:t>
      </w:r>
      <w:r>
        <w:rPr>
          <w:spacing w:val="-12"/>
        </w:rPr>
        <w:t>时”制度。加强对重点行业的分类指导和管理，抓好污染治理和</w:t>
      </w:r>
      <w:r>
        <w:rPr>
          <w:spacing w:val="-9"/>
          <w:w w:val="100"/>
        </w:rPr>
        <w:t>监控，重点实施“控尘、控烟”蓝天工程</w:t>
      </w:r>
      <w:r>
        <w:rPr>
          <w:spacing w:val="-23"/>
          <w:w w:val="100"/>
        </w:rPr>
        <w:t>，“脱硫、脱硝、除尘”</w:t>
      </w:r>
    </w:p>
    <w:p>
      <w:pPr>
        <w:spacing w:after="0" w:line="343" w:lineRule="auto"/>
        <w:jc w:val="both"/>
        <w:sectPr>
          <w:footerReference w:type="default" r:id="rId27"/>
          <w:footerReference w:type="even" r:id="rId28"/>
          <w:pgSz w:w="11910" w:h="16840"/>
          <w:pgMar w:footer="938" w:header="0" w:top="1560" w:bottom="1120" w:left="1420" w:right="1260"/>
          <w:pgNumType w:start="55"/>
        </w:sectPr>
      </w:pPr>
    </w:p>
    <w:p>
      <w:pPr>
        <w:pStyle w:val="BodyText"/>
        <w:spacing w:line="405" w:lineRule="exact"/>
      </w:pPr>
      <w:r>
        <w:rPr/>
        <w:t>协调减排工程。加大环保执法力度，强化对环境污染、生态破坏</w:t>
      </w:r>
    </w:p>
    <w:p>
      <w:pPr>
        <w:pStyle w:val="BodyText"/>
        <w:spacing w:before="181"/>
      </w:pPr>
      <w:r>
        <w:rPr/>
        <w:t>等环境突发事件的预防和应急处置，切实维护生态安全。</w:t>
      </w:r>
    </w:p>
    <w:p>
      <w:pPr>
        <w:pStyle w:val="BodyText"/>
        <w:spacing w:line="343" w:lineRule="auto" w:before="181"/>
        <w:ind w:right="266" w:firstLine="639"/>
        <w:jc w:val="both"/>
      </w:pPr>
      <w:r>
        <w:rPr>
          <w:spacing w:val="-12"/>
        </w:rPr>
        <w:t>能源节约。加强固定资产投资项目节能评估和审查，推广先</w:t>
      </w:r>
      <w:r>
        <w:rPr>
          <w:spacing w:val="-11"/>
        </w:rPr>
        <w:t>进节能技术和产品，着重抓好煤炭、化工、建材等重点耗能行业</w:t>
      </w:r>
      <w:r>
        <w:rPr>
          <w:spacing w:val="-12"/>
        </w:rPr>
        <w:t>的节能工作，推广交通运输和农业机械节能。扩大清洁汽车使用</w:t>
      </w:r>
      <w:r>
        <w:rPr>
          <w:spacing w:val="-19"/>
        </w:rPr>
        <w:t>范围。“十三五”期间，万元工业增加值能耗累计下降 </w:t>
      </w:r>
      <w:r>
        <w:rPr/>
        <w:t>15%。</w:t>
      </w:r>
    </w:p>
    <w:p>
      <w:pPr>
        <w:pStyle w:val="BodyText"/>
        <w:spacing w:line="343" w:lineRule="auto" w:before="43"/>
        <w:ind w:right="266" w:firstLine="639"/>
        <w:jc w:val="both"/>
      </w:pPr>
      <w:r>
        <w:rPr>
          <w:spacing w:val="-11"/>
        </w:rPr>
        <w:t>合理利用土地。加强耕地和基本农田保护，加强土地利用规</w:t>
      </w:r>
      <w:r>
        <w:rPr>
          <w:spacing w:val="-9"/>
        </w:rPr>
        <w:t>划和年度建设用地计划管理，从严控制非农建设占用耕地，落实</w:t>
      </w:r>
      <w:r>
        <w:rPr>
          <w:spacing w:val="-15"/>
        </w:rPr>
        <w:t>耕地占补平衡，确保全区耕地保有量不少于 </w:t>
      </w:r>
      <w:r>
        <w:rPr/>
        <w:t>14614</w:t>
      </w:r>
      <w:r>
        <w:rPr>
          <w:spacing w:val="-22"/>
        </w:rPr>
        <w:t> 公顷。推进土</w:t>
      </w:r>
      <w:r>
        <w:rPr>
          <w:spacing w:val="-12"/>
        </w:rPr>
        <w:t>地集约利用，促进居民向城镇和中心村集中、工业项目向园区集</w:t>
      </w:r>
      <w:r>
        <w:rPr>
          <w:spacing w:val="-13"/>
        </w:rPr>
        <w:t>中、土地利用向适度规模经营集中。工业园区投资强度达到每亩</w:t>
      </w:r>
    </w:p>
    <w:p>
      <w:pPr>
        <w:pStyle w:val="BodyText"/>
        <w:spacing w:before="43"/>
      </w:pPr>
      <w:r>
        <w:rPr/>
        <w:t>230 万元以上。</w:t>
      </w:r>
    </w:p>
    <w:p>
      <w:pPr>
        <w:pStyle w:val="BodyText"/>
        <w:ind w:left="0"/>
      </w:pPr>
    </w:p>
    <w:p>
      <w:pPr>
        <w:pStyle w:val="BodyText"/>
        <w:spacing w:before="1"/>
        <w:ind w:left="0"/>
        <w:rPr>
          <w:sz w:val="24"/>
        </w:rPr>
      </w:pPr>
    </w:p>
    <w:p>
      <w:pPr>
        <w:pStyle w:val="Heading2"/>
        <w:tabs>
          <w:tab w:pos="1799" w:val="left" w:leader="none"/>
          <w:tab w:pos="5039" w:val="left" w:leader="none"/>
        </w:tabs>
        <w:ind w:right="157"/>
      </w:pPr>
      <w:r>
        <w:rPr/>
        <w:t>第十三章</w:t>
        <w:tab/>
        <w:t>实施创新驱动战略</w:t>
        <w:tab/>
        <w:t>坚持科技引领发展</w:t>
      </w:r>
    </w:p>
    <w:p>
      <w:pPr>
        <w:pStyle w:val="BodyText"/>
        <w:spacing w:line="343" w:lineRule="auto" w:before="175"/>
        <w:ind w:right="105" w:firstLine="639"/>
        <w:jc w:val="both"/>
      </w:pPr>
      <w:r>
        <w:rPr/>
        <w:t>强化企业创新主体地位，实现由要素驱动向创新驱动转变。</w:t>
      </w:r>
      <w:r>
        <w:rPr>
          <w:spacing w:val="-43"/>
        </w:rPr>
        <w:t>到 </w:t>
      </w:r>
      <w:r>
        <w:rPr/>
        <w:t>2020</w:t>
      </w:r>
      <w:r>
        <w:rPr>
          <w:spacing w:val="-16"/>
        </w:rPr>
        <w:t> 年，高新技术产业产值占工业总产值比重达到 </w:t>
      </w:r>
      <w:r>
        <w:rPr/>
        <w:t>62%以上， </w:t>
      </w:r>
      <w:r>
        <w:rPr>
          <w:spacing w:val="-7"/>
        </w:rPr>
        <w:t>科技进步对经济增长贡献率达到 </w:t>
      </w:r>
      <w:r>
        <w:rPr/>
        <w:t>60%以上。</w:t>
      </w:r>
    </w:p>
    <w:p>
      <w:pPr>
        <w:pStyle w:val="BodyText"/>
        <w:ind w:left="0"/>
      </w:pPr>
    </w:p>
    <w:p>
      <w:pPr>
        <w:pStyle w:val="BodyText"/>
        <w:tabs>
          <w:tab w:pos="1279" w:val="left" w:leader="none"/>
        </w:tabs>
        <w:spacing w:before="225"/>
        <w:ind w:left="0" w:right="155"/>
        <w:jc w:val="center"/>
        <w:rPr>
          <w:rFonts w:ascii="黑体" w:eastAsia="黑体" w:hint="eastAsia"/>
        </w:rPr>
      </w:pPr>
      <w:r>
        <w:rPr>
          <w:rFonts w:ascii="黑体" w:eastAsia="黑体" w:hint="eastAsia"/>
        </w:rPr>
        <w:t>第一节</w:t>
        <w:tab/>
      </w:r>
      <w:r>
        <w:rPr>
          <w:rFonts w:ascii="黑体" w:eastAsia="黑体" w:hint="eastAsia"/>
          <w:spacing w:val="-1"/>
        </w:rPr>
        <w:t>完善创新投入体系</w:t>
      </w:r>
    </w:p>
    <w:p>
      <w:pPr>
        <w:pStyle w:val="BodyText"/>
        <w:spacing w:line="343" w:lineRule="auto" w:before="181"/>
        <w:ind w:right="266" w:firstLine="639"/>
        <w:jc w:val="both"/>
      </w:pPr>
      <w:r>
        <w:rPr>
          <w:spacing w:val="-12"/>
        </w:rPr>
        <w:t>建立以政府为主导、企业为主体、金融投资为补充的创新投</w:t>
      </w:r>
      <w:r>
        <w:rPr>
          <w:spacing w:val="-23"/>
        </w:rPr>
        <w:t>入体系，到 </w:t>
      </w:r>
      <w:r>
        <w:rPr/>
        <w:t>2020</w:t>
      </w:r>
      <w:r>
        <w:rPr>
          <w:spacing w:val="-23"/>
        </w:rPr>
        <w:t> 年，全社会 </w:t>
      </w:r>
      <w:r>
        <w:rPr/>
        <w:t>R&amp;D</w:t>
      </w:r>
      <w:r>
        <w:rPr>
          <w:spacing w:val="-9"/>
        </w:rPr>
        <w:t> 投入占地区生产总值的比例达</w:t>
      </w:r>
      <w:r>
        <w:rPr>
          <w:spacing w:val="-48"/>
        </w:rPr>
        <w:t>到 </w:t>
      </w:r>
      <w:r>
        <w:rPr/>
        <w:t>2.5%</w:t>
      </w:r>
      <w:r>
        <w:rPr>
          <w:spacing w:val="-16"/>
        </w:rPr>
        <w:t>。全链条部署重点研发计划，实施重点科技计划项目 </w:t>
      </w:r>
      <w:r>
        <w:rPr/>
        <w:t>100 </w:t>
      </w:r>
      <w:r>
        <w:rPr>
          <w:spacing w:val="-13"/>
        </w:rPr>
        <w:t>项以上。引导企业加大研发投入，提高平均研发投入占主营业务</w:t>
      </w:r>
    </w:p>
    <w:p>
      <w:pPr>
        <w:spacing w:after="0" w:line="343" w:lineRule="auto"/>
        <w:jc w:val="both"/>
        <w:sectPr>
          <w:pgSz w:w="11910" w:h="16840"/>
          <w:pgMar w:header="0" w:footer="998" w:top="1560" w:bottom="1180" w:left="1420" w:right="1260"/>
        </w:sectPr>
      </w:pPr>
    </w:p>
    <w:p>
      <w:pPr>
        <w:pStyle w:val="BodyText"/>
        <w:spacing w:line="405" w:lineRule="exact"/>
      </w:pPr>
      <w:r>
        <w:rPr/>
        <w:t>收入比率，重点创新型企业创新研发投入占企业主营业务收入的</w:t>
      </w:r>
    </w:p>
    <w:p>
      <w:pPr>
        <w:pStyle w:val="BodyText"/>
        <w:spacing w:line="343" w:lineRule="auto" w:before="181"/>
        <w:ind w:right="139"/>
      </w:pPr>
      <w:r>
        <w:rPr/>
        <w:t>4%</w:t>
      </w:r>
      <w:r>
        <w:rPr>
          <w:spacing w:val="-12"/>
        </w:rPr>
        <w:t>以上。深化科技金融创新。探索发展新型科技金融服务组织和</w:t>
      </w:r>
      <w:r>
        <w:rPr>
          <w:spacing w:val="-20"/>
        </w:rPr>
        <w:t>服务模式，推动风险投资、科技银行、科技信贷、科技融资租赁、</w:t>
      </w:r>
      <w:r>
        <w:rPr>
          <w:spacing w:val="-11"/>
        </w:rPr>
        <w:t>科技保险、科技担保、知识产权质押等科技金融发展</w:t>
      </w:r>
      <w:r>
        <w:rPr>
          <w:spacing w:val="-35"/>
        </w:rPr>
        <w:t>。“十三五” </w:t>
      </w:r>
      <w:r>
        <w:rPr>
          <w:spacing w:val="-40"/>
        </w:rPr>
        <w:t>期间，促成科技金融投资 </w:t>
      </w:r>
      <w:r>
        <w:rPr/>
        <w:t>5</w:t>
      </w:r>
      <w:r>
        <w:rPr>
          <w:spacing w:val="-22"/>
        </w:rPr>
        <w:t> 亿元。</w:t>
      </w:r>
    </w:p>
    <w:p>
      <w:pPr>
        <w:pStyle w:val="BodyText"/>
        <w:ind w:left="0"/>
      </w:pPr>
    </w:p>
    <w:p>
      <w:pPr>
        <w:pStyle w:val="BodyText"/>
        <w:tabs>
          <w:tab w:pos="1279" w:val="left" w:leader="none"/>
        </w:tabs>
        <w:spacing w:before="224"/>
        <w:ind w:left="0" w:right="156"/>
        <w:jc w:val="center"/>
        <w:rPr>
          <w:rFonts w:ascii="黑体" w:eastAsia="黑体" w:hint="eastAsia"/>
        </w:rPr>
      </w:pPr>
      <w:r>
        <w:rPr>
          <w:rFonts w:ascii="黑体" w:eastAsia="黑体" w:hint="eastAsia"/>
        </w:rPr>
        <w:t>第二节</w:t>
        <w:tab/>
      </w:r>
      <w:r>
        <w:rPr>
          <w:rFonts w:ascii="黑体" w:eastAsia="黑体" w:hint="eastAsia"/>
          <w:spacing w:val="-1"/>
        </w:rPr>
        <w:t>提升企业自主创新能力</w:t>
      </w:r>
    </w:p>
    <w:p>
      <w:pPr>
        <w:pStyle w:val="BodyText"/>
        <w:spacing w:before="180"/>
        <w:ind w:left="750"/>
      </w:pPr>
      <w:r>
        <w:rPr/>
        <w:t>加强科技型企业扶持，培育国家高新技术企业 15 家，省级</w:t>
      </w:r>
    </w:p>
    <w:p>
      <w:pPr>
        <w:pStyle w:val="BodyText"/>
        <w:spacing w:before="180"/>
      </w:pPr>
      <w:r>
        <w:rPr>
          <w:spacing w:val="-13"/>
        </w:rPr>
        <w:t>创新型企业 </w:t>
      </w:r>
      <w:r>
        <w:rPr/>
        <w:t>9</w:t>
      </w:r>
      <w:r>
        <w:rPr>
          <w:spacing w:val="-19"/>
        </w:rPr>
        <w:t> 家。年申请专利 </w:t>
      </w:r>
      <w:r>
        <w:rPr/>
        <w:t>100</w:t>
      </w:r>
      <w:r>
        <w:rPr>
          <w:spacing w:val="-15"/>
        </w:rPr>
        <w:t> 件以上，其中发明专利 </w:t>
      </w:r>
      <w:r>
        <w:rPr/>
        <w:t>25</w:t>
      </w:r>
      <w:r>
        <w:rPr>
          <w:spacing w:val="-38"/>
        </w:rPr>
        <w:t> 件</w:t>
      </w:r>
    </w:p>
    <w:p>
      <w:pPr>
        <w:pStyle w:val="BodyText"/>
        <w:spacing w:before="180"/>
      </w:pPr>
      <w:r>
        <w:rPr>
          <w:spacing w:val="-17"/>
        </w:rPr>
        <w:t>以上。“十三五”末，每万人口发明专利授权数达到 </w:t>
      </w:r>
      <w:r>
        <w:rPr/>
        <w:t>3</w:t>
      </w:r>
      <w:r>
        <w:rPr>
          <w:spacing w:val="-14"/>
        </w:rPr>
        <w:t> 件。实施</w:t>
      </w:r>
    </w:p>
    <w:p>
      <w:pPr>
        <w:pStyle w:val="BodyText"/>
        <w:spacing w:line="343" w:lineRule="auto" w:before="180"/>
        <w:ind w:right="139"/>
      </w:pPr>
      <w:r>
        <w:rPr>
          <w:spacing w:val="-11"/>
        </w:rPr>
        <w:t>专利转化项目 </w:t>
      </w:r>
      <w:r>
        <w:rPr/>
        <w:t>100</w:t>
      </w:r>
      <w:r>
        <w:rPr>
          <w:spacing w:val="-17"/>
        </w:rPr>
        <w:t> 项，实现转化产值 </w:t>
      </w:r>
      <w:r>
        <w:rPr/>
        <w:t>20</w:t>
      </w:r>
      <w:r>
        <w:rPr>
          <w:spacing w:val="-9"/>
        </w:rPr>
        <w:t> 亿元。完善产学研协同</w:t>
      </w:r>
      <w:r>
        <w:rPr>
          <w:spacing w:val="-1"/>
        </w:rPr>
        <w:t>创新机制，支持区内企业与科研院所、高等学校开展科研合作、</w:t>
      </w:r>
      <w:r>
        <w:rPr>
          <w:spacing w:val="-9"/>
        </w:rPr>
        <w:t>成果转化和技术合同转移，鼓励企业与科研院所、大专院校从项</w:t>
      </w:r>
      <w:r>
        <w:rPr>
          <w:spacing w:val="-1"/>
        </w:rPr>
        <w:t>目层面的合作走向战略伙伴层面的长期合作。</w:t>
      </w:r>
    </w:p>
    <w:p>
      <w:pPr>
        <w:pStyle w:val="BodyText"/>
        <w:ind w:left="0"/>
      </w:pPr>
    </w:p>
    <w:p>
      <w:pPr>
        <w:pStyle w:val="BodyText"/>
        <w:tabs>
          <w:tab w:pos="1279" w:val="left" w:leader="none"/>
        </w:tabs>
        <w:spacing w:before="224"/>
        <w:ind w:left="0" w:right="155"/>
        <w:jc w:val="center"/>
        <w:rPr>
          <w:rFonts w:ascii="黑体" w:eastAsia="黑体" w:hint="eastAsia"/>
        </w:rPr>
      </w:pPr>
      <w:r>
        <w:rPr>
          <w:rFonts w:ascii="黑体" w:eastAsia="黑体" w:hint="eastAsia"/>
        </w:rPr>
        <w:t>第三节</w:t>
        <w:tab/>
      </w:r>
      <w:r>
        <w:rPr>
          <w:rFonts w:ascii="黑体" w:eastAsia="黑体" w:hint="eastAsia"/>
          <w:spacing w:val="-1"/>
        </w:rPr>
        <w:t>强化创新平台建设</w:t>
      </w:r>
    </w:p>
    <w:p>
      <w:pPr>
        <w:pStyle w:val="BodyText"/>
        <w:spacing w:line="343" w:lineRule="auto" w:before="181"/>
        <w:ind w:right="139" w:firstLine="639"/>
      </w:pPr>
      <w:r>
        <w:rPr/>
        <w:t>推进行业骨干企业牵头，联合科研院所、大专院校组建产业技术创新联盟。鼓励企业与高校、科研院所联合建立研发机构， 建成国家、省、市研发中心 10 家以上。强化政策集成，建成各</w:t>
      </w:r>
    </w:p>
    <w:p>
      <w:pPr>
        <w:pStyle w:val="BodyText"/>
        <w:spacing w:line="343" w:lineRule="auto" w:before="43"/>
        <w:ind w:right="265"/>
        <w:jc w:val="both"/>
      </w:pPr>
      <w:r>
        <w:rPr>
          <w:spacing w:val="-15"/>
        </w:rPr>
        <w:t>类孵化载体 </w:t>
      </w:r>
      <w:r>
        <w:rPr/>
        <w:t>4</w:t>
      </w:r>
      <w:r>
        <w:rPr>
          <w:spacing w:val="-16"/>
        </w:rPr>
        <w:t> 家以上，培育创新文化，营造创新创业氛围。引进</w:t>
      </w:r>
      <w:r>
        <w:rPr>
          <w:spacing w:val="-10"/>
        </w:rPr>
        <w:t>和培育知识产权代理、信息、评估、鉴定和转移等各类中介服务</w:t>
      </w:r>
      <w:r>
        <w:rPr>
          <w:spacing w:val="-11"/>
        </w:rPr>
        <w:t>机构。加快建设与产业发展配套的技术研发、公共检验检测、公</w:t>
      </w:r>
      <w:r>
        <w:rPr>
          <w:spacing w:val="-1"/>
        </w:rPr>
        <w:t>共信息和融资等服务平台。</w:t>
      </w:r>
    </w:p>
    <w:p>
      <w:pPr>
        <w:spacing w:after="0" w:line="343" w:lineRule="auto"/>
        <w:jc w:val="both"/>
        <w:sectPr>
          <w:pgSz w:w="11910" w:h="16840"/>
          <w:pgMar w:header="0" w:footer="938" w:top="1560" w:bottom="1180" w:left="1420" w:right="1260"/>
        </w:sectPr>
      </w:pPr>
    </w:p>
    <w:p>
      <w:pPr>
        <w:pStyle w:val="BodyText"/>
        <w:tabs>
          <w:tab w:pos="1279" w:val="left" w:leader="none"/>
        </w:tabs>
        <w:spacing w:line="405" w:lineRule="exact"/>
        <w:ind w:left="0" w:right="115"/>
        <w:jc w:val="center"/>
        <w:rPr>
          <w:rFonts w:ascii="黑体" w:eastAsia="黑体" w:hint="eastAsia"/>
        </w:rPr>
      </w:pPr>
      <w:r>
        <w:rPr>
          <w:rFonts w:ascii="黑体" w:eastAsia="黑体" w:hint="eastAsia"/>
        </w:rPr>
        <w:t>第四节</w:t>
        <w:tab/>
      </w:r>
      <w:r>
        <w:rPr>
          <w:rFonts w:ascii="黑体" w:eastAsia="黑体" w:hint="eastAsia"/>
          <w:spacing w:val="-1"/>
        </w:rPr>
        <w:t>推进重点领域创新</w:t>
      </w:r>
    </w:p>
    <w:p>
      <w:pPr>
        <w:pStyle w:val="BodyText"/>
        <w:spacing w:line="343" w:lineRule="auto" w:before="181"/>
        <w:ind w:right="93" w:firstLine="639"/>
      </w:pPr>
      <w:r>
        <w:rPr>
          <w:spacing w:val="-5"/>
        </w:rPr>
        <w:t>把科技创新作为产业结构调整和转型升级的重要抓手，以盐</w:t>
      </w:r>
      <w:r>
        <w:rPr>
          <w:spacing w:val="-12"/>
        </w:rPr>
        <w:t>磷化工、硅材料及光伏产业、稀土应用、新能源汽车、现代装备</w:t>
      </w:r>
      <w:r>
        <w:rPr>
          <w:spacing w:val="-13"/>
        </w:rPr>
        <w:t>制造、电子信息、传统产业的高端项目和高新技术产业为创新重</w:t>
      </w:r>
      <w:r>
        <w:rPr>
          <w:spacing w:val="-12"/>
        </w:rPr>
        <w:t>点，鼓励企业开展自主创新和引进、消化、吸收再创新，加大关</w:t>
      </w:r>
      <w:r>
        <w:rPr>
          <w:spacing w:val="-13"/>
        </w:rPr>
        <w:t>键技术、共性技术研究，提升企业科技创新水平，推动高新技术</w:t>
      </w:r>
      <w:r>
        <w:rPr>
          <w:spacing w:val="-17"/>
        </w:rPr>
        <w:t>产业规模化和传统产业高端化。推进农业农村科技创新。组织开</w:t>
      </w:r>
      <w:r>
        <w:rPr>
          <w:spacing w:val="-16"/>
        </w:rPr>
        <w:t>展农业新品种、新技术、新模式的集成创新和试验示范，推进农</w:t>
      </w:r>
      <w:r>
        <w:rPr>
          <w:spacing w:val="-14"/>
        </w:rPr>
        <w:t>业产业化、信息化和服务体系的建设。推进民生科技发展。推动</w:t>
      </w:r>
      <w:r>
        <w:rPr>
          <w:spacing w:val="-1"/>
        </w:rPr>
        <w:t>高新技术在公共安全、食品安全、医疗卫生等民生领域的应用， 使科技创新成果惠及广大群众。</w:t>
      </w:r>
    </w:p>
    <w:p>
      <w:pPr>
        <w:pStyle w:val="BodyText"/>
        <w:ind w:left="0"/>
      </w:pPr>
    </w:p>
    <w:p>
      <w:pPr>
        <w:pStyle w:val="BodyText"/>
        <w:tabs>
          <w:tab w:pos="1279" w:val="left" w:leader="none"/>
        </w:tabs>
        <w:spacing w:before="224"/>
        <w:ind w:left="0" w:right="116"/>
        <w:jc w:val="center"/>
        <w:rPr>
          <w:rFonts w:ascii="黑体" w:eastAsia="黑体" w:hint="eastAsia"/>
        </w:rPr>
      </w:pPr>
      <w:r>
        <w:rPr>
          <w:rFonts w:ascii="黑体" w:eastAsia="黑体" w:hint="eastAsia"/>
        </w:rPr>
        <w:t>第五节</w:t>
        <w:tab/>
      </w:r>
      <w:r>
        <w:rPr>
          <w:rFonts w:ascii="黑体" w:eastAsia="黑体" w:hint="eastAsia"/>
          <w:spacing w:val="-1"/>
        </w:rPr>
        <w:t>持续推进国家可持续发展实验区建设</w:t>
      </w:r>
    </w:p>
    <w:p>
      <w:pPr>
        <w:pStyle w:val="BodyText"/>
        <w:spacing w:line="343" w:lineRule="auto" w:before="180"/>
        <w:ind w:right="224" w:firstLine="639"/>
        <w:jc w:val="both"/>
      </w:pPr>
      <w:r>
        <w:rPr>
          <w:spacing w:val="-12"/>
        </w:rPr>
        <w:t>紧紧围绕循环经济、清洁生产、资源综合利用等重点领域开</w:t>
      </w:r>
      <w:r>
        <w:rPr>
          <w:spacing w:val="-16"/>
        </w:rPr>
        <w:t>展探索与实践，建设实验区示范项目 </w:t>
      </w:r>
      <w:r>
        <w:rPr/>
        <w:t>50</w:t>
      </w:r>
      <w:r>
        <w:rPr>
          <w:spacing w:val="-9"/>
        </w:rPr>
        <w:t> 项。以福华、永祥、和</w:t>
      </w:r>
      <w:r>
        <w:rPr>
          <w:spacing w:val="-10"/>
        </w:rPr>
        <w:t>邦等循环经济示范、试点企业为重点，完善循环产业链条，实现</w:t>
      </w:r>
      <w:r>
        <w:rPr>
          <w:spacing w:val="-11"/>
        </w:rPr>
        <w:t>资源利用科学化、环境污染最小化、经济效益最大化的目标。加</w:t>
      </w:r>
      <w:r>
        <w:rPr>
          <w:spacing w:val="-10"/>
        </w:rPr>
        <w:t>大节能减排力度，实施一批节能减排项目，淘汰高耗能、高排放的落后工艺、设备和项目，引进高科技、高附加值、低消耗、低</w:t>
      </w:r>
      <w:r>
        <w:rPr>
          <w:spacing w:val="-12"/>
        </w:rPr>
        <w:t>排放的项目，减少主要污染物排放总量。加强可持续发展理念的宣传，提倡健康、文明，有利于节约资源和保护环境的消费和生</w:t>
      </w:r>
      <w:r>
        <w:rPr>
          <w:spacing w:val="-1"/>
        </w:rPr>
        <w:t>活方式，促进公众参与实验区建设。</w:t>
      </w:r>
    </w:p>
    <w:p>
      <w:pPr>
        <w:spacing w:after="0" w:line="343" w:lineRule="auto"/>
        <w:jc w:val="both"/>
        <w:sectPr>
          <w:pgSz w:w="11910" w:h="16840"/>
          <w:pgMar w:header="0" w:footer="998" w:top="1560" w:bottom="1180" w:left="1420" w:right="1300"/>
        </w:sectPr>
      </w:pPr>
    </w:p>
    <w:p>
      <w:pPr>
        <w:pStyle w:val="Heading2"/>
        <w:tabs>
          <w:tab w:pos="1799" w:val="left" w:leader="none"/>
        </w:tabs>
        <w:spacing w:line="431" w:lineRule="exact"/>
        <w:ind w:right="157"/>
      </w:pPr>
      <w:r>
        <w:rPr/>
        <w:t>第十四章</w:t>
        <w:tab/>
        <w:t>深化改革开放 提升发展活力</w:t>
      </w:r>
    </w:p>
    <w:p>
      <w:pPr>
        <w:pStyle w:val="BodyText"/>
        <w:spacing w:line="343" w:lineRule="auto" w:before="175"/>
        <w:ind w:right="204" w:firstLine="639"/>
      </w:pPr>
      <w:r>
        <w:rPr>
          <w:spacing w:val="-13"/>
        </w:rPr>
        <w:t>全面深化改革，释放改革红利，充分发挥市场在资源配置中</w:t>
      </w:r>
      <w:r>
        <w:rPr>
          <w:spacing w:val="-1"/>
        </w:rPr>
        <w:t>的决定性作用，形成全方位对外开放格局。</w:t>
      </w:r>
    </w:p>
    <w:p>
      <w:pPr>
        <w:pStyle w:val="BodyText"/>
        <w:ind w:left="0"/>
      </w:pPr>
    </w:p>
    <w:p>
      <w:pPr>
        <w:pStyle w:val="BodyText"/>
        <w:tabs>
          <w:tab w:pos="1280" w:val="left" w:leader="none"/>
        </w:tabs>
        <w:spacing w:before="224"/>
        <w:ind w:left="0" w:right="156"/>
        <w:jc w:val="center"/>
        <w:rPr>
          <w:rFonts w:ascii="黑体" w:eastAsia="黑体" w:hint="eastAsia"/>
        </w:rPr>
      </w:pPr>
      <w:r>
        <w:rPr>
          <w:rFonts w:ascii="黑体" w:eastAsia="黑体" w:hint="eastAsia"/>
        </w:rPr>
        <w:t>第一节</w:t>
        <w:tab/>
      </w:r>
      <w:r>
        <w:rPr>
          <w:rFonts w:ascii="黑体" w:eastAsia="黑体" w:hint="eastAsia"/>
          <w:spacing w:val="-1"/>
        </w:rPr>
        <w:t>全面深化改革</w:t>
      </w:r>
    </w:p>
    <w:p>
      <w:pPr>
        <w:pStyle w:val="BodyText"/>
        <w:spacing w:line="343" w:lineRule="auto" w:before="181"/>
        <w:ind w:right="265" w:firstLine="639"/>
        <w:jc w:val="both"/>
      </w:pPr>
      <w:r>
        <w:rPr>
          <w:spacing w:val="-9"/>
        </w:rPr>
        <w:t>积极以改革推动转型、用改革服务发展，实施《区委全面深化改革实施意见重要改革举措实施规划（2014—2020</w:t>
      </w:r>
      <w:r>
        <w:rPr>
          <w:spacing w:val="7"/>
        </w:rPr>
        <w:t> 年</w:t>
      </w:r>
      <w:r>
        <w:rPr>
          <w:spacing w:val="-159"/>
        </w:rPr>
        <w:t>）</w:t>
      </w:r>
      <w:r>
        <w:rPr>
          <w:spacing w:val="-54"/>
        </w:rPr>
        <w:t>》，增</w:t>
      </w:r>
      <w:r>
        <w:rPr>
          <w:spacing w:val="-1"/>
        </w:rPr>
        <w:t>强经济发展的持久动力。</w:t>
      </w:r>
    </w:p>
    <w:p>
      <w:pPr>
        <w:pStyle w:val="BodyText"/>
        <w:spacing w:line="343" w:lineRule="auto" w:before="43"/>
        <w:ind w:right="139" w:firstLine="639"/>
      </w:pPr>
      <w:r>
        <w:rPr>
          <w:spacing w:val="-9"/>
        </w:rPr>
        <w:t>加快政府职能转变。全面依法履行宏观调控、市场监管、社</w:t>
      </w:r>
      <w:r>
        <w:rPr>
          <w:spacing w:val="-13"/>
        </w:rPr>
        <w:t>会管理、公共服务、环境保护等职责，加快建设法治政府和服务</w:t>
      </w:r>
      <w:r>
        <w:rPr>
          <w:spacing w:val="-19"/>
        </w:rPr>
        <w:t>型政府。深入推进行政管理体制改革，推行政府向社会购买服务。探索推进大部门制改革，优化政府机构设置，理顺部门职责。稳妥推进事业单位分类改革，推动事业单位去行政化。深化投融资</w:t>
      </w:r>
      <w:r>
        <w:rPr>
          <w:spacing w:val="-15"/>
        </w:rPr>
        <w:t>体制改革，落实投资项目核准和审批权限，逐步剥离融资平台公</w:t>
      </w:r>
      <w:r>
        <w:rPr>
          <w:spacing w:val="-2"/>
        </w:rPr>
        <w:t>司的政府融资功能，建立健全投融资风险预警和防范机制。</w:t>
      </w:r>
    </w:p>
    <w:p>
      <w:pPr>
        <w:pStyle w:val="BodyText"/>
        <w:spacing w:line="343" w:lineRule="auto" w:before="43"/>
        <w:ind w:right="144" w:firstLine="639"/>
      </w:pPr>
      <w:r>
        <w:rPr>
          <w:spacing w:val="-11"/>
        </w:rPr>
        <w:t>深化农村改革。推进农村综合产权交易平台建设，促进产权</w:t>
      </w:r>
      <w:r>
        <w:rPr>
          <w:spacing w:val="-15"/>
        </w:rPr>
        <w:t>流转规范公开。深化农村土地制度改革，完善农民宅基地管理制</w:t>
      </w:r>
      <w:r>
        <w:rPr>
          <w:spacing w:val="-12"/>
        </w:rPr>
        <w:t>度。完善城乡建设用地增减挂钩办法。适时开展农村集体经营性</w:t>
      </w:r>
      <w:r>
        <w:rPr>
          <w:spacing w:val="-1"/>
        </w:rPr>
        <w:t>建设用地进入公开市场交易试点和农民住房财产权抵押、担保、</w:t>
      </w:r>
      <w:r>
        <w:rPr>
          <w:spacing w:val="-12"/>
        </w:rPr>
        <w:t>转让试点。发展新型农村集体经济，开展农村集体资产股份制改</w:t>
      </w:r>
      <w:r>
        <w:rPr>
          <w:spacing w:val="-18"/>
        </w:rPr>
        <w:t>造试点和增加农民财产性收入改革试点。深化供销合作社综合改</w:t>
      </w:r>
      <w:r>
        <w:rPr>
          <w:spacing w:val="-12"/>
        </w:rPr>
        <w:t>革，改革农村金融制度，建立商业金融、合作金融、政策性金融</w:t>
      </w:r>
    </w:p>
    <w:p>
      <w:pPr>
        <w:pStyle w:val="BodyText"/>
        <w:spacing w:before="43"/>
        <w:ind w:left="0" w:right="154"/>
        <w:jc w:val="center"/>
      </w:pPr>
      <w:r>
        <w:rPr/>
        <w:t>“三位一体”的金融组织体系。完善农业保险制度。鼓励社会资</w:t>
      </w:r>
    </w:p>
    <w:p>
      <w:pPr>
        <w:spacing w:after="0"/>
        <w:jc w:val="center"/>
        <w:sectPr>
          <w:pgSz w:w="11910" w:h="16840"/>
          <w:pgMar w:header="0" w:footer="938" w:top="1540" w:bottom="1180" w:left="1420" w:right="1260"/>
        </w:sectPr>
      </w:pPr>
    </w:p>
    <w:p>
      <w:pPr>
        <w:pStyle w:val="BodyText"/>
        <w:spacing w:line="405" w:lineRule="exact"/>
      </w:pPr>
      <w:r>
        <w:rPr/>
        <w:t>本投向农村建设。</w:t>
      </w:r>
    </w:p>
    <w:p>
      <w:pPr>
        <w:pStyle w:val="BodyText"/>
        <w:spacing w:line="343" w:lineRule="auto" w:before="181"/>
        <w:ind w:right="265" w:firstLine="639"/>
        <w:jc w:val="both"/>
      </w:pPr>
      <w:r>
        <w:rPr>
          <w:spacing w:val="-11"/>
        </w:rPr>
        <w:t>深化国资国企改革。推进政企分开、政资分开，不断增强国</w:t>
      </w:r>
      <w:r>
        <w:rPr>
          <w:spacing w:val="-12"/>
        </w:rPr>
        <w:t>有经济活力、控制力、影响力和抗风险能力。稳步推进国有企业</w:t>
      </w:r>
      <w:r>
        <w:rPr>
          <w:spacing w:val="-10"/>
        </w:rPr>
        <w:t>发展混合所有制改革，加快完善现代企业制度。完善国有资产管</w:t>
      </w:r>
      <w:r>
        <w:rPr>
          <w:spacing w:val="-12"/>
        </w:rPr>
        <w:t>理体制，实现由管企业向管资本为主转变，确保国有资产保值增值。全面推进依法治企，加强和改进党对国有企业的领导。清理</w:t>
      </w:r>
      <w:r>
        <w:rPr>
          <w:spacing w:val="-9"/>
        </w:rPr>
        <w:t>和规范涉企行政事业性收费，完善公平竞争、促进企业健康发展的政策和制度。</w:t>
      </w:r>
    </w:p>
    <w:p>
      <w:pPr>
        <w:pStyle w:val="BodyText"/>
        <w:spacing w:line="343" w:lineRule="auto" w:before="43"/>
        <w:ind w:right="264" w:firstLine="639"/>
        <w:jc w:val="both"/>
      </w:pPr>
      <w:r>
        <w:rPr>
          <w:spacing w:val="-11"/>
        </w:rPr>
        <w:t>深化财税体制改革。推进分税制改革，推动建立事权和支出</w:t>
      </w:r>
      <w:r>
        <w:rPr>
          <w:spacing w:val="-9"/>
        </w:rPr>
        <w:t>责任相适应的财税制度，优化完善一般性转移支付分配办法。完</w:t>
      </w:r>
      <w:r>
        <w:rPr>
          <w:spacing w:val="-11"/>
        </w:rPr>
        <w:t>善政府预算体系，建立全面规范、公开透明的预算制度。转变财</w:t>
      </w:r>
      <w:r>
        <w:rPr>
          <w:spacing w:val="-12"/>
        </w:rPr>
        <w:t>政支持发展方式，建立产业发展投资引导资金和财政金融互动政</w:t>
      </w:r>
      <w:r>
        <w:rPr>
          <w:spacing w:val="-1"/>
        </w:rPr>
        <w:t>策体系。规范政府债务管理，保持债务风险总体可控。</w:t>
      </w:r>
    </w:p>
    <w:p>
      <w:pPr>
        <w:pStyle w:val="BodyText"/>
        <w:spacing w:line="343" w:lineRule="auto" w:before="43"/>
        <w:ind w:right="105" w:firstLine="639"/>
      </w:pPr>
      <w:r>
        <w:rPr>
          <w:spacing w:val="-11"/>
        </w:rPr>
        <w:t>深化金融体制改革。发展普惠金融，支持民间资本依法发起</w:t>
      </w:r>
      <w:r>
        <w:rPr>
          <w:spacing w:val="-17"/>
        </w:rPr>
        <w:t>设立或投资入股中小型银行等金融机构，分类推进城市商业银行产权结构改革，有序发展社区银行、村镇银行。积极发展多层次</w:t>
      </w:r>
      <w:r>
        <w:rPr>
          <w:spacing w:val="-19"/>
        </w:rPr>
        <w:t>资本市场，推进保险业改革，鼓励符合条件的企业上市直接融资。</w:t>
      </w:r>
      <w:r>
        <w:rPr>
          <w:spacing w:val="-18"/>
        </w:rPr>
        <w:t>大力推进农村金融创新，促进小额贷款公司等新型农村金融组织</w:t>
      </w:r>
      <w:r>
        <w:rPr>
          <w:spacing w:val="-14"/>
        </w:rPr>
        <w:t>发展。加强民间借贷监管。提高金融风险防范和处置水平，防止</w:t>
      </w:r>
      <w:r>
        <w:rPr>
          <w:spacing w:val="-1"/>
        </w:rPr>
        <w:t>发生系统性风险。</w:t>
      </w:r>
    </w:p>
    <w:p>
      <w:pPr>
        <w:pStyle w:val="BodyText"/>
        <w:spacing w:line="343" w:lineRule="auto" w:before="43"/>
        <w:ind w:right="137" w:firstLine="639"/>
      </w:pPr>
      <w:r>
        <w:rPr>
          <w:spacing w:val="-1"/>
        </w:rPr>
        <w:t>完善现代市场体系。发展各类生产要素市场，完善劳动力、</w:t>
      </w:r>
      <w:r>
        <w:rPr>
          <w:spacing w:val="-11"/>
        </w:rPr>
        <w:t>土地、资本等要素交易平台。推进电力、水、天然气等要素市场化定价机制。深化土地要素配置和差别化用地机制改革，建立健</w:t>
      </w:r>
    </w:p>
    <w:p>
      <w:pPr>
        <w:spacing w:after="0" w:line="343" w:lineRule="auto"/>
        <w:sectPr>
          <w:pgSz w:w="11910" w:h="16840"/>
          <w:pgMar w:header="0" w:footer="998" w:top="1560" w:bottom="1180" w:left="1420" w:right="1260"/>
        </w:sectPr>
      </w:pPr>
    </w:p>
    <w:p>
      <w:pPr>
        <w:pStyle w:val="BodyText"/>
        <w:spacing w:line="405" w:lineRule="exact"/>
      </w:pPr>
      <w:r>
        <w:rPr/>
        <w:t>全工业用地弹性出让和低效利用土地退出机制。深入推进商事制</w:t>
      </w:r>
    </w:p>
    <w:p>
      <w:pPr>
        <w:pStyle w:val="BodyText"/>
        <w:spacing w:line="343" w:lineRule="auto" w:before="181"/>
        <w:ind w:right="204"/>
      </w:pPr>
      <w:r>
        <w:rPr>
          <w:spacing w:val="-9"/>
          <w:w w:val="100"/>
        </w:rPr>
        <w:t>度改革，落实工商、税务、质监</w:t>
      </w:r>
      <w:r>
        <w:rPr>
          <w:spacing w:val="-20"/>
        </w:rPr>
        <w:t> </w:t>
      </w:r>
      <w:r>
        <w:rPr>
          <w:spacing w:val="-18"/>
          <w:w w:val="100"/>
        </w:rPr>
        <w:t>“三证合一”，稳步推进“先照</w:t>
      </w:r>
      <w:r>
        <w:rPr>
          <w:spacing w:val="-15"/>
        </w:rPr>
        <w:t>后证”。有序推进社会信用体系建设，探索建立统一的社会信用</w:t>
      </w:r>
      <w:r>
        <w:rPr>
          <w:spacing w:val="-1"/>
        </w:rPr>
        <w:t>信息平台，完善事中事后监管。建立公开开放透明的市场规则， </w:t>
      </w:r>
      <w:r>
        <w:rPr>
          <w:spacing w:val="-19"/>
        </w:rPr>
        <w:t>实行“非禁即入”。</w:t>
      </w:r>
    </w:p>
    <w:p>
      <w:pPr>
        <w:pStyle w:val="BodyText"/>
        <w:ind w:left="0"/>
      </w:pPr>
    </w:p>
    <w:p>
      <w:pPr>
        <w:pStyle w:val="BodyText"/>
        <w:tabs>
          <w:tab w:pos="1280" w:val="left" w:leader="none"/>
        </w:tabs>
        <w:spacing w:before="224"/>
        <w:ind w:left="0" w:right="156"/>
        <w:jc w:val="center"/>
        <w:rPr>
          <w:rFonts w:ascii="黑体" w:eastAsia="黑体" w:hint="eastAsia"/>
        </w:rPr>
      </w:pPr>
      <w:r>
        <w:rPr>
          <w:rFonts w:ascii="黑体" w:eastAsia="黑体" w:hint="eastAsia"/>
        </w:rPr>
        <w:t>第二节</w:t>
        <w:tab/>
      </w:r>
      <w:r>
        <w:rPr>
          <w:rFonts w:ascii="黑体" w:eastAsia="黑体" w:hint="eastAsia"/>
          <w:spacing w:val="-1"/>
        </w:rPr>
        <w:t>坚持开放战略</w:t>
      </w:r>
    </w:p>
    <w:p>
      <w:pPr>
        <w:pStyle w:val="BodyText"/>
        <w:spacing w:line="343" w:lineRule="auto" w:before="180"/>
        <w:ind w:right="88" w:firstLine="639"/>
      </w:pPr>
      <w:r>
        <w:rPr>
          <w:spacing w:val="-11"/>
        </w:rPr>
        <w:t>坚持开放与合作。坚持互利共赢的开放战略，统筹做好自主</w:t>
      </w:r>
      <w:r>
        <w:rPr>
          <w:spacing w:val="-18"/>
        </w:rPr>
        <w:t>发展和对外开放，扩大进出口总量，大力支持企业培育自主品牌。</w:t>
      </w:r>
      <w:r>
        <w:rPr>
          <w:spacing w:val="-17"/>
        </w:rPr>
        <w:t>支持企业走出去，壮大太阳能光伏产业，巩固福华农药等产品全</w:t>
      </w:r>
      <w:r>
        <w:rPr>
          <w:spacing w:val="-12"/>
        </w:rPr>
        <w:t>球市场份额。支持重点企业纳入全省“一带一路”</w:t>
      </w:r>
      <w:r>
        <w:rPr>
          <w:spacing w:val="-4"/>
        </w:rPr>
        <w:t>251</w:t>
      </w:r>
      <w:r>
        <w:rPr>
          <w:spacing w:val="-17"/>
        </w:rPr>
        <w:t> 三年行动</w:t>
      </w:r>
      <w:r>
        <w:rPr>
          <w:spacing w:val="-14"/>
        </w:rPr>
        <w:t>计划。加强与先进地区和大企业集团的对接和往来，探索建立互</w:t>
      </w:r>
      <w:r>
        <w:rPr>
          <w:spacing w:val="-19"/>
        </w:rPr>
        <w:t>派干部挂职学习、对话交流等长效机制，重点在水港、机场空港、</w:t>
      </w:r>
      <w:r>
        <w:rPr>
          <w:spacing w:val="-23"/>
        </w:rPr>
        <w:t>综合保税区建设等方面借鉴发达地区的先进经验和做法，大力发</w:t>
      </w:r>
      <w:r>
        <w:rPr>
          <w:spacing w:val="-1"/>
        </w:rPr>
        <w:t>展口岸、空港等通道经济。</w:t>
      </w:r>
    </w:p>
    <w:p>
      <w:pPr>
        <w:pStyle w:val="BodyText"/>
        <w:spacing w:line="343" w:lineRule="auto" w:before="43"/>
        <w:ind w:right="98" w:firstLine="639"/>
      </w:pPr>
      <w:r>
        <w:rPr>
          <w:spacing w:val="-11"/>
        </w:rPr>
        <w:t>创新招商选资。围绕转型升级、发展高新技术产业，有针对</w:t>
      </w:r>
      <w:r>
        <w:rPr>
          <w:spacing w:val="-16"/>
        </w:rPr>
        <w:t>性地开展招商选资。突出产业招商，利用产业配套环境和产业集</w:t>
      </w:r>
      <w:r>
        <w:rPr>
          <w:spacing w:val="-19"/>
        </w:rPr>
        <w:t>群效应，推动现代服务业、高端装备制造、战略性新兴产业招商， </w:t>
      </w:r>
      <w:r>
        <w:rPr>
          <w:spacing w:val="-18"/>
        </w:rPr>
        <w:t>引进一批产业链式化、关联度强的项目。围绕基础设施、能源交</w:t>
      </w:r>
      <w:r>
        <w:rPr>
          <w:spacing w:val="-12"/>
        </w:rPr>
        <w:t>通、现代服务业、现代物流、文化创意等产业，设立产业招商小</w:t>
      </w:r>
      <w:r>
        <w:rPr>
          <w:spacing w:val="-13"/>
        </w:rPr>
        <w:t>组，有目的、有针对性地围绕产业链及配套开展持续招商。推动引资、引技、引智有机结合，根据产业发展需求，明确重点引进</w:t>
      </w:r>
      <w:r>
        <w:rPr>
          <w:spacing w:val="-2"/>
        </w:rPr>
        <w:t>技术和人才，提升招商工作的技术导向性。按照产业园区定位，</w:t>
      </w:r>
    </w:p>
    <w:p>
      <w:pPr>
        <w:spacing w:after="0" w:line="343" w:lineRule="auto"/>
        <w:sectPr>
          <w:pgSz w:w="11910" w:h="16840"/>
          <w:pgMar w:header="0" w:footer="938" w:top="1560" w:bottom="1180" w:left="1420" w:right="1260"/>
        </w:sectPr>
      </w:pPr>
    </w:p>
    <w:p>
      <w:pPr>
        <w:pStyle w:val="BodyText"/>
        <w:spacing w:line="405" w:lineRule="exact"/>
      </w:pPr>
      <w:r>
        <w:rPr/>
        <w:t>突出“精准化”招商，引导园区差异化发展。继续优化利用外资</w:t>
      </w:r>
    </w:p>
    <w:p>
      <w:pPr>
        <w:pStyle w:val="BodyText"/>
        <w:spacing w:line="343" w:lineRule="auto" w:before="181"/>
        <w:ind w:right="139"/>
      </w:pPr>
      <w:r>
        <w:rPr/>
        <w:t>结构，转变利用外资模式，拓宽利用外资渠道。力争“十三五” 期间，累计引进区外资金 380 亿元，利用外资 6960 万美元。</w:t>
      </w:r>
    </w:p>
    <w:p>
      <w:pPr>
        <w:pStyle w:val="BodyText"/>
        <w:spacing w:before="5"/>
        <w:ind w:left="0"/>
        <w:rPr>
          <w:sz w:val="38"/>
        </w:rPr>
      </w:pPr>
    </w:p>
    <w:p>
      <w:pPr>
        <w:pStyle w:val="Heading1"/>
        <w:tabs>
          <w:tab w:pos="1755" w:val="left" w:leader="none"/>
        </w:tabs>
        <w:spacing w:before="1"/>
      </w:pPr>
      <w:r>
        <w:rPr/>
        <w:t>第四篇</w:t>
        <w:tab/>
      </w:r>
      <w:r>
        <w:rPr>
          <w:spacing w:val="-1"/>
        </w:rPr>
        <w:t>社会民生篇</w:t>
      </w:r>
    </w:p>
    <w:p>
      <w:pPr>
        <w:pStyle w:val="Heading2"/>
        <w:tabs>
          <w:tab w:pos="1799" w:val="left" w:leader="none"/>
        </w:tabs>
        <w:spacing w:before="359"/>
        <w:ind w:right="157"/>
      </w:pPr>
      <w:r>
        <w:rPr/>
        <w:t>第十五章</w:t>
        <w:tab/>
        <w:t>保障和改善民生</w:t>
      </w:r>
    </w:p>
    <w:p>
      <w:pPr>
        <w:pStyle w:val="BodyText"/>
        <w:spacing w:line="343" w:lineRule="auto" w:before="175"/>
        <w:ind w:right="265" w:firstLine="639"/>
        <w:jc w:val="both"/>
      </w:pPr>
      <w:r>
        <w:rPr>
          <w:spacing w:val="-12"/>
        </w:rPr>
        <w:t>坚持民生为本，共建共享，逐步完善基本公共服务体系，切</w:t>
      </w:r>
      <w:r>
        <w:rPr>
          <w:spacing w:val="-11"/>
        </w:rPr>
        <w:t>实维护好、实现好、发展好人民群众最关心、最直接、最现实的</w:t>
      </w:r>
      <w:r>
        <w:rPr>
          <w:spacing w:val="-1"/>
        </w:rPr>
        <w:t>切身利益，全面提升人民群众幸福指数。</w:t>
      </w:r>
    </w:p>
    <w:p>
      <w:pPr>
        <w:pStyle w:val="BodyText"/>
        <w:ind w:left="0"/>
      </w:pPr>
    </w:p>
    <w:p>
      <w:pPr>
        <w:pStyle w:val="BodyText"/>
        <w:tabs>
          <w:tab w:pos="1280" w:val="left" w:leader="none"/>
        </w:tabs>
        <w:spacing w:before="224"/>
        <w:ind w:left="0" w:right="156"/>
        <w:jc w:val="center"/>
        <w:rPr>
          <w:rFonts w:ascii="黑体" w:eastAsia="黑体" w:hint="eastAsia"/>
        </w:rPr>
      </w:pPr>
      <w:r>
        <w:rPr>
          <w:rFonts w:ascii="黑体" w:eastAsia="黑体" w:hint="eastAsia"/>
        </w:rPr>
        <w:t>第一节</w:t>
        <w:tab/>
      </w:r>
      <w:r>
        <w:rPr>
          <w:rFonts w:ascii="黑体" w:eastAsia="黑体" w:hint="eastAsia"/>
          <w:spacing w:val="-1"/>
        </w:rPr>
        <w:t>推动创业就业</w:t>
      </w:r>
    </w:p>
    <w:p>
      <w:pPr>
        <w:pStyle w:val="BodyText"/>
        <w:spacing w:line="343" w:lineRule="auto" w:before="181"/>
        <w:ind w:right="98" w:firstLine="639"/>
      </w:pPr>
      <w:r>
        <w:rPr/>
        <w:t>坚持就业优先，实施积极的就业政策。大力促进充分就业， </w:t>
      </w:r>
      <w:r>
        <w:rPr>
          <w:spacing w:val="-8"/>
        </w:rPr>
        <w:t>以转变经济发展方式促进就业，以项目建设扩大就业，以自主创</w:t>
      </w:r>
      <w:r>
        <w:rPr>
          <w:spacing w:val="-14"/>
        </w:rPr>
        <w:t>业带动就业，积极开发就业岗位，扩大就业规模。重点做好高校</w:t>
      </w:r>
      <w:r>
        <w:rPr>
          <w:spacing w:val="-19"/>
        </w:rPr>
        <w:t>毕业生、农村转移劳动力、就业困难群体和退役军人等就业工作。</w:t>
      </w:r>
    </w:p>
    <w:p>
      <w:pPr>
        <w:pStyle w:val="BodyText"/>
        <w:spacing w:line="343" w:lineRule="auto" w:before="43"/>
        <w:ind w:right="139"/>
      </w:pPr>
      <w:r>
        <w:rPr>
          <w:spacing w:val="-14"/>
        </w:rPr>
        <w:t>“十三五”期间，累计新增就业人数 </w:t>
      </w:r>
      <w:r>
        <w:rPr/>
        <w:t>2</w:t>
      </w:r>
      <w:r>
        <w:rPr>
          <w:spacing w:val="-13"/>
        </w:rPr>
        <w:t> 万人，城镇登记失业率控</w:t>
      </w:r>
      <w:r>
        <w:rPr>
          <w:spacing w:val="-38"/>
        </w:rPr>
        <w:t>制在 </w:t>
      </w:r>
      <w:r>
        <w:rPr/>
        <w:t>4.2%以内。</w:t>
      </w:r>
    </w:p>
    <w:p>
      <w:pPr>
        <w:pStyle w:val="BodyText"/>
        <w:spacing w:line="343" w:lineRule="auto" w:before="43"/>
        <w:ind w:right="89" w:firstLine="639"/>
      </w:pPr>
      <w:r>
        <w:rPr>
          <w:spacing w:val="-11"/>
        </w:rPr>
        <w:t>拓宽就业渠道。适度发展劳动密集型产业，大力发展城乡服</w:t>
      </w:r>
      <w:r>
        <w:rPr>
          <w:spacing w:val="-13"/>
        </w:rPr>
        <w:t>务业，提升就业吸纳能力，努力增加就业岗位。建立劳动力市场</w:t>
      </w:r>
      <w:r>
        <w:rPr>
          <w:spacing w:val="-20"/>
        </w:rPr>
        <w:t>网络体系。全面建设基层公共就业服务平台，提升服务群众能力。</w:t>
      </w:r>
      <w:r>
        <w:rPr>
          <w:spacing w:val="-17"/>
        </w:rPr>
        <w:t>做好乐山公共招聘网的推广应用，推进就业服务制度化、专业化、</w:t>
      </w:r>
      <w:r>
        <w:rPr>
          <w:spacing w:val="-16"/>
        </w:rPr>
        <w:t>社会化建设，每年为城乡劳动者提供就业信息服务 </w:t>
      </w:r>
      <w:r>
        <w:rPr/>
        <w:t>1</w:t>
      </w:r>
      <w:r>
        <w:rPr>
          <w:spacing w:val="1"/>
        </w:rPr>
        <w:t> 万人次以</w:t>
      </w:r>
    </w:p>
    <w:p>
      <w:pPr>
        <w:spacing w:after="0" w:line="343" w:lineRule="auto"/>
        <w:sectPr>
          <w:pgSz w:w="11910" w:h="16840"/>
          <w:pgMar w:header="0" w:footer="998" w:top="1560" w:bottom="1180" w:left="1420" w:right="1260"/>
        </w:sectPr>
      </w:pPr>
    </w:p>
    <w:p>
      <w:pPr>
        <w:pStyle w:val="BodyText"/>
        <w:spacing w:line="405" w:lineRule="exact"/>
      </w:pPr>
      <w:r>
        <w:rPr/>
        <w:t>上，努力推动实现更高质量的就业。</w:t>
      </w:r>
    </w:p>
    <w:p>
      <w:pPr>
        <w:pStyle w:val="BodyText"/>
        <w:spacing w:line="343" w:lineRule="auto" w:before="181"/>
        <w:ind w:right="226" w:firstLine="639"/>
        <w:jc w:val="both"/>
      </w:pPr>
      <w:r>
        <w:rPr>
          <w:spacing w:val="-9"/>
        </w:rPr>
        <w:t>完善职业培训体系。积极实施“创业培训加小额贷款”、创业+技能培训新模式，继续实施农村“千万农民工培训”工程， </w:t>
      </w:r>
      <w:r>
        <w:rPr>
          <w:spacing w:val="-17"/>
        </w:rPr>
        <w:t>做好失地农民就业培训，完成职业培训 </w:t>
      </w:r>
      <w:r>
        <w:rPr/>
        <w:t>1.2</w:t>
      </w:r>
      <w:r>
        <w:rPr>
          <w:spacing w:val="-18"/>
        </w:rPr>
        <w:t> 万人次，其中农民素</w:t>
      </w:r>
    </w:p>
    <w:p>
      <w:pPr>
        <w:pStyle w:val="BodyText"/>
        <w:spacing w:line="343" w:lineRule="auto" w:before="43"/>
        <w:ind w:right="109"/>
      </w:pPr>
      <w:r>
        <w:rPr>
          <w:spacing w:val="-16"/>
        </w:rPr>
        <w:t>质、农村技能培训 </w:t>
      </w:r>
      <w:r>
        <w:rPr/>
        <w:t>1</w:t>
      </w:r>
      <w:r>
        <w:rPr>
          <w:spacing w:val="-14"/>
        </w:rPr>
        <w:t> 万人次。积极扩大劳务输出。积极开发区外</w:t>
      </w:r>
      <w:r>
        <w:rPr>
          <w:spacing w:val="-2"/>
        </w:rPr>
        <w:t>劳动力市场，提高劳务输出的组织化程度，扩大劳务输出数量。</w:t>
      </w:r>
    </w:p>
    <w:p>
      <w:pPr>
        <w:pStyle w:val="BodyText"/>
        <w:spacing w:line="343" w:lineRule="auto" w:before="43"/>
        <w:ind w:right="109" w:firstLine="639"/>
      </w:pPr>
      <w:r>
        <w:rPr>
          <w:spacing w:val="-9"/>
        </w:rPr>
        <w:t>推动创业就业。积极营造“大众创业、万众创新”氛围，形</w:t>
      </w:r>
      <w:r>
        <w:rPr>
          <w:spacing w:val="-1"/>
        </w:rPr>
        <w:t>成创业就业新局面。依托社区开发公益性岗位和灵活就业市场， </w:t>
      </w:r>
      <w:r>
        <w:rPr>
          <w:spacing w:val="-10"/>
        </w:rPr>
        <w:t>落实创业就业扶持政策，全面推进省级创业型城市建设。加大创</w:t>
      </w:r>
      <w:r>
        <w:rPr>
          <w:spacing w:val="-15"/>
        </w:rPr>
        <w:t>业培训力度，强化创业服务，努力营造创业的良好氛围。积极引</w:t>
      </w:r>
      <w:r>
        <w:rPr>
          <w:spacing w:val="-16"/>
        </w:rPr>
        <w:t>导青年大学生、下岗失业人员、返乡农民工、退役军人通过自主</w:t>
      </w:r>
      <w:r>
        <w:rPr>
          <w:spacing w:val="-2"/>
        </w:rPr>
        <w:t>创业、自谋职业，实现创业就业，发挥创业促就业的倍增效应。</w:t>
      </w:r>
    </w:p>
    <w:p>
      <w:pPr>
        <w:pStyle w:val="BodyText"/>
        <w:ind w:left="0"/>
      </w:pPr>
    </w:p>
    <w:p>
      <w:pPr>
        <w:pStyle w:val="BodyText"/>
        <w:tabs>
          <w:tab w:pos="1289" w:val="left" w:leader="none"/>
        </w:tabs>
        <w:spacing w:before="224"/>
        <w:ind w:left="0" w:right="116"/>
        <w:jc w:val="center"/>
        <w:rPr>
          <w:rFonts w:ascii="黑体" w:eastAsia="黑体" w:hint="eastAsia"/>
        </w:rPr>
      </w:pPr>
      <w:r>
        <w:rPr>
          <w:rFonts w:ascii="黑体" w:eastAsia="黑体" w:hint="eastAsia"/>
        </w:rPr>
        <w:t>第二节</w:t>
        <w:tab/>
      </w:r>
      <w:r>
        <w:rPr>
          <w:rFonts w:ascii="黑体" w:eastAsia="黑体" w:hint="eastAsia"/>
          <w:spacing w:val="-1"/>
        </w:rPr>
        <w:t>健全社会保障体系</w:t>
      </w:r>
    </w:p>
    <w:p>
      <w:pPr>
        <w:pStyle w:val="BodyText"/>
        <w:spacing w:line="343" w:lineRule="auto" w:before="180"/>
        <w:ind w:right="227" w:firstLine="639"/>
        <w:jc w:val="both"/>
      </w:pPr>
      <w:r>
        <w:rPr>
          <w:spacing w:val="-11"/>
        </w:rPr>
        <w:t>加快社会保障制度改革，建立健全与经济发展水平相适应的社会保障体系。</w:t>
      </w:r>
    </w:p>
    <w:p>
      <w:pPr>
        <w:pStyle w:val="BodyText"/>
        <w:spacing w:line="343" w:lineRule="auto" w:before="43"/>
        <w:ind w:right="225" w:firstLine="639"/>
        <w:jc w:val="both"/>
      </w:pPr>
      <w:r>
        <w:rPr>
          <w:spacing w:val="-10"/>
        </w:rPr>
        <w:t>扩大社会保障覆盖面。夯实基层服务平台建设，积极稳妥地</w:t>
      </w:r>
      <w:r>
        <w:rPr>
          <w:spacing w:val="-12"/>
        </w:rPr>
        <w:t>实施“金保工程”，加快建设“五险合一”信息系统。进一步完</w:t>
      </w:r>
      <w:r>
        <w:rPr>
          <w:spacing w:val="-11"/>
        </w:rPr>
        <w:t>善城镇基本养老、医疗、失业、工伤和生育保险制度，到 </w:t>
      </w:r>
      <w:r>
        <w:rPr/>
        <w:t>2020 </w:t>
      </w:r>
      <w:r>
        <w:rPr>
          <w:spacing w:val="-8"/>
        </w:rPr>
        <w:t>年参保人数分别达到 </w:t>
      </w:r>
      <w:r>
        <w:rPr/>
        <w:t>10</w:t>
      </w:r>
      <w:r>
        <w:rPr>
          <w:spacing w:val="-20"/>
        </w:rPr>
        <w:t> 万人、</w:t>
      </w:r>
      <w:r>
        <w:rPr/>
        <w:t>5</w:t>
      </w:r>
      <w:r>
        <w:rPr>
          <w:spacing w:val="-20"/>
        </w:rPr>
        <w:t> 万人、</w:t>
      </w:r>
      <w:r>
        <w:rPr/>
        <w:t>1</w:t>
      </w:r>
      <w:r>
        <w:rPr>
          <w:spacing w:val="-20"/>
        </w:rPr>
        <w:t> 万人、</w:t>
      </w:r>
      <w:r>
        <w:rPr/>
        <w:t>2.1</w:t>
      </w:r>
      <w:r>
        <w:rPr>
          <w:spacing w:val="-32"/>
        </w:rPr>
        <w:t> 万人和 </w:t>
      </w:r>
      <w:r>
        <w:rPr/>
        <w:t>1.5 </w:t>
      </w:r>
      <w:r>
        <w:rPr>
          <w:spacing w:val="-12"/>
        </w:rPr>
        <w:t>万人。切实抓好失地农民的社会保障工作，完善城乡居民最低生</w:t>
      </w:r>
      <w:r>
        <w:rPr>
          <w:spacing w:val="-1"/>
        </w:rPr>
        <w:t>活保障制度。</w:t>
      </w:r>
    </w:p>
    <w:p>
      <w:pPr>
        <w:pStyle w:val="BodyText"/>
        <w:spacing w:before="43"/>
        <w:ind w:left="750"/>
      </w:pPr>
      <w:r>
        <w:rPr/>
        <w:t>加大对弱势群体、特殊人群的扶持和救助力度。建立和完善</w:t>
      </w:r>
    </w:p>
    <w:p>
      <w:pPr>
        <w:spacing w:after="0"/>
        <w:sectPr>
          <w:pgSz w:w="11910" w:h="16840"/>
          <w:pgMar w:header="0" w:footer="938" w:top="1560" w:bottom="1180" w:left="1420" w:right="1300"/>
        </w:sectPr>
      </w:pPr>
    </w:p>
    <w:p>
      <w:pPr>
        <w:pStyle w:val="BodyText"/>
        <w:spacing w:line="405" w:lineRule="exact"/>
        <w:jc w:val="both"/>
      </w:pPr>
      <w:r>
        <w:rPr/>
        <w:t>城乡医疗救助制度，适时调整社会救助、社会福利、优抚安置等</w:t>
      </w:r>
    </w:p>
    <w:p>
      <w:pPr>
        <w:pStyle w:val="BodyText"/>
        <w:spacing w:line="343" w:lineRule="auto" w:before="181"/>
        <w:ind w:right="266"/>
        <w:jc w:val="both"/>
      </w:pPr>
      <w:r>
        <w:rPr>
          <w:spacing w:val="-12"/>
        </w:rPr>
        <w:t>社会保障标准。发展残疾人事业，建成残疾人康复中心，切实做</w:t>
      </w:r>
      <w:r>
        <w:rPr>
          <w:spacing w:val="-10"/>
        </w:rPr>
        <w:t>好残疾人服务、治疗、康复等工作，切实保障残疾人、妇女、儿</w:t>
      </w:r>
      <w:r>
        <w:rPr>
          <w:spacing w:val="-1"/>
        </w:rPr>
        <w:t>童、未成年人的合法权益。</w:t>
      </w:r>
    </w:p>
    <w:p>
      <w:pPr>
        <w:pStyle w:val="BodyText"/>
        <w:ind w:left="0"/>
      </w:pPr>
    </w:p>
    <w:p>
      <w:pPr>
        <w:pStyle w:val="BodyText"/>
        <w:tabs>
          <w:tab w:pos="1279" w:val="left" w:leader="none"/>
        </w:tabs>
        <w:spacing w:before="224"/>
        <w:ind w:left="0" w:right="155"/>
        <w:jc w:val="center"/>
        <w:rPr>
          <w:rFonts w:ascii="黑体" w:eastAsia="黑体" w:hint="eastAsia"/>
        </w:rPr>
      </w:pPr>
      <w:r>
        <w:rPr>
          <w:rFonts w:ascii="黑体" w:eastAsia="黑体" w:hint="eastAsia"/>
        </w:rPr>
        <w:t>第三节</w:t>
        <w:tab/>
      </w:r>
      <w:r>
        <w:rPr>
          <w:rFonts w:ascii="黑体" w:eastAsia="黑体" w:hint="eastAsia"/>
          <w:spacing w:val="-1"/>
        </w:rPr>
        <w:t>提高人民生活水平</w:t>
      </w:r>
    </w:p>
    <w:p>
      <w:pPr>
        <w:pStyle w:val="BodyText"/>
        <w:spacing w:line="343" w:lineRule="auto" w:before="180"/>
        <w:ind w:right="149" w:firstLine="627"/>
      </w:pPr>
      <w:r>
        <w:rPr>
          <w:spacing w:val="-9"/>
        </w:rPr>
        <w:t>全力办好民生大事，不断提高居民生活水平。实施好通村公</w:t>
      </w:r>
      <w:r>
        <w:rPr>
          <w:spacing w:val="-11"/>
        </w:rPr>
        <w:t>路、农村饮水安全、危旧房改造等民生大事。加强企业职工、农</w:t>
      </w:r>
      <w:r>
        <w:rPr>
          <w:spacing w:val="-1"/>
        </w:rPr>
        <w:t>民工工资支付保障建设，健全机关事业单位工资收入分配制度。</w:t>
      </w:r>
      <w:r>
        <w:rPr>
          <w:spacing w:val="-9"/>
        </w:rPr>
        <w:t>努力改善居民衣食住行条件，创建舒适优美的生活环境。调整住</w:t>
      </w:r>
      <w:r>
        <w:rPr>
          <w:spacing w:val="-14"/>
        </w:rPr>
        <w:t>房供应结构，加大保障性住房、廉租房和公租房建设力度，增加</w:t>
      </w:r>
      <w:r>
        <w:rPr>
          <w:spacing w:val="-16"/>
        </w:rPr>
        <w:t>中低收入者住房供给。加强工资收入分配调控和指导，逐步提高</w:t>
      </w:r>
      <w:r>
        <w:rPr>
          <w:spacing w:val="-1"/>
        </w:rPr>
        <w:t>最低工资标准和基本养老保险金水平，着力增加低收入者收入， </w:t>
      </w:r>
      <w:r>
        <w:rPr>
          <w:spacing w:val="-9"/>
        </w:rPr>
        <w:t>扩大中等收入者比重，有效调节过高收入，保护合法性收入。拓</w:t>
      </w:r>
      <w:r>
        <w:rPr>
          <w:spacing w:val="-2"/>
        </w:rPr>
        <w:t>宽城乡居民增收渠道，缩小城乡、社会成员之间分配差距。</w:t>
      </w:r>
    </w:p>
    <w:p>
      <w:pPr>
        <w:pStyle w:val="BodyText"/>
        <w:spacing w:before="7"/>
        <w:ind w:left="0"/>
        <w:rPr>
          <w:sz w:val="45"/>
        </w:rPr>
      </w:pPr>
    </w:p>
    <w:p>
      <w:pPr>
        <w:pStyle w:val="Heading2"/>
        <w:tabs>
          <w:tab w:pos="1799" w:val="left" w:leader="none"/>
        </w:tabs>
        <w:ind w:right="157"/>
      </w:pPr>
      <w:r>
        <w:rPr/>
        <w:t>第十六章</w:t>
        <w:tab/>
        <w:t>推进社会事业全面进步</w:t>
      </w:r>
    </w:p>
    <w:p>
      <w:pPr>
        <w:pStyle w:val="BodyText"/>
        <w:tabs>
          <w:tab w:pos="1279" w:val="left" w:leader="none"/>
        </w:tabs>
        <w:spacing w:before="175"/>
        <w:ind w:left="0" w:right="155"/>
        <w:jc w:val="center"/>
        <w:rPr>
          <w:rFonts w:ascii="黑体" w:eastAsia="黑体" w:hint="eastAsia"/>
        </w:rPr>
      </w:pPr>
      <w:r>
        <w:rPr>
          <w:rFonts w:ascii="黑体" w:eastAsia="黑体" w:hint="eastAsia"/>
        </w:rPr>
        <w:t>第一节</w:t>
        <w:tab/>
      </w:r>
      <w:r>
        <w:rPr>
          <w:rFonts w:ascii="黑体" w:eastAsia="黑体" w:hint="eastAsia"/>
          <w:spacing w:val="-1"/>
        </w:rPr>
        <w:t>加快发展教育事业</w:t>
      </w:r>
    </w:p>
    <w:p>
      <w:pPr>
        <w:pStyle w:val="BodyText"/>
        <w:spacing w:line="343" w:lineRule="auto" w:before="181"/>
        <w:ind w:right="139" w:firstLine="639"/>
      </w:pPr>
      <w:r>
        <w:rPr>
          <w:spacing w:val="-9"/>
        </w:rPr>
        <w:t>落实教育优先发展地位，坚持育人为本，促进公平均衡，全</w:t>
      </w:r>
      <w:r>
        <w:rPr>
          <w:spacing w:val="-1"/>
        </w:rPr>
        <w:t>面实施素质教育，统筹各级各类教育协调发展。</w:t>
      </w:r>
    </w:p>
    <w:p>
      <w:pPr>
        <w:pStyle w:val="BodyText"/>
        <w:spacing w:line="343" w:lineRule="auto" w:before="43"/>
        <w:ind w:right="139" w:firstLine="639"/>
      </w:pPr>
      <w:r>
        <w:rPr>
          <w:spacing w:val="-6"/>
          <w:w w:val="100"/>
        </w:rPr>
        <w:t>普及学前教育。推进第二轮学前教育三年行动计划，“十三</w:t>
      </w:r>
      <w:r>
        <w:rPr>
          <w:spacing w:val="-36"/>
        </w:rPr>
        <w:t>五”期间，新建 </w:t>
      </w:r>
      <w:r>
        <w:rPr/>
        <w:t>3</w:t>
      </w:r>
      <w:r>
        <w:rPr>
          <w:spacing w:val="-14"/>
        </w:rPr>
        <w:t> 所乡镇公办中心幼儿园，规范发展民办幼儿园， </w:t>
      </w:r>
      <w:r>
        <w:rPr>
          <w:spacing w:val="-20"/>
        </w:rPr>
        <w:t>全区学前三年幼儿入园率达到 </w:t>
      </w:r>
      <w:r>
        <w:rPr/>
        <w:t>95%。</w:t>
      </w:r>
    </w:p>
    <w:p>
      <w:pPr>
        <w:spacing w:after="0" w:line="343" w:lineRule="auto"/>
        <w:sectPr>
          <w:pgSz w:w="11910" w:h="16840"/>
          <w:pgMar w:header="0" w:footer="998" w:top="1560" w:bottom="1180" w:left="1420" w:right="1260"/>
        </w:sectPr>
      </w:pPr>
    </w:p>
    <w:p>
      <w:pPr>
        <w:pStyle w:val="BodyText"/>
        <w:spacing w:line="405" w:lineRule="exact"/>
        <w:ind w:firstLine="639"/>
        <w:jc w:val="both"/>
      </w:pPr>
      <w:r>
        <w:rPr/>
        <w:t>均衡发展义务教育。全面改造薄弱学校基本办学条件，推进</w:t>
      </w:r>
    </w:p>
    <w:p>
      <w:pPr>
        <w:pStyle w:val="BodyText"/>
        <w:spacing w:line="343" w:lineRule="auto" w:before="181"/>
        <w:ind w:right="139"/>
      </w:pPr>
      <w:r>
        <w:rPr/>
        <w:t>义务教育学校标准化建设，实施教育信息化建设工程，均衡配置教育资源，促进教育均衡发展。推进素质教育，优化学校布局， 促进学校特色发展。加强中小学德育教育。</w:t>
      </w:r>
    </w:p>
    <w:p>
      <w:pPr>
        <w:pStyle w:val="BodyText"/>
        <w:spacing w:line="343" w:lineRule="auto" w:before="43"/>
        <w:ind w:right="266" w:firstLine="639"/>
        <w:jc w:val="both"/>
      </w:pPr>
      <w:r>
        <w:rPr>
          <w:spacing w:val="-11"/>
        </w:rPr>
        <w:t>优化发展高中教育。普及高中阶段教育，主动对接国家高考</w:t>
      </w:r>
      <w:r>
        <w:rPr>
          <w:spacing w:val="-12"/>
        </w:rPr>
        <w:t>制度改革，改革教师教学方式和学生学习方式，进一步提高普通高中教育质量。发挥五通桥中学的示范和带动作用，发展牛华中</w:t>
      </w:r>
      <w:r>
        <w:rPr>
          <w:spacing w:val="-1"/>
        </w:rPr>
        <w:t>学艺术特色，推进普职融通综合高中建设。</w:t>
      </w:r>
    </w:p>
    <w:p>
      <w:pPr>
        <w:pStyle w:val="BodyText"/>
        <w:spacing w:line="343" w:lineRule="auto" w:before="43"/>
        <w:ind w:right="106" w:firstLine="639"/>
        <w:jc w:val="both"/>
      </w:pPr>
      <w:r>
        <w:rPr>
          <w:spacing w:val="-10"/>
        </w:rPr>
        <w:t>创新发展职业教育。逐步推进中等职业教育免除学杂费，深</w:t>
      </w:r>
      <w:r>
        <w:rPr>
          <w:spacing w:val="-15"/>
        </w:rPr>
        <w:t>入推进产教结合，校企合作和工学结合，加强竹根职业中专学校</w:t>
      </w:r>
      <w:r>
        <w:rPr>
          <w:spacing w:val="-37"/>
        </w:rPr>
        <w:t>专业建设，创建 </w:t>
      </w:r>
      <w:r>
        <w:rPr/>
        <w:t>1</w:t>
      </w:r>
      <w:r>
        <w:rPr>
          <w:spacing w:val="-26"/>
        </w:rPr>
        <w:t> 个省级重点专业，新开设 </w:t>
      </w:r>
      <w:r>
        <w:rPr/>
        <w:t>2</w:t>
      </w:r>
      <w:r>
        <w:rPr>
          <w:spacing w:val="-10"/>
        </w:rPr>
        <w:t> 个适应市场的专业，</w:t>
      </w:r>
    </w:p>
    <w:p>
      <w:pPr>
        <w:pStyle w:val="BodyText"/>
        <w:spacing w:line="343" w:lineRule="auto" w:before="43"/>
        <w:ind w:right="204"/>
      </w:pPr>
      <w:r>
        <w:rPr>
          <w:spacing w:val="-33"/>
        </w:rPr>
        <w:t>到 </w:t>
      </w:r>
      <w:r>
        <w:rPr/>
        <w:t>2020</w:t>
      </w:r>
      <w:r>
        <w:rPr>
          <w:spacing w:val="-9"/>
        </w:rPr>
        <w:t> 年，力争创建为国家级重点中职学校。健全完善教育资</w:t>
      </w:r>
      <w:r>
        <w:rPr>
          <w:spacing w:val="-1"/>
        </w:rPr>
        <w:t>助体系，实现贫困家庭子女教育资助全覆盖。</w:t>
      </w:r>
    </w:p>
    <w:p>
      <w:pPr>
        <w:pStyle w:val="BodyText"/>
        <w:ind w:left="0"/>
      </w:pPr>
    </w:p>
    <w:p>
      <w:pPr>
        <w:pStyle w:val="BodyText"/>
        <w:tabs>
          <w:tab w:pos="3572" w:val="left" w:leader="none"/>
        </w:tabs>
        <w:spacing w:before="224"/>
        <w:ind w:left="2292"/>
        <w:rPr>
          <w:rFonts w:ascii="黑体" w:eastAsia="黑体" w:hint="eastAsia"/>
        </w:rPr>
      </w:pPr>
      <w:r>
        <w:rPr>
          <w:rFonts w:ascii="黑体" w:eastAsia="黑体" w:hint="eastAsia"/>
        </w:rPr>
        <w:t>第二节</w:t>
        <w:tab/>
      </w:r>
      <w:r>
        <w:rPr>
          <w:rFonts w:ascii="黑体" w:eastAsia="黑体" w:hint="eastAsia"/>
          <w:spacing w:val="-1"/>
        </w:rPr>
        <w:t>协调发展卫生计生事业</w:t>
      </w:r>
    </w:p>
    <w:p>
      <w:pPr>
        <w:pStyle w:val="BodyText"/>
        <w:spacing w:line="343" w:lineRule="auto" w:before="180"/>
        <w:ind w:right="204" w:firstLine="639"/>
      </w:pPr>
      <w:r>
        <w:rPr>
          <w:spacing w:val="-11"/>
        </w:rPr>
        <w:t>推进公共服务均等化，构建人人享有方便快捷的卫生计生服务体系。</w:t>
      </w:r>
    </w:p>
    <w:p>
      <w:pPr>
        <w:pStyle w:val="BodyText"/>
        <w:spacing w:line="343" w:lineRule="auto" w:before="43"/>
        <w:ind w:right="139" w:firstLine="639"/>
      </w:pPr>
      <w:r>
        <w:rPr>
          <w:spacing w:val="-10"/>
        </w:rPr>
        <w:t>提高医疗卫生水平。以维护人民健康为中心，深化医药卫生</w:t>
      </w:r>
      <w:r>
        <w:rPr>
          <w:spacing w:val="-15"/>
        </w:rPr>
        <w:t>体制改革，进一步合理配置资源，建立较为完善的基本医疗卫生</w:t>
      </w:r>
      <w:r>
        <w:rPr>
          <w:spacing w:val="-17"/>
        </w:rPr>
        <w:t>制度和医疗卫生服务体系，优化医疗卫生机构布局。实施医疗卫</w:t>
      </w:r>
      <w:r>
        <w:rPr>
          <w:spacing w:val="-1"/>
        </w:rPr>
        <w:t>生机构建设提升工程和卫生信息化工程，完成区中医医院迁建， </w:t>
      </w:r>
      <w:r>
        <w:rPr>
          <w:spacing w:val="-11"/>
        </w:rPr>
        <w:t>完成区疾控中心、执法大队业务用房建设项目，改扩建区精神病</w:t>
      </w:r>
      <w:r>
        <w:rPr>
          <w:spacing w:val="-18"/>
        </w:rPr>
        <w:t>医院，迁建竹根社区卫生服务中心。“十三五”期间，疾控中心</w:t>
      </w:r>
    </w:p>
    <w:p>
      <w:pPr>
        <w:spacing w:after="0" w:line="343" w:lineRule="auto"/>
        <w:sectPr>
          <w:pgSz w:w="11910" w:h="16840"/>
          <w:pgMar w:header="0" w:footer="938" w:top="1560" w:bottom="1180" w:left="1420" w:right="1260"/>
        </w:sectPr>
      </w:pPr>
    </w:p>
    <w:p>
      <w:pPr>
        <w:pStyle w:val="BodyText"/>
        <w:spacing w:line="405" w:lineRule="exact"/>
      </w:pPr>
      <w:r>
        <w:rPr/>
        <w:t>通过二级乙等疾控机构等级评审，力争妇幼保健院建成二级甲等</w:t>
      </w:r>
    </w:p>
    <w:p>
      <w:pPr>
        <w:pStyle w:val="BodyText"/>
        <w:spacing w:line="343" w:lineRule="auto" w:before="181"/>
        <w:ind w:right="98"/>
      </w:pPr>
      <w:r>
        <w:rPr>
          <w:spacing w:val="-18"/>
        </w:rPr>
        <w:t>妇幼保健院，力争金山镇、西坝镇中心卫生院建成二级乙等医院， </w:t>
      </w:r>
      <w:r>
        <w:rPr>
          <w:spacing w:val="-22"/>
        </w:rPr>
        <w:t>乡镇卫生院全部达到一级甲等医院级以上标准，标准化村卫生室</w:t>
      </w:r>
      <w:r>
        <w:rPr>
          <w:spacing w:val="-29"/>
        </w:rPr>
        <w:t>达到 </w:t>
      </w:r>
      <w:r>
        <w:rPr/>
        <w:t>95%以上。每千人口执业（助理）</w:t>
      </w:r>
      <w:r>
        <w:rPr>
          <w:spacing w:val="-8"/>
        </w:rPr>
        <w:t>医师数达到 </w:t>
      </w:r>
      <w:r>
        <w:rPr/>
        <w:t>2.18</w:t>
      </w:r>
      <w:r>
        <w:rPr>
          <w:spacing w:val="-12"/>
        </w:rPr>
        <w:t> 人、注</w:t>
      </w:r>
      <w:r>
        <w:rPr>
          <w:spacing w:val="-23"/>
        </w:rPr>
        <w:t>册护士数达到 </w:t>
      </w:r>
      <w:r>
        <w:rPr/>
        <w:t>1.6</w:t>
      </w:r>
      <w:r>
        <w:rPr>
          <w:spacing w:val="-23"/>
        </w:rPr>
        <w:t> 人、拥有病床数达到 </w:t>
      </w:r>
      <w:r>
        <w:rPr/>
        <w:t>5.4</w:t>
      </w:r>
      <w:r>
        <w:rPr>
          <w:spacing w:val="-17"/>
        </w:rPr>
        <w:t> 张，基本满足群众就</w:t>
      </w:r>
      <w:r>
        <w:rPr>
          <w:spacing w:val="-1"/>
        </w:rPr>
        <w:t>医保健需求。</w:t>
      </w:r>
    </w:p>
    <w:p>
      <w:pPr>
        <w:pStyle w:val="BodyText"/>
        <w:spacing w:line="343" w:lineRule="auto" w:before="43"/>
        <w:ind w:right="144" w:firstLine="639"/>
      </w:pPr>
      <w:r>
        <w:rPr>
          <w:spacing w:val="-9"/>
        </w:rPr>
        <w:t>加强人口计划生育工作。坚持计划生育基本国策，全面实施</w:t>
      </w:r>
      <w:r>
        <w:rPr>
          <w:spacing w:val="-15"/>
        </w:rPr>
        <w:t>一对夫妇可生育两个孩子政策，促进人口长期均衡发展。坚持优</w:t>
      </w:r>
      <w:r>
        <w:rPr>
          <w:spacing w:val="-19"/>
        </w:rPr>
        <w:t>生优育，出生婴儿性别比控制在 </w:t>
      </w:r>
      <w:r>
        <w:rPr/>
        <w:t>103—107</w:t>
      </w:r>
      <w:r>
        <w:rPr>
          <w:spacing w:val="-9"/>
        </w:rPr>
        <w:t> 之间。强化人口信息</w:t>
      </w:r>
      <w:r>
        <w:rPr>
          <w:spacing w:val="-12"/>
          <w:w w:val="100"/>
        </w:rPr>
        <w:t>化建设，实施“金人工程”，提高社会管理和公共服务水平。创</w:t>
      </w:r>
      <w:r>
        <w:rPr>
          <w:spacing w:val="-8"/>
        </w:rPr>
        <w:t>新流动人口服务管理机制，提高计划生育技术服务水平。加强未</w:t>
      </w:r>
      <w:r>
        <w:rPr>
          <w:spacing w:val="-1"/>
        </w:rPr>
        <w:t>成年人保护，发展妇女儿童事业，切实保障妇女儿童合法权益。</w:t>
      </w:r>
      <w:r>
        <w:rPr>
          <w:spacing w:val="-6"/>
        </w:rPr>
        <w:t>努力提高出生人口素质，人口总量稳定在 </w:t>
      </w:r>
      <w:r>
        <w:rPr/>
        <w:t>31</w:t>
      </w:r>
      <w:r>
        <w:rPr>
          <w:spacing w:val="-16"/>
        </w:rPr>
        <w:t> 万人左右。</w:t>
      </w:r>
    </w:p>
    <w:p>
      <w:pPr>
        <w:pStyle w:val="BodyText"/>
        <w:ind w:left="0"/>
      </w:pPr>
    </w:p>
    <w:p>
      <w:pPr>
        <w:pStyle w:val="BodyText"/>
        <w:tabs>
          <w:tab w:pos="1279" w:val="left" w:leader="none"/>
        </w:tabs>
        <w:spacing w:before="224"/>
        <w:ind w:left="0" w:right="156"/>
        <w:jc w:val="center"/>
        <w:rPr>
          <w:rFonts w:ascii="黑体" w:eastAsia="黑体" w:hint="eastAsia"/>
        </w:rPr>
      </w:pPr>
      <w:r>
        <w:rPr>
          <w:rFonts w:ascii="黑体" w:eastAsia="黑体" w:hint="eastAsia"/>
        </w:rPr>
        <w:t>第三节</w:t>
        <w:tab/>
      </w:r>
      <w:r>
        <w:rPr>
          <w:rFonts w:ascii="黑体" w:eastAsia="黑体" w:hint="eastAsia"/>
          <w:spacing w:val="-1"/>
        </w:rPr>
        <w:t>繁荣发展文体广电事业</w:t>
      </w:r>
    </w:p>
    <w:p>
      <w:pPr>
        <w:pStyle w:val="BodyText"/>
        <w:spacing w:line="343" w:lineRule="auto" w:before="180"/>
        <w:ind w:right="139" w:firstLine="639"/>
      </w:pPr>
      <w:r>
        <w:rPr>
          <w:spacing w:val="-10"/>
        </w:rPr>
        <w:t>以推动文化创新为动力，以改革体制机制为保障，提高公共文化服务保障能力，加快建设“文化强区”。</w:t>
      </w:r>
    </w:p>
    <w:p>
      <w:pPr>
        <w:pStyle w:val="BodyText"/>
        <w:spacing w:line="343" w:lineRule="auto" w:before="43"/>
        <w:ind w:right="149" w:firstLine="639"/>
      </w:pPr>
      <w:r>
        <w:rPr>
          <w:spacing w:val="-11"/>
        </w:rPr>
        <w:t>繁荣文化事业。把握乐山创建国家公共文化服务体系示范区</w:t>
      </w:r>
      <w:r>
        <w:rPr>
          <w:spacing w:val="-1"/>
        </w:rPr>
        <w:t>的机遇，大力发展公共文化服务事业。弘扬根书、奇石、书画、</w:t>
      </w:r>
      <w:r>
        <w:rPr>
          <w:spacing w:val="-12"/>
        </w:rPr>
        <w:t>龙舟、美食等特色文化，提升文化产业，丰富群众文化生活。建</w:t>
      </w:r>
      <w:r>
        <w:rPr>
          <w:spacing w:val="-17"/>
        </w:rPr>
        <w:t>成乐山文化创意产业园、乐山水上运动中心、中国根书艺术馆二</w:t>
      </w:r>
      <w:r>
        <w:rPr>
          <w:spacing w:val="-14"/>
        </w:rPr>
        <w:t>期三期、远成文旅城、桥滩音乐小镇、国家二级档案馆、五通桥</w:t>
      </w:r>
      <w:r>
        <w:rPr>
          <w:spacing w:val="-1"/>
        </w:rPr>
        <w:t>区方志馆和爱国主义教育基地等。</w:t>
      </w:r>
    </w:p>
    <w:p>
      <w:pPr>
        <w:spacing w:after="0" w:line="343" w:lineRule="auto"/>
        <w:sectPr>
          <w:pgSz w:w="11910" w:h="16840"/>
          <w:pgMar w:header="0" w:footer="998" w:top="1560" w:bottom="1180" w:left="1420" w:right="1260"/>
        </w:sectPr>
      </w:pPr>
    </w:p>
    <w:p>
      <w:pPr>
        <w:spacing w:line="359" w:lineRule="exact" w:before="0"/>
        <w:ind w:left="2992" w:right="0" w:firstLine="0"/>
        <w:jc w:val="left"/>
        <w:rPr>
          <w:sz w:val="28"/>
        </w:rPr>
      </w:pPr>
      <w:r>
        <w:rPr/>
        <w:pict>
          <v:shape style="position:absolute;margin-left:76.560005pt;margin-top:22.239981pt;width:441pt;height:130.1pt;mso-position-horizontal-relative:page;mso-position-vertical-relative:paragraph;z-index:5848;mso-wrap-distance-left:0;mso-wrap-distance-right:0" type="#_x0000_t202" filled="false" stroked="true" strokeweight=".47998pt" strokecolor="#000000">
            <v:textbox inset="0,0,0,0">
              <w:txbxContent>
                <w:p>
                  <w:pPr>
                    <w:spacing w:line="350" w:lineRule="auto" w:before="88"/>
                    <w:ind w:left="103" w:right="65" w:firstLine="480"/>
                    <w:jc w:val="both"/>
                    <w:rPr>
                      <w:sz w:val="24"/>
                    </w:rPr>
                  </w:pPr>
                  <w:r>
                    <w:rPr>
                      <w:sz w:val="24"/>
                    </w:rPr>
                    <w:t>育才中小学及文体中心建设、北大多元实验学校、方志馆建设、乡镇幼儿园、</w:t>
                  </w:r>
                  <w:r>
                    <w:rPr>
                      <w:spacing w:val="-6"/>
                      <w:sz w:val="24"/>
                    </w:rPr>
                    <w:t>临港第一中学、第一小学、第一幼儿园，数字化城市管理平台、区福利院扩建、乐山市水上运动中心、区公安分局业务技术用房附属工程、区司法局业务技术用房、</w:t>
                  </w:r>
                  <w:r>
                    <w:rPr>
                      <w:spacing w:val="-8"/>
                      <w:sz w:val="24"/>
                    </w:rPr>
                    <w:t>金山人民法庭，区疾病预防控制中心和卫生执法大队、竹根社区卫生服务中心整体搬迁、乡镇卫生院，区妇幼保健院门诊、住院综合楼等项目。</w:t>
                  </w:r>
                </w:p>
              </w:txbxContent>
            </v:textbox>
            <v:stroke dashstyle="solid"/>
            <w10:wrap type="topAndBottom"/>
          </v:shape>
        </w:pict>
      </w:r>
      <w:r>
        <w:rPr>
          <w:w w:val="95"/>
          <w:sz w:val="28"/>
        </w:rPr>
        <w:t>专栏：社会事业重点项目</w:t>
      </w:r>
    </w:p>
    <w:p>
      <w:pPr>
        <w:pStyle w:val="BodyText"/>
        <w:ind w:left="0"/>
        <w:rPr>
          <w:sz w:val="20"/>
        </w:rPr>
      </w:pPr>
    </w:p>
    <w:p>
      <w:pPr>
        <w:pStyle w:val="BodyText"/>
        <w:ind w:left="0"/>
        <w:rPr>
          <w:sz w:val="20"/>
        </w:rPr>
      </w:pPr>
    </w:p>
    <w:p>
      <w:pPr>
        <w:pStyle w:val="BodyText"/>
        <w:spacing w:line="343" w:lineRule="auto" w:before="153"/>
        <w:ind w:right="226" w:firstLine="639"/>
        <w:jc w:val="both"/>
      </w:pPr>
      <w:r>
        <w:rPr>
          <w:spacing w:val="-11"/>
        </w:rPr>
        <w:t>发展体育事业。广泛开展文体活动，优先发展群众体育，重</w:t>
      </w:r>
      <w:r>
        <w:rPr>
          <w:spacing w:val="-9"/>
        </w:rPr>
        <w:t>点发展农村体育和社区体育，协调发展竞技体育。举办第二十届</w:t>
      </w:r>
      <w:r>
        <w:rPr>
          <w:spacing w:val="-1"/>
        </w:rPr>
        <w:t>龙舟比赛。</w:t>
      </w:r>
    </w:p>
    <w:p>
      <w:pPr>
        <w:pStyle w:val="BodyText"/>
        <w:spacing w:line="343" w:lineRule="auto" w:before="43"/>
        <w:ind w:right="109" w:firstLine="639"/>
      </w:pPr>
      <w:r>
        <w:rPr>
          <w:spacing w:val="-1"/>
        </w:rPr>
        <w:t>发展广电事业。建成城市影院，加快广播电视产业化进程， </w:t>
      </w:r>
      <w:r>
        <w:rPr>
          <w:spacing w:val="-8"/>
        </w:rPr>
        <w:t>推进城区和重点集镇有线电视网络改造，抓好镇乡广播电视综合</w:t>
      </w:r>
      <w:r>
        <w:rPr>
          <w:spacing w:val="-14"/>
          <w:w w:val="100"/>
        </w:rPr>
        <w:t>服务站“村村通”“户户通”惠民工程建设，全面实现电视节目</w:t>
      </w:r>
      <w:r>
        <w:rPr>
          <w:spacing w:val="-14"/>
        </w:rPr>
        <w:t>制作和播出数字化。</w:t>
      </w:r>
    </w:p>
    <w:p>
      <w:pPr>
        <w:pStyle w:val="BodyText"/>
        <w:spacing w:before="7"/>
        <w:ind w:left="0"/>
        <w:rPr>
          <w:sz w:val="45"/>
        </w:rPr>
      </w:pPr>
    </w:p>
    <w:p>
      <w:pPr>
        <w:pStyle w:val="Heading2"/>
        <w:tabs>
          <w:tab w:pos="1799" w:val="left" w:leader="none"/>
        </w:tabs>
        <w:spacing w:before="1"/>
        <w:ind w:right="117"/>
      </w:pPr>
      <w:r>
        <w:rPr/>
        <w:t>第十七章</w:t>
        <w:tab/>
        <w:t>加强社会建设</w:t>
      </w:r>
    </w:p>
    <w:p>
      <w:pPr>
        <w:pStyle w:val="BodyText"/>
        <w:tabs>
          <w:tab w:pos="1279" w:val="left" w:leader="none"/>
        </w:tabs>
        <w:spacing w:before="175"/>
        <w:ind w:left="0" w:right="116"/>
        <w:jc w:val="center"/>
        <w:rPr>
          <w:rFonts w:ascii="黑体" w:eastAsia="黑体" w:hint="eastAsia"/>
        </w:rPr>
      </w:pPr>
      <w:r>
        <w:rPr>
          <w:rFonts w:ascii="黑体" w:eastAsia="黑体" w:hint="eastAsia"/>
        </w:rPr>
        <w:t>第一节</w:t>
        <w:tab/>
      </w:r>
      <w:r>
        <w:rPr>
          <w:rFonts w:ascii="黑体" w:eastAsia="黑体" w:hint="eastAsia"/>
          <w:spacing w:val="-1"/>
        </w:rPr>
        <w:t>发展社会主义民主政治</w:t>
      </w:r>
    </w:p>
    <w:p>
      <w:pPr>
        <w:pStyle w:val="BodyText"/>
        <w:spacing w:line="343" w:lineRule="auto" w:before="180"/>
        <w:ind w:right="226" w:firstLine="639"/>
        <w:jc w:val="both"/>
      </w:pPr>
      <w:r>
        <w:rPr>
          <w:spacing w:val="-10"/>
        </w:rPr>
        <w:t>坚持人民代表大会制度，加强党对人大工作的领导，加强和</w:t>
      </w:r>
      <w:r>
        <w:rPr>
          <w:spacing w:val="-13"/>
        </w:rPr>
        <w:t>改进人大工作。坚持人民主体地位，推进人民代表大会制度理论</w:t>
      </w:r>
      <w:r>
        <w:rPr>
          <w:spacing w:val="-11"/>
        </w:rPr>
        <w:t>和实践创新，发挥人民代表大会制度的根本政治制度作用。健全</w:t>
      </w:r>
    </w:p>
    <w:p>
      <w:pPr>
        <w:pStyle w:val="BodyText"/>
        <w:spacing w:line="343" w:lineRule="auto" w:before="43"/>
        <w:ind w:right="225"/>
        <w:jc w:val="both"/>
      </w:pPr>
      <w:r>
        <w:rPr>
          <w:spacing w:val="-11"/>
        </w:rPr>
        <w:t>“一府两院”由人大产生、对人大负责、受人大监督制度。加强</w:t>
      </w:r>
      <w:r>
        <w:rPr>
          <w:spacing w:val="-10"/>
        </w:rPr>
        <w:t>人大预算决算审查监督、国有资产监督职能，探索建立政府重大决策出台前向人大报告制度，定期听取政府投资项目审计情况报</w:t>
      </w:r>
    </w:p>
    <w:p>
      <w:pPr>
        <w:spacing w:after="0" w:line="343" w:lineRule="auto"/>
        <w:jc w:val="both"/>
        <w:sectPr>
          <w:pgSz w:w="11910" w:h="16840"/>
          <w:pgMar w:header="0" w:footer="938" w:top="1600" w:bottom="1180" w:left="1420" w:right="1300"/>
        </w:sectPr>
      </w:pPr>
    </w:p>
    <w:p>
      <w:pPr>
        <w:pStyle w:val="BodyText"/>
        <w:spacing w:line="405" w:lineRule="exact"/>
      </w:pPr>
      <w:r>
        <w:rPr/>
        <w:t>告，促进决策科学化、民主化、法治化。依法加强人大代表的选</w:t>
      </w:r>
    </w:p>
    <w:p>
      <w:pPr>
        <w:pStyle w:val="BodyText"/>
        <w:spacing w:line="343" w:lineRule="auto" w:before="181"/>
        <w:ind w:right="105"/>
      </w:pPr>
      <w:r>
        <w:rPr>
          <w:spacing w:val="-18"/>
        </w:rPr>
        <w:t>举，支持和保障代表依法履职。加深人大代表和人民群众的联系， 拓展人大代表吸纳和反映群众意见的渠道。积极发展协商民主， 推进协商民主广泛多层制度化发展，把协商纳入重大决策程序， </w:t>
      </w:r>
      <w:r>
        <w:rPr>
          <w:spacing w:val="-20"/>
        </w:rPr>
        <w:t>坚持协商于决策之前和决策实施之中。发挥统一战线在协商民主</w:t>
      </w:r>
      <w:r>
        <w:rPr>
          <w:spacing w:val="-16"/>
        </w:rPr>
        <w:t>中的重要作用，发挥人民政协作为协商民主重要渠道作用。推进</w:t>
      </w:r>
      <w:r>
        <w:rPr>
          <w:spacing w:val="-14"/>
        </w:rPr>
        <w:t>政治协商、民主监督和参政议政制度化、规范化、程序化。深入</w:t>
      </w:r>
      <w:r>
        <w:rPr>
          <w:spacing w:val="-15"/>
        </w:rPr>
        <w:t>开展立法协商、行政协商、民主协商、参政协商和社会协商。开</w:t>
      </w:r>
      <w:r>
        <w:rPr>
          <w:spacing w:val="-18"/>
        </w:rPr>
        <w:t>展形式多样的基层民主协商，推进基层协商制度化。发展基层民</w:t>
      </w:r>
      <w:r>
        <w:rPr>
          <w:spacing w:val="-12"/>
        </w:rPr>
        <w:t>主，畅通民主渠道，健全基层选举、议事、公开、述职、问责等</w:t>
      </w:r>
      <w:r>
        <w:rPr>
          <w:spacing w:val="-11"/>
        </w:rPr>
        <w:t>机制。健全党组织领导的基层群众自治机制，完善村</w:t>
      </w:r>
      <w:r>
        <w:rPr/>
        <w:t>（居</w:t>
      </w:r>
      <w:r>
        <w:rPr>
          <w:spacing w:val="-29"/>
        </w:rPr>
        <w:t>）</w:t>
      </w:r>
      <w:r>
        <w:rPr/>
        <w:t>民监督机制，深化基层党务、政务公开，促进群众在城乡社区治理、</w:t>
      </w:r>
      <w:r>
        <w:rPr>
          <w:spacing w:val="-15"/>
        </w:rPr>
        <w:t>基层公共事务和公益事业中依法自我管理、自我教育、自我服务、</w:t>
      </w:r>
      <w:r>
        <w:rPr>
          <w:spacing w:val="-14"/>
        </w:rPr>
        <w:t>自我监督。健全以职工代表大会为基本形式的企事业单位民主管</w:t>
      </w:r>
      <w:r>
        <w:rPr>
          <w:spacing w:val="-1"/>
        </w:rPr>
        <w:t>理制度，保障职工参与管理和监督的民主权利。</w:t>
      </w:r>
    </w:p>
    <w:p>
      <w:pPr>
        <w:pStyle w:val="BodyText"/>
        <w:ind w:left="0"/>
      </w:pPr>
    </w:p>
    <w:p>
      <w:pPr>
        <w:pStyle w:val="BodyText"/>
        <w:tabs>
          <w:tab w:pos="1279" w:val="left" w:leader="none"/>
        </w:tabs>
        <w:spacing w:before="224"/>
        <w:ind w:left="0" w:right="155"/>
        <w:jc w:val="center"/>
        <w:rPr>
          <w:rFonts w:ascii="黑体" w:eastAsia="黑体" w:hint="eastAsia"/>
        </w:rPr>
      </w:pPr>
      <w:r>
        <w:rPr>
          <w:rFonts w:ascii="黑体" w:eastAsia="黑体" w:hint="eastAsia"/>
        </w:rPr>
        <w:t>第二节</w:t>
        <w:tab/>
      </w:r>
      <w:r>
        <w:rPr>
          <w:rFonts w:ascii="黑体" w:eastAsia="黑体" w:hint="eastAsia"/>
          <w:spacing w:val="-1"/>
        </w:rPr>
        <w:t>深入推进依法治区</w:t>
      </w:r>
    </w:p>
    <w:p>
      <w:pPr>
        <w:pStyle w:val="BodyText"/>
        <w:spacing w:line="343" w:lineRule="auto" w:before="180"/>
        <w:ind w:right="94" w:firstLine="639"/>
      </w:pPr>
      <w:r>
        <w:rPr>
          <w:spacing w:val="-19"/>
        </w:rPr>
        <w:t>依法全面履行政府职能。完善行政组织、行政程序法律制度， </w:t>
      </w:r>
      <w:r>
        <w:rPr>
          <w:spacing w:val="-15"/>
        </w:rPr>
        <w:t>推进机构、职能、权限、程序、责任法定化。推行政府权力清单</w:t>
      </w:r>
      <w:r>
        <w:rPr>
          <w:spacing w:val="-13"/>
        </w:rPr>
        <w:t>制度，推进政府事权规范化、法律化。做到法无授权不可为、法</w:t>
      </w:r>
      <w:r>
        <w:rPr>
          <w:spacing w:val="-19"/>
        </w:rPr>
        <w:t>定职责必须为。推进行政审批制度改革，规范政务服务平台建设。</w:t>
      </w:r>
      <w:r>
        <w:rPr>
          <w:spacing w:val="-21"/>
        </w:rPr>
        <w:t>建立统一规范的公共资源交易平台，推进公共资源交易公开透明</w:t>
      </w:r>
      <w:r>
        <w:rPr>
          <w:spacing w:val="-12"/>
        </w:rPr>
        <w:t>依法进行。建立健全政府向社会力量购买服务机制。依法科学民</w:t>
      </w:r>
    </w:p>
    <w:p>
      <w:pPr>
        <w:spacing w:after="0" w:line="343" w:lineRule="auto"/>
        <w:sectPr>
          <w:pgSz w:w="11910" w:h="16840"/>
          <w:pgMar w:header="0" w:footer="998" w:top="1560" w:bottom="1180" w:left="1420" w:right="1260"/>
        </w:sectPr>
      </w:pPr>
    </w:p>
    <w:p>
      <w:pPr>
        <w:pStyle w:val="BodyText"/>
        <w:spacing w:line="405" w:lineRule="exact"/>
      </w:pPr>
      <w:r>
        <w:rPr/>
        <w:t>主决策。把合法性作为行政决策的第一要件，建立行政机关内部</w:t>
      </w:r>
    </w:p>
    <w:p>
      <w:pPr>
        <w:pStyle w:val="BodyText"/>
        <w:spacing w:line="338" w:lineRule="auto" w:before="181"/>
        <w:ind w:right="198"/>
      </w:pPr>
      <w:r>
        <w:rPr>
          <w:spacing w:val="-8"/>
        </w:rPr>
        <w:t>重大决策合法性审查机制，积极推行政府法律顾问制度，建立重</w:t>
      </w:r>
      <w:r>
        <w:rPr>
          <w:spacing w:val="-14"/>
        </w:rPr>
        <w:t>大决策终身责任追究制度及责任倒查机制。坚持严格规范公正文明执法。完善执法程序，健全行政执法裁量权基准制度，推进综</w:t>
      </w:r>
      <w:r>
        <w:rPr>
          <w:spacing w:val="-1"/>
        </w:rPr>
        <w:t>合执法。完善行政执法与司法衔接机制。全面落实执法责任制， 全面推进政务公开。加强法治宣传教育，深化</w:t>
      </w:r>
      <w:r>
        <w:rPr>
          <w:rFonts w:ascii="Times New Roman" w:hAnsi="Times New Roman" w:eastAsia="Times New Roman"/>
          <w:spacing w:val="-1"/>
        </w:rPr>
        <w:t>“</w:t>
      </w:r>
      <w:r>
        <w:rPr>
          <w:spacing w:val="-1"/>
        </w:rPr>
        <w:t>法律七进</w:t>
      </w:r>
      <w:r>
        <w:rPr>
          <w:rFonts w:ascii="Times New Roman" w:hAnsi="Times New Roman" w:eastAsia="Times New Roman"/>
          <w:spacing w:val="-1"/>
        </w:rPr>
        <w:t>”</w:t>
      </w:r>
      <w:r>
        <w:rPr>
          <w:spacing w:val="-1"/>
        </w:rPr>
        <w:t>活动， 提升</w:t>
      </w:r>
      <w:r>
        <w:rPr>
          <w:rFonts w:ascii="Times New Roman" w:hAnsi="Times New Roman" w:eastAsia="Times New Roman"/>
          <w:spacing w:val="-1"/>
        </w:rPr>
        <w:t>“</w:t>
      </w:r>
      <w:r>
        <w:rPr>
          <w:spacing w:val="-1"/>
        </w:rPr>
        <w:t>七五</w:t>
      </w:r>
      <w:r>
        <w:rPr>
          <w:rFonts w:ascii="Times New Roman" w:hAnsi="Times New Roman" w:eastAsia="Times New Roman"/>
          <w:spacing w:val="-1"/>
        </w:rPr>
        <w:t>”</w:t>
      </w:r>
      <w:r>
        <w:rPr>
          <w:spacing w:val="-10"/>
        </w:rPr>
        <w:t>普法实效，提高公民法律素质，增强全社会的法治观</w:t>
      </w:r>
      <w:r>
        <w:rPr>
          <w:spacing w:val="-1"/>
        </w:rPr>
        <w:t>念和依法办事的能力，全面建设法治五通桥。</w:t>
      </w:r>
    </w:p>
    <w:p>
      <w:pPr>
        <w:pStyle w:val="BodyText"/>
        <w:ind w:left="0"/>
      </w:pPr>
    </w:p>
    <w:p>
      <w:pPr>
        <w:pStyle w:val="BodyText"/>
        <w:tabs>
          <w:tab w:pos="1279" w:val="left" w:leader="none"/>
        </w:tabs>
        <w:spacing w:before="231"/>
        <w:ind w:left="0" w:right="155"/>
        <w:jc w:val="center"/>
        <w:rPr>
          <w:rFonts w:ascii="黑体" w:eastAsia="黑体" w:hint="eastAsia"/>
        </w:rPr>
      </w:pPr>
      <w:r>
        <w:rPr>
          <w:rFonts w:ascii="黑体" w:eastAsia="黑体" w:hint="eastAsia"/>
        </w:rPr>
        <w:t>第三节</w:t>
        <w:tab/>
      </w:r>
      <w:r>
        <w:rPr>
          <w:rFonts w:ascii="黑体" w:eastAsia="黑体" w:hint="eastAsia"/>
          <w:spacing w:val="-1"/>
        </w:rPr>
        <w:t>加强精神文明建设</w:t>
      </w:r>
    </w:p>
    <w:p>
      <w:pPr>
        <w:pStyle w:val="BodyText"/>
        <w:spacing w:line="343" w:lineRule="auto" w:before="250"/>
        <w:ind w:right="102" w:firstLine="656"/>
      </w:pPr>
      <w:r>
        <w:rPr>
          <w:spacing w:val="3"/>
        </w:rPr>
        <w:t>坚持社会主义理想信念。大力弘扬以中国梦和改革创新为</w:t>
      </w:r>
      <w:r>
        <w:rPr>
          <w:spacing w:val="-7"/>
        </w:rPr>
        <w:t>核心的时代精神，倡导富强、民主、文明、和谐、自由、平等、</w:t>
      </w:r>
      <w:r>
        <w:rPr/>
        <w:t>公正、法治、爱国、敬业、诚信、友善，积极培育和践行社会</w:t>
      </w:r>
      <w:r>
        <w:rPr>
          <w:spacing w:val="-10"/>
        </w:rPr>
        <w:t>主义核心价值观。加强社会主义道德建设，深入开展社会公德、</w:t>
      </w:r>
      <w:r>
        <w:rPr>
          <w:spacing w:val="-14"/>
        </w:rPr>
        <w:t>职业道德和家庭美德教育，倡导科学、文明、健康的生活方式。</w:t>
      </w:r>
      <w:r>
        <w:rPr>
          <w:spacing w:val="-16"/>
        </w:rPr>
        <w:t>发挥工青妇等人民团体的作用，加强科普工作，反对封建迷信。</w:t>
      </w:r>
      <w:r>
        <w:rPr>
          <w:spacing w:val="-10"/>
        </w:rPr>
        <w:t>积极开展“双拥”和军民共建活动。深入开展以“尚道、笃行、</w:t>
      </w:r>
      <w:r>
        <w:rPr>
          <w:spacing w:val="-1"/>
        </w:rPr>
        <w:t>求索、致远”城市精神为主题的宣传教育，不断增强五通桥区人民的凝聚力和创造力。</w:t>
      </w:r>
    </w:p>
    <w:p>
      <w:pPr>
        <w:pStyle w:val="BodyText"/>
        <w:spacing w:line="343" w:lineRule="auto" w:before="43"/>
        <w:ind w:right="136" w:firstLine="639"/>
      </w:pPr>
      <w:r>
        <w:rPr>
          <w:spacing w:val="6"/>
        </w:rPr>
        <w:t>推动诚信社会建设。建立健全守信激励和失信惩戒联动机</w:t>
      </w:r>
      <w:r>
        <w:rPr>
          <w:spacing w:val="-1"/>
        </w:rPr>
        <w:t>制，培育发展和规范信用服务产业和市场机构。加强政务诚信、</w:t>
      </w:r>
      <w:r>
        <w:rPr>
          <w:spacing w:val="-11"/>
        </w:rPr>
        <w:t>商务诚信、社会诚信和司法公信等重点领域的诚信建设。加强诚</w:t>
      </w:r>
      <w:r>
        <w:rPr>
          <w:spacing w:val="-10"/>
        </w:rPr>
        <w:t>信文化建设，普及诚信教育，引导公民自觉讲诚信、守诚信、重</w:t>
      </w:r>
    </w:p>
    <w:p>
      <w:pPr>
        <w:spacing w:after="0" w:line="343" w:lineRule="auto"/>
        <w:sectPr>
          <w:pgSz w:w="11910" w:h="16840"/>
          <w:pgMar w:header="0" w:footer="938" w:top="1560" w:bottom="1180" w:left="1420" w:right="1260"/>
        </w:sectPr>
      </w:pPr>
    </w:p>
    <w:p>
      <w:pPr>
        <w:pStyle w:val="BodyText"/>
        <w:spacing w:line="405" w:lineRule="exact"/>
        <w:jc w:val="both"/>
      </w:pPr>
      <w:r>
        <w:rPr>
          <w:spacing w:val="-20"/>
        </w:rPr>
        <w:t>诚信，推进诚信社会建设。充分改善全社会信用水平，形成诚实、</w:t>
      </w:r>
    </w:p>
    <w:p>
      <w:pPr>
        <w:pStyle w:val="BodyText"/>
        <w:spacing w:before="181"/>
        <w:jc w:val="both"/>
      </w:pPr>
      <w:r>
        <w:rPr/>
        <w:t>自律、守信、互信的环境氛围。</w:t>
      </w:r>
    </w:p>
    <w:p>
      <w:pPr>
        <w:pStyle w:val="BodyText"/>
        <w:ind w:left="0"/>
      </w:pPr>
    </w:p>
    <w:p>
      <w:pPr>
        <w:pStyle w:val="BodyText"/>
        <w:spacing w:before="5"/>
        <w:ind w:left="0"/>
        <w:rPr>
          <w:sz w:val="28"/>
        </w:rPr>
      </w:pPr>
    </w:p>
    <w:p>
      <w:pPr>
        <w:pStyle w:val="BodyText"/>
        <w:tabs>
          <w:tab w:pos="4212" w:val="left" w:leader="none"/>
        </w:tabs>
        <w:ind w:left="2932"/>
        <w:rPr>
          <w:rFonts w:ascii="黑体" w:eastAsia="黑体" w:hint="eastAsia"/>
        </w:rPr>
      </w:pPr>
      <w:r>
        <w:rPr>
          <w:rFonts w:ascii="黑体" w:eastAsia="黑体" w:hint="eastAsia"/>
        </w:rPr>
        <w:t>第四节</w:t>
        <w:tab/>
      </w:r>
      <w:r>
        <w:rPr>
          <w:rFonts w:ascii="黑体" w:eastAsia="黑体" w:hint="eastAsia"/>
          <w:spacing w:val="-1"/>
        </w:rPr>
        <w:t>创新社会治理</w:t>
      </w:r>
    </w:p>
    <w:p>
      <w:pPr>
        <w:pStyle w:val="BodyText"/>
        <w:spacing w:line="343" w:lineRule="auto" w:before="181"/>
        <w:ind w:right="99" w:firstLine="639"/>
      </w:pPr>
      <w:r>
        <w:rPr>
          <w:spacing w:val="-19"/>
        </w:rPr>
        <w:t>转变社会治理理念。创新社会治理方法，实现从传统的防范、</w:t>
      </w:r>
      <w:r>
        <w:rPr>
          <w:spacing w:val="-20"/>
        </w:rPr>
        <w:t>控制型管理向现代的人性化、服务型治理转变，不断提高社会治理能力。</w:t>
      </w:r>
    </w:p>
    <w:p>
      <w:pPr>
        <w:pStyle w:val="BodyText"/>
        <w:spacing w:line="343" w:lineRule="auto" w:before="113"/>
        <w:ind w:right="149" w:firstLine="639"/>
        <w:jc w:val="both"/>
      </w:pPr>
      <w:r>
        <w:rPr>
          <w:spacing w:val="-8"/>
        </w:rPr>
        <w:t>加强社会公共安全管理。严格执行食品、药品、食用农产品</w:t>
      </w:r>
      <w:r>
        <w:rPr>
          <w:spacing w:val="-14"/>
        </w:rPr>
        <w:t>法律法规规章，加强食品药品安全监管。健全和完善安全生产保</w:t>
      </w:r>
      <w:r>
        <w:rPr>
          <w:spacing w:val="-17"/>
        </w:rPr>
        <w:t>障体系和安全生产监管体系，全面提升企业安全水平和事故防范</w:t>
      </w:r>
      <w:r>
        <w:rPr>
          <w:spacing w:val="-14"/>
        </w:rPr>
        <w:t>能力，重点提升危险化学品、煤矿、道路交通、建筑机械制造等</w:t>
      </w:r>
      <w:r>
        <w:rPr>
          <w:spacing w:val="-2"/>
        </w:rPr>
        <w:t>领域安全监管能力，着力提升安全生产应急救援科学管理能力。</w:t>
      </w:r>
    </w:p>
    <w:p>
      <w:pPr>
        <w:pStyle w:val="BodyText"/>
        <w:spacing w:line="343" w:lineRule="auto" w:before="43"/>
        <w:ind w:right="265"/>
        <w:jc w:val="both"/>
      </w:pPr>
      <w:r>
        <w:rPr>
          <w:spacing w:val="-12"/>
        </w:rPr>
        <w:t>“十三五”期末，实现亿元国内生产总值生产安全事故死亡率下</w:t>
      </w:r>
      <w:r>
        <w:rPr>
          <w:spacing w:val="-52"/>
        </w:rPr>
        <w:t>降 </w:t>
      </w:r>
      <w:r>
        <w:rPr/>
        <w:t>30%</w:t>
      </w:r>
      <w:r>
        <w:rPr>
          <w:spacing w:val="-6"/>
        </w:rPr>
        <w:t>以上；工矿商贸就业人员十万人生产安全事故死亡率下降25%</w:t>
      </w:r>
      <w:r>
        <w:rPr>
          <w:spacing w:val="-10"/>
        </w:rPr>
        <w:t>以上；煤矿百万吨死亡率控制在 </w:t>
      </w:r>
      <w:r>
        <w:rPr/>
        <w:t>0.8</w:t>
      </w:r>
      <w:r>
        <w:rPr>
          <w:spacing w:val="-9"/>
        </w:rPr>
        <w:t> 以内；道路交通万车死</w:t>
      </w:r>
      <w:r>
        <w:rPr>
          <w:spacing w:val="-21"/>
        </w:rPr>
        <w:t>亡率下降 </w:t>
      </w:r>
      <w:r>
        <w:rPr/>
        <w:t>30%</w:t>
      </w:r>
      <w:r>
        <w:rPr>
          <w:spacing w:val="-4"/>
        </w:rPr>
        <w:t>以上；用人单位职业危害申报率达到 </w:t>
      </w:r>
      <w:r>
        <w:rPr/>
        <w:t>90%以上，体</w:t>
      </w:r>
      <w:r>
        <w:rPr>
          <w:spacing w:val="5"/>
        </w:rPr>
        <w:t>检率达到 </w:t>
      </w:r>
      <w:r>
        <w:rPr/>
        <w:t>100%。严格执行危险化学品安全发展规划，控制基础</w:t>
      </w:r>
      <w:r>
        <w:rPr>
          <w:spacing w:val="-12"/>
        </w:rPr>
        <w:t>化工存量，优先发展高新技术企业和精细化工项目，加强民兵预</w:t>
      </w:r>
      <w:r>
        <w:rPr>
          <w:spacing w:val="-1"/>
        </w:rPr>
        <w:t>备役建设，提高国防动员和经济社会安全保障能力。</w:t>
      </w:r>
    </w:p>
    <w:p>
      <w:pPr>
        <w:pStyle w:val="BodyText"/>
        <w:spacing w:line="343" w:lineRule="auto" w:before="53"/>
        <w:ind w:right="149" w:firstLine="639"/>
        <w:jc w:val="both"/>
      </w:pPr>
      <w:r>
        <w:rPr>
          <w:spacing w:val="-9"/>
        </w:rPr>
        <w:t>加强社会治安管理。正确处理改革、发展、稳定的关系，高</w:t>
      </w:r>
      <w:r>
        <w:rPr>
          <w:spacing w:val="5"/>
        </w:rPr>
        <w:t>度重视和认真做好维护社会稳定工作，完善和创新信访工作制</w:t>
      </w:r>
      <w:r>
        <w:rPr>
          <w:spacing w:val="-12"/>
        </w:rPr>
        <w:t>度，构建“大治安、大防控、大调解”工作格局。健全立体化防</w:t>
      </w:r>
      <w:r>
        <w:rPr>
          <w:spacing w:val="-2"/>
        </w:rPr>
        <w:t>控体系，抓好区公安分局、区森林公安、镇乡派出所、司法所、</w:t>
      </w:r>
    </w:p>
    <w:p>
      <w:pPr>
        <w:spacing w:after="0" w:line="343" w:lineRule="auto"/>
        <w:jc w:val="both"/>
        <w:sectPr>
          <w:pgSz w:w="11910" w:h="16840"/>
          <w:pgMar w:header="0" w:footer="998" w:top="1560" w:bottom="1180" w:left="1420" w:right="1260"/>
        </w:sectPr>
      </w:pPr>
    </w:p>
    <w:p>
      <w:pPr>
        <w:pStyle w:val="BodyText"/>
        <w:spacing w:line="405" w:lineRule="exact"/>
        <w:ind w:left="0" w:right="153"/>
        <w:jc w:val="center"/>
      </w:pPr>
      <w:r>
        <w:rPr/>
        <w:t>法庭等政法基础设施项目建设。严厉打击各类违法犯罪活动，实</w:t>
      </w:r>
    </w:p>
    <w:p>
      <w:pPr>
        <w:pStyle w:val="BodyText"/>
        <w:spacing w:line="343" w:lineRule="auto" w:before="181"/>
        <w:ind w:right="204"/>
      </w:pPr>
      <w:r>
        <w:rPr>
          <w:spacing w:val="-11"/>
        </w:rPr>
        <w:t>现“政治层面安定，经济层面安全，社会层面安宁”，努力打造</w:t>
      </w:r>
      <w:r>
        <w:rPr>
          <w:spacing w:val="-1"/>
        </w:rPr>
        <w:t>“平安五通桥”。</w:t>
      </w:r>
    </w:p>
    <w:p>
      <w:pPr>
        <w:pStyle w:val="BodyText"/>
        <w:spacing w:line="343" w:lineRule="auto" w:before="43"/>
        <w:ind w:right="139" w:firstLine="639"/>
      </w:pPr>
      <w:r>
        <w:rPr/>
        <w:t>推进社会管理创新。强化政府社会管理能力建设，完善社会管理和服务体系，落实重大项目、重大决策稳定风险评估机制， 提高公共事务管理水平。完善便民服务、网络对话、基层夜话等制度。全面提高城市管理水平，增强公共服务能力。</w:t>
      </w:r>
    </w:p>
    <w:p>
      <w:pPr>
        <w:pStyle w:val="BodyText"/>
        <w:spacing w:before="5"/>
        <w:ind w:left="0"/>
        <w:rPr>
          <w:sz w:val="38"/>
        </w:rPr>
      </w:pPr>
    </w:p>
    <w:p>
      <w:pPr>
        <w:pStyle w:val="Heading1"/>
        <w:tabs>
          <w:tab w:pos="1755" w:val="left" w:leader="none"/>
        </w:tabs>
      </w:pPr>
      <w:r>
        <w:rPr/>
        <w:t>第五篇</w:t>
        <w:tab/>
      </w:r>
      <w:r>
        <w:rPr>
          <w:spacing w:val="-1"/>
        </w:rPr>
        <w:t>保障措施篇</w:t>
      </w:r>
    </w:p>
    <w:p>
      <w:pPr>
        <w:pStyle w:val="Heading2"/>
        <w:tabs>
          <w:tab w:pos="1979" w:val="left" w:leader="none"/>
        </w:tabs>
        <w:spacing w:before="358"/>
        <w:ind w:right="157"/>
      </w:pPr>
      <w:r>
        <w:rPr/>
        <w:t>第十八章</w:t>
        <w:tab/>
        <w:t>规划实施与保障机制</w:t>
      </w:r>
    </w:p>
    <w:p>
      <w:pPr>
        <w:pStyle w:val="BodyText"/>
        <w:spacing w:line="343" w:lineRule="auto" w:before="175"/>
        <w:ind w:right="266" w:firstLine="639"/>
        <w:jc w:val="both"/>
      </w:pPr>
      <w:r>
        <w:rPr>
          <w:spacing w:val="-12"/>
        </w:rPr>
        <w:t>为推进规划实施，政府需加强和改进宏观调控，充分发挥市</w:t>
      </w:r>
      <w:r>
        <w:rPr>
          <w:spacing w:val="-9"/>
        </w:rPr>
        <w:t>场配置资源的决定性作用，切实履行市场监管职能，合理配置公</w:t>
      </w:r>
      <w:r>
        <w:rPr>
          <w:spacing w:val="-1"/>
        </w:rPr>
        <w:t>共资源，维护公平竞争。</w:t>
      </w:r>
    </w:p>
    <w:p>
      <w:pPr>
        <w:pStyle w:val="BodyText"/>
        <w:ind w:left="0"/>
      </w:pPr>
    </w:p>
    <w:p>
      <w:pPr>
        <w:pStyle w:val="BodyText"/>
        <w:tabs>
          <w:tab w:pos="1279" w:val="left" w:leader="none"/>
        </w:tabs>
        <w:spacing w:before="224"/>
        <w:ind w:left="0" w:right="157"/>
        <w:jc w:val="center"/>
        <w:rPr>
          <w:rFonts w:ascii="黑体" w:eastAsia="黑体" w:hint="eastAsia"/>
        </w:rPr>
      </w:pPr>
      <w:r>
        <w:rPr>
          <w:rFonts w:ascii="黑体" w:eastAsia="黑体" w:hint="eastAsia"/>
        </w:rPr>
        <w:t>第一节</w:t>
        <w:tab/>
      </w:r>
      <w:r>
        <w:rPr>
          <w:rFonts w:ascii="黑体" w:eastAsia="黑体" w:hint="eastAsia"/>
          <w:spacing w:val="-1"/>
        </w:rPr>
        <w:t>规划实施</w:t>
      </w:r>
    </w:p>
    <w:p>
      <w:pPr>
        <w:pStyle w:val="BodyText"/>
        <w:spacing w:line="343" w:lineRule="auto" w:before="181"/>
        <w:ind w:right="265" w:firstLine="639"/>
        <w:jc w:val="both"/>
      </w:pPr>
      <w:r>
        <w:rPr>
          <w:spacing w:val="-11"/>
        </w:rPr>
        <w:t>优化发展环境。继续推进政府执行力和行政效能建设，全面推行政务公开，清理、精简行政审批事项，提高行政效率，提升</w:t>
      </w:r>
      <w:r>
        <w:rPr>
          <w:spacing w:val="-12"/>
        </w:rPr>
        <w:t>政府服务水平，营造廉洁高效的政务环境。加强市场征信体系建设，增强全社会信用意识，营造诚实守信的社会环境。加强法制建设，依法维护和整治经营秩序、经济秩序和社会秩序，营造规</w:t>
      </w:r>
      <w:r>
        <w:rPr>
          <w:spacing w:val="-1"/>
        </w:rPr>
        <w:t>范有序的法治环境。</w:t>
      </w:r>
    </w:p>
    <w:p>
      <w:pPr>
        <w:pStyle w:val="BodyText"/>
        <w:spacing w:before="44"/>
        <w:ind w:left="750"/>
      </w:pPr>
      <w:r>
        <w:rPr>
          <w:spacing w:val="-1"/>
        </w:rPr>
        <w:t>加强规划衔接</w:t>
      </w:r>
      <w:r>
        <w:rPr>
          <w:spacing w:val="-20"/>
        </w:rPr>
        <w:t>。《纲要》是引领各专项规划的总纲，镇</w:t>
      </w:r>
      <w:r>
        <w:rPr>
          <w:spacing w:val="-1"/>
        </w:rPr>
        <w:t>（乡</w:t>
      </w:r>
      <w:r>
        <w:rPr/>
        <w:t>）</w:t>
      </w:r>
    </w:p>
    <w:p>
      <w:pPr>
        <w:spacing w:after="0"/>
        <w:sectPr>
          <w:pgSz w:w="11910" w:h="16840"/>
          <w:pgMar w:header="0" w:footer="938" w:top="1560" w:bottom="1180" w:left="1420" w:right="1260"/>
        </w:sectPr>
      </w:pPr>
    </w:p>
    <w:p>
      <w:pPr>
        <w:pStyle w:val="BodyText"/>
        <w:spacing w:line="405" w:lineRule="exact"/>
      </w:pPr>
      <w:r>
        <w:rPr/>
        <w:t>人民政府、三江临港经济开发区管委会和区级各部门必须在本规</w:t>
      </w:r>
    </w:p>
    <w:p>
      <w:pPr>
        <w:pStyle w:val="BodyText"/>
        <w:spacing w:line="343" w:lineRule="auto" w:before="181"/>
        <w:ind w:right="106"/>
      </w:pPr>
      <w:r>
        <w:rPr>
          <w:spacing w:val="-11"/>
        </w:rPr>
        <w:t>划的统筹下，认真做好经济社会指标、重大项目谋划等方面的衔</w:t>
      </w:r>
      <w:r>
        <w:rPr>
          <w:spacing w:val="-20"/>
        </w:rPr>
        <w:t>接配合；加强经济社会发展规划、城乡建设规划、土地利用规划、</w:t>
      </w:r>
      <w:r>
        <w:rPr>
          <w:spacing w:val="-13"/>
        </w:rPr>
        <w:t>交通、水利、旅游、社会事业等各专项规划之间的衔接协调，形</w:t>
      </w:r>
      <w:r>
        <w:rPr>
          <w:spacing w:val="-1"/>
        </w:rPr>
        <w:t>成规划合力，促进规划的顺利实施。</w:t>
      </w:r>
    </w:p>
    <w:p>
      <w:pPr>
        <w:pStyle w:val="BodyText"/>
        <w:spacing w:line="343" w:lineRule="auto" w:before="43"/>
        <w:ind w:right="149" w:firstLine="639"/>
      </w:pPr>
      <w:r>
        <w:rPr>
          <w:spacing w:val="-10"/>
        </w:rPr>
        <w:t>强化项目支撑。大力实施项目带动战略，紧紧围绕“基础大</w:t>
      </w:r>
      <w:r>
        <w:rPr>
          <w:spacing w:val="-12"/>
        </w:rPr>
        <w:t>突破、产业大提升、民生大改善”总体目标，加大前期投入，深</w:t>
      </w:r>
      <w:r>
        <w:rPr>
          <w:spacing w:val="-1"/>
        </w:rPr>
        <w:t>化前期论证，加快加深推进前期工作，建立健全项目不断生成、</w:t>
      </w:r>
      <w:r>
        <w:rPr>
          <w:spacing w:val="-12"/>
        </w:rPr>
        <w:t>滚动发展、有序推进的长效机制。切实加强对重点项目全程服务</w:t>
      </w:r>
      <w:r>
        <w:rPr>
          <w:spacing w:val="-19"/>
        </w:rPr>
        <w:t>监督，确保规划项目按期开工、顺利投产。“十三五”期间规划</w:t>
      </w:r>
      <w:r>
        <w:rPr>
          <w:spacing w:val="-29"/>
        </w:rPr>
        <w:t>实施重点项目 </w:t>
      </w:r>
      <w:r>
        <w:rPr/>
        <w:t>320</w:t>
      </w:r>
      <w:r>
        <w:rPr>
          <w:spacing w:val="-22"/>
        </w:rPr>
        <w:t> 余个，总投资 </w:t>
      </w:r>
      <w:r>
        <w:rPr/>
        <w:t>930</w:t>
      </w:r>
      <w:r>
        <w:rPr>
          <w:spacing w:val="-17"/>
        </w:rPr>
        <w:t> 余亿元。</w:t>
      </w:r>
    </w:p>
    <w:p>
      <w:pPr>
        <w:pStyle w:val="BodyText"/>
        <w:ind w:left="0"/>
      </w:pPr>
    </w:p>
    <w:p>
      <w:pPr>
        <w:pStyle w:val="BodyText"/>
        <w:tabs>
          <w:tab w:pos="1279" w:val="left" w:leader="none"/>
        </w:tabs>
        <w:spacing w:before="224"/>
        <w:ind w:left="0" w:right="157"/>
        <w:jc w:val="center"/>
        <w:rPr>
          <w:rFonts w:ascii="黑体" w:eastAsia="黑体" w:hint="eastAsia"/>
        </w:rPr>
      </w:pPr>
      <w:r>
        <w:rPr>
          <w:rFonts w:ascii="黑体" w:eastAsia="黑体" w:hint="eastAsia"/>
        </w:rPr>
        <w:t>第二节</w:t>
        <w:tab/>
      </w:r>
      <w:r>
        <w:rPr>
          <w:rFonts w:ascii="黑体" w:eastAsia="黑体" w:hint="eastAsia"/>
          <w:spacing w:val="-1"/>
        </w:rPr>
        <w:t>保障机制</w:t>
      </w:r>
    </w:p>
    <w:p>
      <w:pPr>
        <w:pStyle w:val="BodyText"/>
        <w:spacing w:line="343" w:lineRule="auto" w:before="180"/>
        <w:ind w:right="265" w:firstLine="639"/>
        <w:jc w:val="both"/>
      </w:pPr>
      <w:r>
        <w:rPr>
          <w:spacing w:val="-11"/>
        </w:rPr>
        <w:t>加强组织保障。加强对规划纲要实施的组织领导，明确各部</w:t>
      </w:r>
      <w:r>
        <w:rPr>
          <w:spacing w:val="-12"/>
        </w:rPr>
        <w:t>门工作分工，完善实施工作机制，落实项目任务工作责任，将相</w:t>
      </w:r>
      <w:r>
        <w:rPr>
          <w:spacing w:val="-8"/>
        </w:rPr>
        <w:t>关指标和任务分解到具体部门和责任人。加强各部门之间的沟通</w:t>
      </w:r>
      <w:r>
        <w:rPr>
          <w:spacing w:val="-1"/>
        </w:rPr>
        <w:t>和协调，及时解决规划实施过程中遇到的困难和问题。</w:t>
      </w:r>
    </w:p>
    <w:p>
      <w:pPr>
        <w:pStyle w:val="BodyText"/>
        <w:spacing w:line="343" w:lineRule="auto" w:before="43"/>
        <w:ind w:right="104" w:firstLine="639"/>
      </w:pPr>
      <w:r>
        <w:rPr/>
        <w:t>加强人才储备。建立和完善人才的引进、培养、交流机制， </w:t>
      </w:r>
      <w:r>
        <w:rPr>
          <w:spacing w:val="-8"/>
        </w:rPr>
        <w:t>制定更加优惠的政策，创造更加有利的条件，吸引人才、培养人</w:t>
      </w:r>
      <w:r>
        <w:rPr>
          <w:spacing w:val="-19"/>
        </w:rPr>
        <w:t>才。在人才培训方面，努力培养一大批领导型人才、管理型人才、</w:t>
      </w:r>
      <w:r>
        <w:rPr>
          <w:spacing w:val="-18"/>
        </w:rPr>
        <w:t>专业型人才和复合型人才。以党校、高等院校和科研院所为依托， </w:t>
      </w:r>
      <w:r>
        <w:rPr>
          <w:spacing w:val="-22"/>
        </w:rPr>
        <w:t>开展多层次的专业技术人员和管理人员的培训，保证源源不断地</w:t>
      </w:r>
      <w:r>
        <w:rPr>
          <w:spacing w:val="-1"/>
        </w:rPr>
        <w:t>提供经济社会发展所需的各类人才。</w:t>
      </w:r>
    </w:p>
    <w:p>
      <w:pPr>
        <w:spacing w:after="0" w:line="343" w:lineRule="auto"/>
        <w:sectPr>
          <w:pgSz w:w="11910" w:h="16840"/>
          <w:pgMar w:header="0" w:footer="998" w:top="1560" w:bottom="1180" w:left="1420" w:right="1260"/>
        </w:sectPr>
      </w:pPr>
    </w:p>
    <w:p>
      <w:pPr>
        <w:pStyle w:val="BodyText"/>
        <w:spacing w:line="405" w:lineRule="exact"/>
        <w:ind w:firstLine="639"/>
        <w:jc w:val="both"/>
      </w:pPr>
      <w:r>
        <w:rPr/>
        <w:t>强化资金保障。发挥财政资金的引导作用，鼓励社会投资向</w:t>
      </w:r>
    </w:p>
    <w:p>
      <w:pPr>
        <w:pStyle w:val="BodyText"/>
        <w:spacing w:line="343" w:lineRule="auto" w:before="181"/>
        <w:ind w:right="126"/>
        <w:jc w:val="both"/>
      </w:pPr>
      <w:r>
        <w:rPr>
          <w:spacing w:val="-9"/>
        </w:rPr>
        <w:t>支撑规划实施的关键领域聚集，以多种方式参与产业发展、公益事业及重大基础设施建设。充分发挥政府的桥梁纽带作用，深化</w:t>
      </w:r>
      <w:r>
        <w:rPr>
          <w:spacing w:val="-2"/>
        </w:rPr>
        <w:t>银政企合作，扩大内联外引，推动企业直接融资。</w:t>
      </w:r>
    </w:p>
    <w:p>
      <w:pPr>
        <w:pStyle w:val="BodyText"/>
        <w:spacing w:line="343" w:lineRule="auto" w:before="43"/>
        <w:ind w:right="125" w:firstLine="639"/>
        <w:jc w:val="both"/>
      </w:pPr>
      <w:r>
        <w:rPr>
          <w:spacing w:val="-11"/>
        </w:rPr>
        <w:t>加强规划宣传。以新闻媒体为载体，强化规划宣传，增强全</w:t>
      </w:r>
      <w:r>
        <w:rPr>
          <w:spacing w:val="-10"/>
        </w:rPr>
        <w:t>社会对规划引领的意识，加强规划的执行，防止影响规划实施的</w:t>
      </w:r>
      <w:r>
        <w:rPr>
          <w:spacing w:val="-1"/>
        </w:rPr>
        <w:t>行为发生。</w:t>
      </w:r>
    </w:p>
    <w:p>
      <w:pPr>
        <w:pStyle w:val="BodyText"/>
        <w:spacing w:line="343" w:lineRule="auto" w:before="43"/>
        <w:ind w:right="117" w:firstLine="639"/>
        <w:jc w:val="both"/>
      </w:pPr>
      <w:r>
        <w:rPr>
          <w:spacing w:val="-14"/>
        </w:rPr>
        <w:t>强化实施监督。《纲要》是在新常态下的重大战略部署，全</w:t>
      </w:r>
      <w:r>
        <w:rPr>
          <w:spacing w:val="-8"/>
        </w:rPr>
        <w:t>区上下要形成齐心协力抓经济、万众一心谋发展的强大合力。纲</w:t>
      </w:r>
      <w:r>
        <w:rPr>
          <w:spacing w:val="-11"/>
        </w:rPr>
        <w:t>要所确定的目标和任务，区政府要通过组织实施年度政府工作报</w:t>
      </w:r>
      <w:r>
        <w:rPr>
          <w:spacing w:val="5"/>
        </w:rPr>
        <w:t>告及国民经济和社会发展年度计划认真落实。各专项规划作为</w:t>
      </w:r>
    </w:p>
    <w:p>
      <w:pPr>
        <w:pStyle w:val="BodyText"/>
        <w:spacing w:line="343" w:lineRule="auto" w:before="43"/>
        <w:ind w:right="125"/>
        <w:jc w:val="both"/>
      </w:pPr>
      <w:r>
        <w:rPr>
          <w:spacing w:val="-11"/>
        </w:rPr>
        <w:t>“十三五”规划的重要组成部分，是《纲要》在特定领域的细化和延伸，各镇</w:t>
      </w:r>
      <w:r>
        <w:rPr>
          <w:spacing w:val="-1"/>
        </w:rPr>
        <w:t>（乡</w:t>
      </w:r>
      <w:r>
        <w:rPr>
          <w:spacing w:val="-29"/>
        </w:rPr>
        <w:t>）</w:t>
      </w:r>
      <w:r>
        <w:rPr>
          <w:spacing w:val="-6"/>
        </w:rPr>
        <w:t>人民政府、三江临港经济开发区管委会和区</w:t>
      </w:r>
      <w:r>
        <w:rPr>
          <w:spacing w:val="-9"/>
        </w:rPr>
        <w:t>级各部门要精心组织实施，确保规划目标、工作重点、重点任务的落实。</w:t>
      </w:r>
    </w:p>
    <w:p>
      <w:pPr>
        <w:pStyle w:val="BodyText"/>
        <w:spacing w:line="343" w:lineRule="auto" w:before="43"/>
        <w:ind w:right="125" w:firstLine="639"/>
        <w:jc w:val="both"/>
      </w:pPr>
      <w:r>
        <w:rPr>
          <w:spacing w:val="-9"/>
        </w:rPr>
        <w:t>本规划一经区人民代表大会批准，任何单位和个人未经法定</w:t>
      </w:r>
      <w:r>
        <w:rPr>
          <w:spacing w:val="-13"/>
        </w:rPr>
        <w:t>程序无权变更。规划实施过程中，要加强对规划实施的监控与分</w:t>
      </w:r>
      <w:r>
        <w:rPr>
          <w:spacing w:val="-12"/>
        </w:rPr>
        <w:t>析，突出加强对经济发展、生态建设、人民生活等调控目标的监测预警，准确把握发展趋势，适时调整相关政策。组织开展规划中期评估、修订工作，中期评估需要修订本规划时，需报请区人</w:t>
      </w:r>
      <w:r>
        <w:rPr>
          <w:spacing w:val="-1"/>
        </w:rPr>
        <w:t>民代表大会常务委员会批准。</w:t>
      </w:r>
    </w:p>
    <w:p>
      <w:pPr>
        <w:spacing w:after="0" w:line="343" w:lineRule="auto"/>
        <w:jc w:val="both"/>
        <w:sectPr>
          <w:pgSz w:w="11910" w:h="16840"/>
          <w:pgMar w:header="0" w:footer="938" w:top="1560" w:bottom="1180" w:left="1420" w:right="1400"/>
        </w:sectPr>
      </w:pPr>
    </w:p>
    <w:p>
      <w:pPr>
        <w:pStyle w:val="BodyText"/>
        <w:tabs>
          <w:tab w:pos="2753" w:val="left" w:leader="none"/>
        </w:tabs>
        <w:spacing w:line="398" w:lineRule="exact"/>
        <w:ind w:left="1473"/>
        <w:rPr>
          <w:rFonts w:ascii="黑体" w:hAnsi="黑体" w:eastAsia="黑体" w:hint="eastAsia"/>
        </w:rPr>
      </w:pPr>
      <w:r>
        <w:rPr>
          <w:rFonts w:ascii="黑体" w:hAnsi="黑体" w:eastAsia="黑体" w:hint="eastAsia"/>
        </w:rPr>
        <w:t>附表一</w:t>
        <w:tab/>
      </w:r>
      <w:r>
        <w:rPr>
          <w:rFonts w:ascii="黑体" w:hAnsi="黑体" w:eastAsia="黑体" w:hint="eastAsia"/>
          <w:spacing w:val="-1"/>
        </w:rPr>
        <w:t>五通桥区“十三五”工业能源项目规划表</w:t>
      </w:r>
    </w:p>
    <w:p>
      <w:pPr>
        <w:pStyle w:val="BodyText"/>
        <w:spacing w:before="3"/>
        <w:ind w:left="0"/>
        <w:rPr>
          <w:rFonts w:ascii="黑体"/>
          <w:sz w:val="6"/>
        </w:rPr>
      </w:pPr>
    </w:p>
    <w:tbl>
      <w:tblPr>
        <w:tblW w:w="0" w:type="auto"/>
        <w:jc w:val="left"/>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81"/>
        <w:gridCol w:w="2267"/>
        <w:gridCol w:w="1116"/>
        <w:gridCol w:w="3818"/>
        <w:gridCol w:w="977"/>
        <w:gridCol w:w="1080"/>
      </w:tblGrid>
      <w:tr>
        <w:trPr>
          <w:trHeight w:val="580" w:hRule="atLeast"/>
        </w:trPr>
        <w:tc>
          <w:tcPr>
            <w:tcW w:w="481" w:type="dxa"/>
          </w:tcPr>
          <w:p>
            <w:pPr>
              <w:pStyle w:val="TableParagraph"/>
              <w:rPr>
                <w:rFonts w:ascii="Times New Roman"/>
                <w:sz w:val="20"/>
              </w:rPr>
            </w:pPr>
          </w:p>
        </w:tc>
        <w:tc>
          <w:tcPr>
            <w:tcW w:w="2267" w:type="dxa"/>
          </w:tcPr>
          <w:p>
            <w:pPr>
              <w:pStyle w:val="TableParagraph"/>
              <w:spacing w:before="133"/>
              <w:ind w:left="98" w:right="99"/>
              <w:jc w:val="center"/>
              <w:rPr>
                <w:sz w:val="20"/>
              </w:rPr>
            </w:pPr>
            <w:r>
              <w:rPr>
                <w:sz w:val="20"/>
              </w:rPr>
              <w:t>项目名称</w:t>
            </w:r>
          </w:p>
        </w:tc>
        <w:tc>
          <w:tcPr>
            <w:tcW w:w="1116" w:type="dxa"/>
          </w:tcPr>
          <w:p>
            <w:pPr>
              <w:pStyle w:val="TableParagraph"/>
              <w:spacing w:before="133"/>
              <w:ind w:left="152"/>
              <w:rPr>
                <w:sz w:val="20"/>
              </w:rPr>
            </w:pPr>
            <w:r>
              <w:rPr>
                <w:sz w:val="20"/>
              </w:rPr>
              <w:t>建设年限</w:t>
            </w:r>
          </w:p>
        </w:tc>
        <w:tc>
          <w:tcPr>
            <w:tcW w:w="3818" w:type="dxa"/>
          </w:tcPr>
          <w:p>
            <w:pPr>
              <w:pStyle w:val="TableParagraph"/>
              <w:spacing w:before="133"/>
              <w:jc w:val="center"/>
              <w:rPr>
                <w:sz w:val="20"/>
              </w:rPr>
            </w:pPr>
            <w:r>
              <w:rPr>
                <w:sz w:val="20"/>
              </w:rPr>
              <w:t>建设规模</w:t>
            </w:r>
          </w:p>
        </w:tc>
        <w:tc>
          <w:tcPr>
            <w:tcW w:w="977" w:type="dxa"/>
          </w:tcPr>
          <w:p>
            <w:pPr>
              <w:pStyle w:val="TableParagraph"/>
              <w:spacing w:line="260" w:lineRule="exact" w:before="4"/>
              <w:ind w:left="182"/>
              <w:rPr>
                <w:sz w:val="20"/>
              </w:rPr>
            </w:pPr>
            <w:r>
              <w:rPr>
                <w:sz w:val="20"/>
              </w:rPr>
              <w:t>总投资</w:t>
            </w:r>
          </w:p>
          <w:p>
            <w:pPr>
              <w:pStyle w:val="TableParagraph"/>
              <w:spacing w:line="260" w:lineRule="exact"/>
              <w:ind w:left="103"/>
              <w:rPr>
                <w:sz w:val="20"/>
              </w:rPr>
            </w:pPr>
            <w:r>
              <w:rPr>
                <w:sz w:val="20"/>
              </w:rPr>
              <w:t>（万元）</w:t>
            </w:r>
          </w:p>
        </w:tc>
        <w:tc>
          <w:tcPr>
            <w:tcW w:w="1080" w:type="dxa"/>
          </w:tcPr>
          <w:p>
            <w:pPr>
              <w:pStyle w:val="TableParagraph"/>
              <w:spacing w:before="133"/>
              <w:ind w:right="132"/>
              <w:jc w:val="right"/>
              <w:rPr>
                <w:sz w:val="20"/>
              </w:rPr>
            </w:pPr>
            <w:r>
              <w:rPr>
                <w:sz w:val="20"/>
              </w:rPr>
              <w:t>责任单位</w:t>
            </w:r>
          </w:p>
        </w:tc>
      </w:tr>
      <w:tr>
        <w:trPr>
          <w:trHeight w:val="580" w:hRule="atLeast"/>
        </w:trPr>
        <w:tc>
          <w:tcPr>
            <w:tcW w:w="481" w:type="dxa"/>
          </w:tcPr>
          <w:p>
            <w:pPr>
              <w:pStyle w:val="TableParagraph"/>
              <w:spacing w:before="133"/>
              <w:ind w:left="184"/>
              <w:rPr>
                <w:sz w:val="20"/>
              </w:rPr>
            </w:pPr>
            <w:r>
              <w:rPr>
                <w:w w:val="100"/>
                <w:sz w:val="20"/>
              </w:rPr>
              <w:t>1</w:t>
            </w:r>
          </w:p>
        </w:tc>
        <w:tc>
          <w:tcPr>
            <w:tcW w:w="2267" w:type="dxa"/>
          </w:tcPr>
          <w:p>
            <w:pPr>
              <w:pStyle w:val="TableParagraph"/>
              <w:spacing w:before="133"/>
              <w:ind w:left="99" w:right="99"/>
              <w:jc w:val="center"/>
              <w:rPr>
                <w:sz w:val="20"/>
              </w:rPr>
            </w:pPr>
            <w:r>
              <w:rPr>
                <w:sz w:val="20"/>
              </w:rPr>
              <w:t>10 万吨蛋氨酸项目</w:t>
            </w:r>
          </w:p>
        </w:tc>
        <w:tc>
          <w:tcPr>
            <w:tcW w:w="1116" w:type="dxa"/>
          </w:tcPr>
          <w:p>
            <w:pPr>
              <w:pStyle w:val="TableParagraph"/>
              <w:spacing w:before="133"/>
              <w:ind w:left="102"/>
              <w:rPr>
                <w:sz w:val="20"/>
              </w:rPr>
            </w:pPr>
            <w:r>
              <w:rPr>
                <w:sz w:val="20"/>
              </w:rPr>
              <w:t>2015-2019</w:t>
            </w:r>
          </w:p>
        </w:tc>
        <w:tc>
          <w:tcPr>
            <w:tcW w:w="3818" w:type="dxa"/>
          </w:tcPr>
          <w:p>
            <w:pPr>
              <w:pStyle w:val="TableParagraph"/>
              <w:spacing w:before="133"/>
              <w:ind w:right="1"/>
              <w:jc w:val="center"/>
              <w:rPr>
                <w:sz w:val="20"/>
              </w:rPr>
            </w:pPr>
            <w:r>
              <w:rPr>
                <w:sz w:val="20"/>
              </w:rPr>
              <w:t>10 万吨蛋氨酸生产线</w:t>
            </w:r>
          </w:p>
        </w:tc>
        <w:tc>
          <w:tcPr>
            <w:tcW w:w="977" w:type="dxa"/>
          </w:tcPr>
          <w:p>
            <w:pPr>
              <w:pStyle w:val="TableParagraph"/>
              <w:spacing w:before="133"/>
              <w:ind w:right="181"/>
              <w:jc w:val="right"/>
              <w:rPr>
                <w:sz w:val="20"/>
              </w:rPr>
            </w:pPr>
            <w:r>
              <w:rPr>
                <w:sz w:val="20"/>
              </w:rPr>
              <w:t>240000</w:t>
            </w:r>
          </w:p>
        </w:tc>
        <w:tc>
          <w:tcPr>
            <w:tcW w:w="1080" w:type="dxa"/>
          </w:tcPr>
          <w:p>
            <w:pPr>
              <w:pStyle w:val="TableParagraph"/>
              <w:spacing w:before="133"/>
              <w:ind w:right="132"/>
              <w:jc w:val="right"/>
              <w:rPr>
                <w:sz w:val="20"/>
              </w:rPr>
            </w:pPr>
            <w:r>
              <w:rPr>
                <w:sz w:val="20"/>
              </w:rPr>
              <w:t>和邦集团</w:t>
            </w:r>
          </w:p>
        </w:tc>
      </w:tr>
      <w:tr>
        <w:trPr>
          <w:trHeight w:val="760" w:hRule="atLeast"/>
        </w:trPr>
        <w:tc>
          <w:tcPr>
            <w:tcW w:w="481" w:type="dxa"/>
          </w:tcPr>
          <w:p>
            <w:pPr>
              <w:pStyle w:val="TableParagraph"/>
              <w:spacing w:before="4"/>
              <w:rPr>
                <w:rFonts w:ascii="黑体"/>
                <w:sz w:val="17"/>
              </w:rPr>
            </w:pPr>
          </w:p>
          <w:p>
            <w:pPr>
              <w:pStyle w:val="TableParagraph"/>
              <w:ind w:left="184"/>
              <w:rPr>
                <w:sz w:val="20"/>
              </w:rPr>
            </w:pPr>
            <w:r>
              <w:rPr>
                <w:w w:val="100"/>
                <w:sz w:val="20"/>
              </w:rPr>
              <w:t>2</w:t>
            </w:r>
          </w:p>
        </w:tc>
        <w:tc>
          <w:tcPr>
            <w:tcW w:w="2267" w:type="dxa"/>
          </w:tcPr>
          <w:p>
            <w:pPr>
              <w:pStyle w:val="TableParagraph"/>
              <w:spacing w:line="228" w:lineRule="exact"/>
              <w:ind w:left="102"/>
              <w:rPr>
                <w:sz w:val="20"/>
              </w:rPr>
            </w:pPr>
            <w:r>
              <w:rPr>
                <w:sz w:val="20"/>
              </w:rPr>
              <w:t>15</w:t>
            </w:r>
            <w:r>
              <w:rPr>
                <w:spacing w:val="-18"/>
                <w:sz w:val="20"/>
              </w:rPr>
              <w:t> 万吨</w:t>
            </w:r>
            <w:r>
              <w:rPr>
                <w:sz w:val="20"/>
              </w:rPr>
              <w:t>/</w:t>
            </w:r>
            <w:r>
              <w:rPr>
                <w:spacing w:val="-14"/>
                <w:sz w:val="20"/>
              </w:rPr>
              <w:t>年一期 </w:t>
            </w:r>
            <w:r>
              <w:rPr>
                <w:sz w:val="20"/>
              </w:rPr>
              <w:t>9</w:t>
            </w:r>
            <w:r>
              <w:rPr>
                <w:spacing w:val="-18"/>
                <w:sz w:val="20"/>
              </w:rPr>
              <w:t> 万吨</w:t>
            </w:r>
            <w:r>
              <w:rPr>
                <w:sz w:val="20"/>
              </w:rPr>
              <w:t>/</w:t>
            </w:r>
          </w:p>
          <w:p>
            <w:pPr>
              <w:pStyle w:val="TableParagraph"/>
              <w:spacing w:line="237" w:lineRule="auto" w:before="1"/>
              <w:ind w:left="477" w:hanging="375"/>
              <w:rPr>
                <w:sz w:val="20"/>
              </w:rPr>
            </w:pPr>
            <w:r>
              <w:rPr>
                <w:sz w:val="20"/>
              </w:rPr>
              <w:t>年双甘膦技改配套16 万吨/年甲醛原料</w:t>
            </w:r>
          </w:p>
        </w:tc>
        <w:tc>
          <w:tcPr>
            <w:tcW w:w="1116" w:type="dxa"/>
          </w:tcPr>
          <w:p>
            <w:pPr>
              <w:pStyle w:val="TableParagraph"/>
              <w:spacing w:before="4"/>
              <w:rPr>
                <w:rFonts w:ascii="黑体"/>
                <w:sz w:val="17"/>
              </w:rPr>
            </w:pPr>
          </w:p>
          <w:p>
            <w:pPr>
              <w:pStyle w:val="TableParagraph"/>
              <w:ind w:left="103"/>
              <w:rPr>
                <w:sz w:val="20"/>
              </w:rPr>
            </w:pPr>
            <w:r>
              <w:rPr>
                <w:sz w:val="20"/>
              </w:rPr>
              <w:t>2015-2016</w:t>
            </w:r>
          </w:p>
        </w:tc>
        <w:tc>
          <w:tcPr>
            <w:tcW w:w="3818" w:type="dxa"/>
          </w:tcPr>
          <w:p>
            <w:pPr>
              <w:pStyle w:val="TableParagraph"/>
              <w:spacing w:before="4"/>
              <w:rPr>
                <w:rFonts w:ascii="黑体"/>
                <w:sz w:val="17"/>
              </w:rPr>
            </w:pPr>
          </w:p>
          <w:p>
            <w:pPr>
              <w:pStyle w:val="TableParagraph"/>
              <w:jc w:val="center"/>
              <w:rPr>
                <w:sz w:val="20"/>
              </w:rPr>
            </w:pPr>
            <w:r>
              <w:rPr>
                <w:sz w:val="20"/>
              </w:rPr>
              <w:t>建设两条 8 万吨/年甲醛生产线</w:t>
            </w:r>
          </w:p>
        </w:tc>
        <w:tc>
          <w:tcPr>
            <w:tcW w:w="977" w:type="dxa"/>
          </w:tcPr>
          <w:p>
            <w:pPr>
              <w:pStyle w:val="TableParagraph"/>
              <w:spacing w:before="4"/>
              <w:rPr>
                <w:rFonts w:ascii="黑体"/>
                <w:sz w:val="17"/>
              </w:rPr>
            </w:pPr>
          </w:p>
          <w:p>
            <w:pPr>
              <w:pStyle w:val="TableParagraph"/>
              <w:ind w:left="283"/>
              <w:rPr>
                <w:sz w:val="20"/>
              </w:rPr>
            </w:pPr>
            <w:r>
              <w:rPr>
                <w:sz w:val="20"/>
              </w:rPr>
              <w:t>7975</w:t>
            </w:r>
          </w:p>
        </w:tc>
        <w:tc>
          <w:tcPr>
            <w:tcW w:w="1080" w:type="dxa"/>
          </w:tcPr>
          <w:p>
            <w:pPr>
              <w:pStyle w:val="TableParagraph"/>
              <w:spacing w:before="4"/>
              <w:rPr>
                <w:rFonts w:ascii="黑体"/>
                <w:sz w:val="17"/>
              </w:rPr>
            </w:pPr>
          </w:p>
          <w:p>
            <w:pPr>
              <w:pStyle w:val="TableParagraph"/>
              <w:ind w:right="131"/>
              <w:jc w:val="right"/>
              <w:rPr>
                <w:sz w:val="20"/>
              </w:rPr>
            </w:pPr>
            <w:r>
              <w:rPr>
                <w:sz w:val="20"/>
              </w:rPr>
              <w:t>和邦集团</w:t>
            </w:r>
          </w:p>
        </w:tc>
      </w:tr>
      <w:tr>
        <w:trPr>
          <w:trHeight w:val="1540" w:hRule="atLeast"/>
        </w:trPr>
        <w:tc>
          <w:tcPr>
            <w:tcW w:w="481" w:type="dxa"/>
          </w:tcPr>
          <w:p>
            <w:pPr>
              <w:pStyle w:val="TableParagraph"/>
              <w:rPr>
                <w:rFonts w:ascii="黑体"/>
                <w:sz w:val="20"/>
              </w:rPr>
            </w:pPr>
          </w:p>
          <w:p>
            <w:pPr>
              <w:pStyle w:val="TableParagraph"/>
              <w:rPr>
                <w:rFonts w:ascii="黑体"/>
                <w:sz w:val="27"/>
              </w:rPr>
            </w:pPr>
          </w:p>
          <w:p>
            <w:pPr>
              <w:pStyle w:val="TableParagraph"/>
              <w:ind w:left="184"/>
              <w:rPr>
                <w:sz w:val="20"/>
              </w:rPr>
            </w:pPr>
            <w:r>
              <w:rPr>
                <w:w w:val="100"/>
                <w:sz w:val="20"/>
              </w:rPr>
              <w:t>3</w:t>
            </w:r>
          </w:p>
        </w:tc>
        <w:tc>
          <w:tcPr>
            <w:tcW w:w="2267" w:type="dxa"/>
          </w:tcPr>
          <w:p>
            <w:pPr>
              <w:pStyle w:val="TableParagraph"/>
              <w:rPr>
                <w:rFonts w:ascii="黑体"/>
                <w:sz w:val="20"/>
              </w:rPr>
            </w:pPr>
          </w:p>
          <w:p>
            <w:pPr>
              <w:pStyle w:val="TableParagraph"/>
              <w:spacing w:before="4"/>
              <w:rPr>
                <w:rFonts w:ascii="黑体"/>
                <w:sz w:val="17"/>
              </w:rPr>
            </w:pPr>
          </w:p>
          <w:p>
            <w:pPr>
              <w:pStyle w:val="TableParagraph"/>
              <w:spacing w:line="237" w:lineRule="auto"/>
              <w:ind w:left="177" w:right="59" w:hanging="50"/>
              <w:rPr>
                <w:sz w:val="20"/>
              </w:rPr>
            </w:pPr>
            <w:r>
              <w:rPr>
                <w:sz w:val="20"/>
              </w:rPr>
              <w:t>和邦与德国的航空国防民用 T800 级别碳纤维</w:t>
            </w:r>
          </w:p>
        </w:tc>
        <w:tc>
          <w:tcPr>
            <w:tcW w:w="1116" w:type="dxa"/>
          </w:tcPr>
          <w:p>
            <w:pPr>
              <w:pStyle w:val="TableParagraph"/>
              <w:rPr>
                <w:rFonts w:ascii="黑体"/>
                <w:sz w:val="20"/>
              </w:rPr>
            </w:pPr>
          </w:p>
          <w:p>
            <w:pPr>
              <w:pStyle w:val="TableParagraph"/>
              <w:rPr>
                <w:rFonts w:ascii="黑体"/>
                <w:sz w:val="27"/>
              </w:rPr>
            </w:pPr>
          </w:p>
          <w:p>
            <w:pPr>
              <w:pStyle w:val="TableParagraph"/>
              <w:ind w:left="103"/>
              <w:rPr>
                <w:sz w:val="20"/>
              </w:rPr>
            </w:pPr>
            <w:r>
              <w:rPr>
                <w:sz w:val="20"/>
              </w:rPr>
              <w:t>2016-2017</w:t>
            </w:r>
          </w:p>
        </w:tc>
        <w:tc>
          <w:tcPr>
            <w:tcW w:w="3818" w:type="dxa"/>
          </w:tcPr>
          <w:p>
            <w:pPr>
              <w:pStyle w:val="TableParagraph"/>
              <w:spacing w:line="228" w:lineRule="exact"/>
              <w:jc w:val="center"/>
              <w:rPr>
                <w:sz w:val="20"/>
              </w:rPr>
            </w:pPr>
            <w:r>
              <w:rPr>
                <w:sz w:val="20"/>
              </w:rPr>
              <w:t>德国工程公司负责为公司就该碳纤维工程</w:t>
            </w:r>
          </w:p>
          <w:p>
            <w:pPr>
              <w:pStyle w:val="TableParagraph"/>
              <w:spacing w:line="237" w:lineRule="auto" w:before="1"/>
              <w:ind w:left="102" w:right="100" w:hanging="1"/>
              <w:jc w:val="center"/>
              <w:rPr>
                <w:sz w:val="20"/>
              </w:rPr>
            </w:pPr>
            <w:r>
              <w:rPr>
                <w:spacing w:val="-9"/>
                <w:sz w:val="20"/>
              </w:rPr>
              <w:t>提供用于航空、国防、汽车、民用的 </w:t>
            </w:r>
            <w:r>
              <w:rPr>
                <w:sz w:val="20"/>
              </w:rPr>
              <w:t>T800 </w:t>
            </w:r>
            <w:r>
              <w:rPr>
                <w:spacing w:val="-6"/>
                <w:sz w:val="20"/>
              </w:rPr>
              <w:t>级别碳纤维项目的交钥匙工程，包括：</w:t>
            </w:r>
            <w:r>
              <w:rPr>
                <w:spacing w:val="-13"/>
                <w:sz w:val="20"/>
              </w:rPr>
              <w:t>PAN </w:t>
            </w:r>
            <w:r>
              <w:rPr>
                <w:spacing w:val="-1"/>
                <w:sz w:val="20"/>
              </w:rPr>
              <w:t>聚合装置、前驱体生产装置、碳纤维生产装置以及一揽子技术服务，最终产品质量</w:t>
            </w:r>
            <w:r>
              <w:rPr>
                <w:spacing w:val="-6"/>
                <w:sz w:val="20"/>
              </w:rPr>
              <w:t>保证服务。生产规模为 </w:t>
            </w:r>
            <w:r>
              <w:rPr>
                <w:sz w:val="20"/>
              </w:rPr>
              <w:t>1500</w:t>
            </w:r>
            <w:r>
              <w:rPr>
                <w:spacing w:val="-27"/>
                <w:sz w:val="20"/>
              </w:rPr>
              <w:t> 吨</w:t>
            </w:r>
            <w:r>
              <w:rPr>
                <w:sz w:val="20"/>
              </w:rPr>
              <w:t>/年。</w:t>
            </w:r>
          </w:p>
        </w:tc>
        <w:tc>
          <w:tcPr>
            <w:tcW w:w="977" w:type="dxa"/>
          </w:tcPr>
          <w:p>
            <w:pPr>
              <w:pStyle w:val="TableParagraph"/>
              <w:rPr>
                <w:rFonts w:ascii="黑体"/>
                <w:sz w:val="20"/>
              </w:rPr>
            </w:pPr>
          </w:p>
          <w:p>
            <w:pPr>
              <w:pStyle w:val="TableParagraph"/>
              <w:rPr>
                <w:rFonts w:ascii="黑体"/>
                <w:sz w:val="27"/>
              </w:rPr>
            </w:pPr>
          </w:p>
          <w:p>
            <w:pPr>
              <w:pStyle w:val="TableParagraph"/>
              <w:ind w:right="181"/>
              <w:jc w:val="right"/>
              <w:rPr>
                <w:sz w:val="20"/>
              </w:rPr>
            </w:pPr>
            <w:r>
              <w:rPr>
                <w:sz w:val="20"/>
              </w:rPr>
              <w:t>243101</w:t>
            </w:r>
          </w:p>
        </w:tc>
        <w:tc>
          <w:tcPr>
            <w:tcW w:w="1080" w:type="dxa"/>
          </w:tcPr>
          <w:p>
            <w:pPr>
              <w:pStyle w:val="TableParagraph"/>
              <w:rPr>
                <w:rFonts w:ascii="黑体"/>
                <w:sz w:val="20"/>
              </w:rPr>
            </w:pPr>
          </w:p>
          <w:p>
            <w:pPr>
              <w:pStyle w:val="TableParagraph"/>
              <w:rPr>
                <w:rFonts w:ascii="黑体"/>
                <w:sz w:val="27"/>
              </w:rPr>
            </w:pPr>
          </w:p>
          <w:p>
            <w:pPr>
              <w:pStyle w:val="TableParagraph"/>
              <w:ind w:right="132"/>
              <w:jc w:val="right"/>
              <w:rPr>
                <w:sz w:val="20"/>
              </w:rPr>
            </w:pPr>
            <w:r>
              <w:rPr>
                <w:sz w:val="20"/>
              </w:rPr>
              <w:t>和邦集团</w:t>
            </w:r>
          </w:p>
        </w:tc>
      </w:tr>
      <w:tr>
        <w:trPr>
          <w:trHeight w:val="580" w:hRule="atLeast"/>
        </w:trPr>
        <w:tc>
          <w:tcPr>
            <w:tcW w:w="481" w:type="dxa"/>
          </w:tcPr>
          <w:p>
            <w:pPr>
              <w:pStyle w:val="TableParagraph"/>
              <w:spacing w:before="133"/>
              <w:ind w:left="184"/>
              <w:rPr>
                <w:sz w:val="20"/>
              </w:rPr>
            </w:pPr>
            <w:r>
              <w:rPr>
                <w:w w:val="100"/>
                <w:sz w:val="20"/>
              </w:rPr>
              <w:t>4</w:t>
            </w:r>
          </w:p>
        </w:tc>
        <w:tc>
          <w:tcPr>
            <w:tcW w:w="2267" w:type="dxa"/>
          </w:tcPr>
          <w:p>
            <w:pPr>
              <w:pStyle w:val="TableParagraph"/>
              <w:spacing w:before="133"/>
              <w:ind w:left="98" w:right="99"/>
              <w:jc w:val="center"/>
              <w:rPr>
                <w:sz w:val="20"/>
              </w:rPr>
            </w:pPr>
            <w:r>
              <w:rPr>
                <w:sz w:val="20"/>
              </w:rPr>
              <w:t>烟峰磷矿项目</w:t>
            </w:r>
          </w:p>
        </w:tc>
        <w:tc>
          <w:tcPr>
            <w:tcW w:w="1116" w:type="dxa"/>
          </w:tcPr>
          <w:p>
            <w:pPr>
              <w:pStyle w:val="TableParagraph"/>
              <w:spacing w:before="133"/>
              <w:ind w:left="101"/>
              <w:rPr>
                <w:sz w:val="20"/>
              </w:rPr>
            </w:pPr>
            <w:r>
              <w:rPr>
                <w:sz w:val="20"/>
              </w:rPr>
              <w:t>2016-2017</w:t>
            </w:r>
          </w:p>
        </w:tc>
        <w:tc>
          <w:tcPr>
            <w:tcW w:w="3818" w:type="dxa"/>
          </w:tcPr>
          <w:p>
            <w:pPr>
              <w:pStyle w:val="TableParagraph"/>
              <w:spacing w:line="237" w:lineRule="auto" w:before="6"/>
              <w:ind w:left="1253" w:hanging="1151"/>
              <w:rPr>
                <w:sz w:val="20"/>
              </w:rPr>
            </w:pPr>
            <w:r>
              <w:rPr>
                <w:spacing w:val="-7"/>
                <w:sz w:val="20"/>
              </w:rPr>
              <w:t>烟峰磷矿项目的 </w:t>
            </w:r>
            <w:r>
              <w:rPr>
                <w:sz w:val="20"/>
              </w:rPr>
              <w:t>100</w:t>
            </w:r>
            <w:r>
              <w:rPr>
                <w:spacing w:val="-18"/>
                <w:sz w:val="20"/>
              </w:rPr>
              <w:t> 万吨</w:t>
            </w:r>
            <w:r>
              <w:rPr>
                <w:sz w:val="20"/>
              </w:rPr>
              <w:t>/</w:t>
            </w:r>
            <w:r>
              <w:rPr>
                <w:spacing w:val="-12"/>
                <w:sz w:val="20"/>
              </w:rPr>
              <w:t>年采矿、</w:t>
            </w:r>
            <w:r>
              <w:rPr>
                <w:sz w:val="20"/>
              </w:rPr>
              <w:t>200</w:t>
            </w:r>
            <w:r>
              <w:rPr>
                <w:spacing w:val="-28"/>
                <w:sz w:val="20"/>
              </w:rPr>
              <w:t> 万</w:t>
            </w:r>
            <w:r>
              <w:rPr>
                <w:spacing w:val="-1"/>
                <w:sz w:val="20"/>
              </w:rPr>
              <w:t>吨/年选矿工程</w:t>
            </w:r>
          </w:p>
        </w:tc>
        <w:tc>
          <w:tcPr>
            <w:tcW w:w="977" w:type="dxa"/>
          </w:tcPr>
          <w:p>
            <w:pPr>
              <w:pStyle w:val="TableParagraph"/>
              <w:spacing w:before="133"/>
              <w:ind w:right="181"/>
              <w:jc w:val="right"/>
              <w:rPr>
                <w:sz w:val="20"/>
              </w:rPr>
            </w:pPr>
            <w:r>
              <w:rPr>
                <w:sz w:val="20"/>
              </w:rPr>
              <w:t>150000</w:t>
            </w:r>
          </w:p>
        </w:tc>
        <w:tc>
          <w:tcPr>
            <w:tcW w:w="1080" w:type="dxa"/>
          </w:tcPr>
          <w:p>
            <w:pPr>
              <w:pStyle w:val="TableParagraph"/>
              <w:spacing w:before="133"/>
              <w:ind w:right="132"/>
              <w:jc w:val="right"/>
              <w:rPr>
                <w:sz w:val="20"/>
              </w:rPr>
            </w:pPr>
            <w:r>
              <w:rPr>
                <w:sz w:val="20"/>
              </w:rPr>
              <w:t>和邦集团</w:t>
            </w:r>
          </w:p>
        </w:tc>
      </w:tr>
      <w:tr>
        <w:trPr>
          <w:trHeight w:val="760" w:hRule="atLeast"/>
        </w:trPr>
        <w:tc>
          <w:tcPr>
            <w:tcW w:w="481" w:type="dxa"/>
          </w:tcPr>
          <w:p>
            <w:pPr>
              <w:pStyle w:val="TableParagraph"/>
              <w:spacing w:before="4"/>
              <w:rPr>
                <w:rFonts w:ascii="黑体"/>
                <w:sz w:val="17"/>
              </w:rPr>
            </w:pPr>
          </w:p>
          <w:p>
            <w:pPr>
              <w:pStyle w:val="TableParagraph"/>
              <w:ind w:left="184"/>
              <w:rPr>
                <w:sz w:val="20"/>
              </w:rPr>
            </w:pPr>
            <w:r>
              <w:rPr>
                <w:w w:val="100"/>
                <w:sz w:val="20"/>
              </w:rPr>
              <w:t>5</w:t>
            </w:r>
          </w:p>
        </w:tc>
        <w:tc>
          <w:tcPr>
            <w:tcW w:w="2267" w:type="dxa"/>
          </w:tcPr>
          <w:p>
            <w:pPr>
              <w:pStyle w:val="TableParagraph"/>
              <w:spacing w:line="237" w:lineRule="auto" w:before="100"/>
              <w:ind w:left="428" w:right="83" w:hanging="275"/>
              <w:rPr>
                <w:sz w:val="20"/>
              </w:rPr>
            </w:pPr>
            <w:r>
              <w:rPr>
                <w:sz w:val="20"/>
              </w:rPr>
              <w:t>收购四川武骏玻璃 90% 股权延伸产业链</w:t>
            </w:r>
          </w:p>
        </w:tc>
        <w:tc>
          <w:tcPr>
            <w:tcW w:w="1116" w:type="dxa"/>
          </w:tcPr>
          <w:p>
            <w:pPr>
              <w:pStyle w:val="TableParagraph"/>
              <w:spacing w:before="4"/>
              <w:rPr>
                <w:rFonts w:ascii="黑体"/>
                <w:sz w:val="17"/>
              </w:rPr>
            </w:pPr>
          </w:p>
          <w:p>
            <w:pPr>
              <w:pStyle w:val="TableParagraph"/>
              <w:ind w:left="103"/>
              <w:rPr>
                <w:sz w:val="20"/>
              </w:rPr>
            </w:pPr>
            <w:r>
              <w:rPr>
                <w:sz w:val="20"/>
              </w:rPr>
              <w:t>2016-2017</w:t>
            </w:r>
          </w:p>
        </w:tc>
        <w:tc>
          <w:tcPr>
            <w:tcW w:w="3818" w:type="dxa"/>
          </w:tcPr>
          <w:p>
            <w:pPr>
              <w:pStyle w:val="TableParagraph"/>
              <w:spacing w:line="228" w:lineRule="exact"/>
              <w:ind w:left="104" w:firstLine="25"/>
              <w:rPr>
                <w:sz w:val="20"/>
              </w:rPr>
            </w:pPr>
            <w:r>
              <w:rPr>
                <w:sz w:val="20"/>
              </w:rPr>
              <w:t>收购四川武骏玻璃 90%股权延伸产业链，</w:t>
            </w:r>
          </w:p>
          <w:p>
            <w:pPr>
              <w:pStyle w:val="TableParagraph"/>
              <w:spacing w:line="237" w:lineRule="auto" w:before="1"/>
              <w:ind w:left="803" w:right="85" w:hanging="700"/>
              <w:rPr>
                <w:sz w:val="20"/>
              </w:rPr>
            </w:pPr>
            <w:r>
              <w:rPr>
                <w:sz w:val="20"/>
              </w:rPr>
              <w:t>以及包括玻璃深加工、余热发电站、天然气管道、石英砂矿等项目</w:t>
            </w:r>
          </w:p>
        </w:tc>
        <w:tc>
          <w:tcPr>
            <w:tcW w:w="977" w:type="dxa"/>
          </w:tcPr>
          <w:p>
            <w:pPr>
              <w:pStyle w:val="TableParagraph"/>
              <w:spacing w:before="4"/>
              <w:rPr>
                <w:rFonts w:ascii="黑体"/>
                <w:sz w:val="17"/>
              </w:rPr>
            </w:pPr>
          </w:p>
          <w:p>
            <w:pPr>
              <w:pStyle w:val="TableParagraph"/>
              <w:ind w:right="230"/>
              <w:jc w:val="right"/>
              <w:rPr>
                <w:sz w:val="20"/>
              </w:rPr>
            </w:pPr>
            <w:r>
              <w:rPr>
                <w:sz w:val="20"/>
              </w:rPr>
              <w:t>23200</w:t>
            </w:r>
          </w:p>
        </w:tc>
        <w:tc>
          <w:tcPr>
            <w:tcW w:w="1080" w:type="dxa"/>
          </w:tcPr>
          <w:p>
            <w:pPr>
              <w:pStyle w:val="TableParagraph"/>
              <w:spacing w:before="4"/>
              <w:rPr>
                <w:rFonts w:ascii="黑体"/>
                <w:sz w:val="17"/>
              </w:rPr>
            </w:pPr>
          </w:p>
          <w:p>
            <w:pPr>
              <w:pStyle w:val="TableParagraph"/>
              <w:ind w:right="131"/>
              <w:jc w:val="right"/>
              <w:rPr>
                <w:sz w:val="20"/>
              </w:rPr>
            </w:pPr>
            <w:r>
              <w:rPr>
                <w:sz w:val="20"/>
              </w:rPr>
              <w:t>和邦集团</w:t>
            </w:r>
          </w:p>
        </w:tc>
      </w:tr>
      <w:tr>
        <w:trPr>
          <w:trHeight w:val="1020" w:hRule="atLeast"/>
        </w:trPr>
        <w:tc>
          <w:tcPr>
            <w:tcW w:w="481" w:type="dxa"/>
          </w:tcPr>
          <w:p>
            <w:pPr>
              <w:pStyle w:val="TableParagraph"/>
              <w:spacing w:before="3"/>
              <w:rPr>
                <w:rFonts w:ascii="黑体"/>
                <w:sz w:val="27"/>
              </w:rPr>
            </w:pPr>
          </w:p>
          <w:p>
            <w:pPr>
              <w:pStyle w:val="TableParagraph"/>
              <w:ind w:left="184"/>
              <w:rPr>
                <w:sz w:val="20"/>
              </w:rPr>
            </w:pPr>
            <w:r>
              <w:rPr>
                <w:w w:val="100"/>
                <w:sz w:val="20"/>
              </w:rPr>
              <w:t>6</w:t>
            </w:r>
          </w:p>
        </w:tc>
        <w:tc>
          <w:tcPr>
            <w:tcW w:w="2267" w:type="dxa"/>
          </w:tcPr>
          <w:p>
            <w:pPr>
              <w:pStyle w:val="TableParagraph"/>
              <w:spacing w:line="228" w:lineRule="exact"/>
              <w:ind w:left="103" w:firstLine="25"/>
              <w:rPr>
                <w:sz w:val="20"/>
              </w:rPr>
            </w:pPr>
            <w:r>
              <w:rPr>
                <w:sz w:val="20"/>
              </w:rPr>
              <w:t>利用草甘膦副产物氯甲</w:t>
            </w:r>
          </w:p>
          <w:p>
            <w:pPr>
              <w:pStyle w:val="TableParagraph"/>
              <w:spacing w:line="259" w:lineRule="exact"/>
              <w:ind w:left="103"/>
              <w:rPr>
                <w:sz w:val="20"/>
              </w:rPr>
            </w:pPr>
            <w:r>
              <w:rPr>
                <w:sz w:val="20"/>
              </w:rPr>
              <w:t>烷联产20 万吨甲烷氯化</w:t>
            </w:r>
          </w:p>
          <w:p>
            <w:pPr>
              <w:pStyle w:val="TableParagraph"/>
              <w:spacing w:line="237" w:lineRule="auto" w:before="1"/>
              <w:ind w:left="927" w:right="123" w:hanging="800"/>
              <w:rPr>
                <w:sz w:val="20"/>
              </w:rPr>
            </w:pPr>
            <w:r>
              <w:rPr>
                <w:spacing w:val="-17"/>
                <w:sz w:val="20"/>
              </w:rPr>
              <w:t>物及 </w:t>
            </w:r>
            <w:r>
              <w:rPr>
                <w:sz w:val="20"/>
              </w:rPr>
              <w:t>1.2</w:t>
            </w:r>
            <w:r>
              <w:rPr>
                <w:spacing w:val="-9"/>
                <w:sz w:val="20"/>
              </w:rPr>
              <w:t> 万吨四氯乙烯项目</w:t>
            </w:r>
          </w:p>
        </w:tc>
        <w:tc>
          <w:tcPr>
            <w:tcW w:w="1116" w:type="dxa"/>
          </w:tcPr>
          <w:p>
            <w:pPr>
              <w:pStyle w:val="TableParagraph"/>
              <w:spacing w:before="3"/>
              <w:rPr>
                <w:rFonts w:ascii="黑体"/>
                <w:sz w:val="27"/>
              </w:rPr>
            </w:pPr>
          </w:p>
          <w:p>
            <w:pPr>
              <w:pStyle w:val="TableParagraph"/>
              <w:ind w:left="103"/>
              <w:rPr>
                <w:sz w:val="20"/>
              </w:rPr>
            </w:pPr>
            <w:r>
              <w:rPr>
                <w:sz w:val="20"/>
              </w:rPr>
              <w:t>2015-2017</w:t>
            </w:r>
          </w:p>
        </w:tc>
        <w:tc>
          <w:tcPr>
            <w:tcW w:w="3818" w:type="dxa"/>
          </w:tcPr>
          <w:p>
            <w:pPr>
              <w:pStyle w:val="TableParagraph"/>
              <w:spacing w:before="7"/>
              <w:rPr>
                <w:rFonts w:ascii="黑体"/>
                <w:sz w:val="17"/>
              </w:rPr>
            </w:pPr>
          </w:p>
          <w:p>
            <w:pPr>
              <w:pStyle w:val="TableParagraph"/>
              <w:spacing w:line="237" w:lineRule="auto"/>
              <w:ind w:left="1503" w:hanging="1401"/>
              <w:rPr>
                <w:sz w:val="20"/>
              </w:rPr>
            </w:pPr>
            <w:r>
              <w:rPr>
                <w:spacing w:val="-15"/>
                <w:sz w:val="20"/>
              </w:rPr>
              <w:t>新建厂房，安装氯化反应器、激冷塔等 </w:t>
            </w:r>
            <w:r>
              <w:rPr>
                <w:sz w:val="20"/>
              </w:rPr>
              <w:t>515 台（套）</w:t>
            </w:r>
          </w:p>
        </w:tc>
        <w:tc>
          <w:tcPr>
            <w:tcW w:w="977" w:type="dxa"/>
          </w:tcPr>
          <w:p>
            <w:pPr>
              <w:pStyle w:val="TableParagraph"/>
              <w:spacing w:before="3"/>
              <w:rPr>
                <w:rFonts w:ascii="黑体"/>
                <w:sz w:val="27"/>
              </w:rPr>
            </w:pPr>
          </w:p>
          <w:p>
            <w:pPr>
              <w:pStyle w:val="TableParagraph"/>
              <w:ind w:right="230"/>
              <w:jc w:val="right"/>
              <w:rPr>
                <w:sz w:val="20"/>
              </w:rPr>
            </w:pPr>
            <w:r>
              <w:rPr>
                <w:sz w:val="20"/>
              </w:rPr>
              <w:t>57000</w:t>
            </w:r>
          </w:p>
        </w:tc>
        <w:tc>
          <w:tcPr>
            <w:tcW w:w="1080" w:type="dxa"/>
          </w:tcPr>
          <w:p>
            <w:pPr>
              <w:pStyle w:val="TableParagraph"/>
              <w:spacing w:before="3"/>
              <w:rPr>
                <w:rFonts w:ascii="黑体"/>
                <w:sz w:val="27"/>
              </w:rPr>
            </w:pPr>
          </w:p>
          <w:p>
            <w:pPr>
              <w:pStyle w:val="TableParagraph"/>
              <w:ind w:right="131"/>
              <w:jc w:val="right"/>
              <w:rPr>
                <w:sz w:val="20"/>
              </w:rPr>
            </w:pPr>
            <w:r>
              <w:rPr>
                <w:sz w:val="20"/>
              </w:rPr>
              <w:t>福华集团</w:t>
            </w:r>
          </w:p>
        </w:tc>
      </w:tr>
      <w:tr>
        <w:trPr>
          <w:trHeight w:val="1320" w:hRule="atLeast"/>
        </w:trPr>
        <w:tc>
          <w:tcPr>
            <w:tcW w:w="481" w:type="dxa"/>
          </w:tcPr>
          <w:p>
            <w:pPr>
              <w:pStyle w:val="TableParagraph"/>
              <w:rPr>
                <w:rFonts w:ascii="黑体"/>
                <w:sz w:val="20"/>
              </w:rPr>
            </w:pPr>
          </w:p>
          <w:p>
            <w:pPr>
              <w:pStyle w:val="TableParagraph"/>
              <w:spacing w:before="10"/>
              <w:rPr>
                <w:rFonts w:ascii="黑体"/>
                <w:sz w:val="18"/>
              </w:rPr>
            </w:pPr>
          </w:p>
          <w:p>
            <w:pPr>
              <w:pStyle w:val="TableParagraph"/>
              <w:ind w:left="184"/>
              <w:rPr>
                <w:sz w:val="20"/>
              </w:rPr>
            </w:pPr>
            <w:r>
              <w:rPr>
                <w:w w:val="100"/>
                <w:sz w:val="20"/>
              </w:rPr>
              <w:t>7</w:t>
            </w:r>
          </w:p>
        </w:tc>
        <w:tc>
          <w:tcPr>
            <w:tcW w:w="2267" w:type="dxa"/>
          </w:tcPr>
          <w:p>
            <w:pPr>
              <w:pStyle w:val="TableParagraph"/>
              <w:spacing w:before="2"/>
              <w:rPr>
                <w:rFonts w:ascii="黑体"/>
                <w:sz w:val="19"/>
              </w:rPr>
            </w:pPr>
          </w:p>
          <w:p>
            <w:pPr>
              <w:pStyle w:val="TableParagraph"/>
              <w:spacing w:line="237" w:lineRule="auto"/>
              <w:ind w:left="102" w:right="98"/>
              <w:jc w:val="center"/>
              <w:rPr>
                <w:sz w:val="20"/>
              </w:rPr>
            </w:pPr>
            <w:r>
              <w:rPr>
                <w:spacing w:val="-6"/>
                <w:sz w:val="20"/>
              </w:rPr>
              <w:t>盐磷化工循环产业 </w:t>
            </w:r>
            <w:r>
              <w:rPr>
                <w:sz w:val="20"/>
              </w:rPr>
              <w:t>8</w:t>
            </w:r>
            <w:r>
              <w:rPr>
                <w:spacing w:val="-25"/>
                <w:sz w:val="20"/>
              </w:rPr>
              <w:t> 万吨/年甘氨酸技改新工艺项目</w:t>
            </w:r>
          </w:p>
        </w:tc>
        <w:tc>
          <w:tcPr>
            <w:tcW w:w="1116" w:type="dxa"/>
          </w:tcPr>
          <w:p>
            <w:pPr>
              <w:pStyle w:val="TableParagraph"/>
              <w:rPr>
                <w:rFonts w:ascii="黑体"/>
                <w:sz w:val="20"/>
              </w:rPr>
            </w:pPr>
          </w:p>
          <w:p>
            <w:pPr>
              <w:pStyle w:val="TableParagraph"/>
              <w:spacing w:before="10"/>
              <w:rPr>
                <w:rFonts w:ascii="黑体"/>
                <w:sz w:val="18"/>
              </w:rPr>
            </w:pPr>
          </w:p>
          <w:p>
            <w:pPr>
              <w:pStyle w:val="TableParagraph"/>
              <w:ind w:left="103"/>
              <w:rPr>
                <w:sz w:val="20"/>
              </w:rPr>
            </w:pPr>
            <w:r>
              <w:rPr>
                <w:sz w:val="20"/>
              </w:rPr>
              <w:t>2015-2016</w:t>
            </w:r>
          </w:p>
        </w:tc>
        <w:tc>
          <w:tcPr>
            <w:tcW w:w="3818" w:type="dxa"/>
          </w:tcPr>
          <w:p>
            <w:pPr>
              <w:pStyle w:val="TableParagraph"/>
              <w:spacing w:line="237" w:lineRule="auto" w:before="120"/>
              <w:ind w:left="102" w:right="100" w:firstLine="1"/>
              <w:jc w:val="both"/>
              <w:rPr>
                <w:sz w:val="20"/>
              </w:rPr>
            </w:pPr>
            <w:r>
              <w:rPr>
                <w:spacing w:val="-11"/>
                <w:sz w:val="20"/>
              </w:rPr>
              <w:t>新建厂房 </w:t>
            </w:r>
            <w:r>
              <w:rPr>
                <w:sz w:val="20"/>
              </w:rPr>
              <w:t>28032</w:t>
            </w:r>
            <w:r>
              <w:rPr>
                <w:spacing w:val="-8"/>
                <w:sz w:val="20"/>
              </w:rPr>
              <w:t> 平方米；购置安装 </w:t>
            </w:r>
            <w:r>
              <w:rPr>
                <w:sz w:val="20"/>
              </w:rPr>
              <w:t>8000L </w:t>
            </w:r>
            <w:r>
              <w:rPr>
                <w:spacing w:val="-6"/>
                <w:sz w:val="20"/>
              </w:rPr>
              <w:t>氯化反应搪瓷釜、</w:t>
            </w:r>
            <w:r>
              <w:rPr>
                <w:sz w:val="20"/>
              </w:rPr>
              <w:t>10000L</w:t>
            </w:r>
            <w:r>
              <w:rPr>
                <w:spacing w:val="-9"/>
                <w:sz w:val="20"/>
              </w:rPr>
              <w:t> 结晶搪瓷釜等主</w:t>
            </w:r>
            <w:r>
              <w:rPr>
                <w:spacing w:val="-21"/>
                <w:sz w:val="20"/>
              </w:rPr>
              <w:t>要设备 </w:t>
            </w:r>
            <w:r>
              <w:rPr>
                <w:sz w:val="20"/>
              </w:rPr>
              <w:t>367</w:t>
            </w:r>
            <w:r>
              <w:rPr>
                <w:spacing w:val="-15"/>
                <w:sz w:val="20"/>
              </w:rPr>
              <w:t> 台,形成年产 </w:t>
            </w:r>
            <w:r>
              <w:rPr>
                <w:sz w:val="20"/>
              </w:rPr>
              <w:t>8</w:t>
            </w:r>
            <w:r>
              <w:rPr>
                <w:spacing w:val="-18"/>
                <w:sz w:val="20"/>
              </w:rPr>
              <w:t> 万吨</w:t>
            </w:r>
            <w:r>
              <w:rPr>
                <w:sz w:val="20"/>
              </w:rPr>
              <w:t>/年甘氨酸</w:t>
            </w:r>
          </w:p>
          <w:p>
            <w:pPr>
              <w:pStyle w:val="TableParagraph"/>
              <w:spacing w:line="259" w:lineRule="exact"/>
              <w:ind w:left="102"/>
              <w:jc w:val="both"/>
              <w:rPr>
                <w:sz w:val="20"/>
              </w:rPr>
            </w:pPr>
            <w:r>
              <w:rPr>
                <w:spacing w:val="-7"/>
                <w:sz w:val="20"/>
              </w:rPr>
              <w:t>生产能力，满足 </w:t>
            </w:r>
            <w:r>
              <w:rPr>
                <w:sz w:val="20"/>
              </w:rPr>
              <w:t>12</w:t>
            </w:r>
            <w:r>
              <w:rPr>
                <w:spacing w:val="-8"/>
                <w:sz w:val="20"/>
              </w:rPr>
              <w:t> 万吨草甘膦生产需要。</w:t>
            </w:r>
          </w:p>
        </w:tc>
        <w:tc>
          <w:tcPr>
            <w:tcW w:w="977" w:type="dxa"/>
          </w:tcPr>
          <w:p>
            <w:pPr>
              <w:pStyle w:val="TableParagraph"/>
              <w:rPr>
                <w:rFonts w:ascii="黑体"/>
                <w:sz w:val="20"/>
              </w:rPr>
            </w:pPr>
          </w:p>
          <w:p>
            <w:pPr>
              <w:pStyle w:val="TableParagraph"/>
              <w:spacing w:before="10"/>
              <w:rPr>
                <w:rFonts w:ascii="黑体"/>
                <w:sz w:val="18"/>
              </w:rPr>
            </w:pPr>
          </w:p>
          <w:p>
            <w:pPr>
              <w:pStyle w:val="TableParagraph"/>
              <w:ind w:right="230"/>
              <w:jc w:val="right"/>
              <w:rPr>
                <w:sz w:val="20"/>
              </w:rPr>
            </w:pPr>
            <w:r>
              <w:rPr>
                <w:sz w:val="20"/>
              </w:rPr>
              <w:t>45000</w:t>
            </w:r>
          </w:p>
        </w:tc>
        <w:tc>
          <w:tcPr>
            <w:tcW w:w="1080" w:type="dxa"/>
          </w:tcPr>
          <w:p>
            <w:pPr>
              <w:pStyle w:val="TableParagraph"/>
              <w:rPr>
                <w:rFonts w:ascii="黑体"/>
                <w:sz w:val="20"/>
              </w:rPr>
            </w:pPr>
          </w:p>
          <w:p>
            <w:pPr>
              <w:pStyle w:val="TableParagraph"/>
              <w:spacing w:before="10"/>
              <w:rPr>
                <w:rFonts w:ascii="黑体"/>
                <w:sz w:val="18"/>
              </w:rPr>
            </w:pPr>
          </w:p>
          <w:p>
            <w:pPr>
              <w:pStyle w:val="TableParagraph"/>
              <w:ind w:right="131"/>
              <w:jc w:val="right"/>
              <w:rPr>
                <w:sz w:val="20"/>
              </w:rPr>
            </w:pPr>
            <w:r>
              <w:rPr>
                <w:sz w:val="20"/>
              </w:rPr>
              <w:t>福华集团</w:t>
            </w:r>
          </w:p>
        </w:tc>
      </w:tr>
      <w:tr>
        <w:trPr>
          <w:trHeight w:val="1420" w:hRule="atLeast"/>
        </w:trPr>
        <w:tc>
          <w:tcPr>
            <w:tcW w:w="481" w:type="dxa"/>
          </w:tcPr>
          <w:p>
            <w:pPr>
              <w:pStyle w:val="TableParagraph"/>
              <w:rPr>
                <w:rFonts w:ascii="黑体"/>
                <w:sz w:val="20"/>
              </w:rPr>
            </w:pPr>
          </w:p>
          <w:p>
            <w:pPr>
              <w:pStyle w:val="TableParagraph"/>
              <w:spacing w:before="8"/>
              <w:rPr>
                <w:rFonts w:ascii="黑体"/>
                <w:sz w:val="22"/>
              </w:rPr>
            </w:pPr>
          </w:p>
          <w:p>
            <w:pPr>
              <w:pStyle w:val="TableParagraph"/>
              <w:ind w:left="184"/>
              <w:rPr>
                <w:sz w:val="20"/>
              </w:rPr>
            </w:pPr>
            <w:r>
              <w:rPr>
                <w:w w:val="100"/>
                <w:sz w:val="20"/>
              </w:rPr>
              <w:t>8</w:t>
            </w:r>
          </w:p>
        </w:tc>
        <w:tc>
          <w:tcPr>
            <w:tcW w:w="2267" w:type="dxa"/>
          </w:tcPr>
          <w:p>
            <w:pPr>
              <w:pStyle w:val="TableParagraph"/>
              <w:rPr>
                <w:rFonts w:ascii="黑体"/>
                <w:sz w:val="23"/>
              </w:rPr>
            </w:pPr>
          </w:p>
          <w:p>
            <w:pPr>
              <w:pStyle w:val="TableParagraph"/>
              <w:spacing w:line="237" w:lineRule="auto"/>
              <w:ind w:left="102" w:right="99"/>
              <w:jc w:val="center"/>
              <w:rPr>
                <w:sz w:val="20"/>
              </w:rPr>
            </w:pPr>
            <w:r>
              <w:rPr>
                <w:spacing w:val="2"/>
                <w:sz w:val="20"/>
              </w:rPr>
              <w:t>盐磷化工循环产业</w:t>
            </w:r>
            <w:r>
              <w:rPr>
                <w:sz w:val="20"/>
              </w:rPr>
              <w:t>30</w:t>
            </w:r>
            <w:r>
              <w:rPr>
                <w:spacing w:val="-40"/>
                <w:sz w:val="20"/>
              </w:rPr>
              <w:t> 万吨/年离子膜烧碱扩能技改项目</w:t>
            </w:r>
          </w:p>
        </w:tc>
        <w:tc>
          <w:tcPr>
            <w:tcW w:w="1116" w:type="dxa"/>
          </w:tcPr>
          <w:p>
            <w:pPr>
              <w:pStyle w:val="TableParagraph"/>
              <w:rPr>
                <w:rFonts w:ascii="黑体"/>
                <w:sz w:val="20"/>
              </w:rPr>
            </w:pPr>
          </w:p>
          <w:p>
            <w:pPr>
              <w:pStyle w:val="TableParagraph"/>
              <w:spacing w:before="8"/>
              <w:rPr>
                <w:rFonts w:ascii="黑体"/>
                <w:sz w:val="22"/>
              </w:rPr>
            </w:pPr>
          </w:p>
          <w:p>
            <w:pPr>
              <w:pStyle w:val="TableParagraph"/>
              <w:ind w:left="103"/>
              <w:rPr>
                <w:sz w:val="20"/>
              </w:rPr>
            </w:pPr>
            <w:r>
              <w:rPr>
                <w:sz w:val="20"/>
              </w:rPr>
              <w:t>2016-2018</w:t>
            </w:r>
          </w:p>
        </w:tc>
        <w:tc>
          <w:tcPr>
            <w:tcW w:w="3818" w:type="dxa"/>
          </w:tcPr>
          <w:p>
            <w:pPr>
              <w:pStyle w:val="TableParagraph"/>
              <w:spacing w:line="237" w:lineRule="auto" w:before="171"/>
              <w:ind w:left="104" w:right="102" w:hanging="2"/>
              <w:jc w:val="center"/>
              <w:rPr>
                <w:sz w:val="20"/>
              </w:rPr>
            </w:pPr>
            <w:r>
              <w:rPr>
                <w:sz w:val="20"/>
              </w:rPr>
              <w:t>新建厂房 22000 平方米，附属建筑 6000 平方米；新购置离子膜电解槽等主要设备</w:t>
            </w:r>
          </w:p>
          <w:p>
            <w:pPr>
              <w:pStyle w:val="TableParagraph"/>
              <w:spacing w:line="258" w:lineRule="exact"/>
              <w:jc w:val="center"/>
              <w:rPr>
                <w:sz w:val="20"/>
              </w:rPr>
            </w:pPr>
            <w:r>
              <w:rPr>
                <w:sz w:val="20"/>
              </w:rPr>
              <w:t>580 台(套)，在现有 20 万吨烧碱产能上扩</w:t>
            </w:r>
          </w:p>
          <w:p>
            <w:pPr>
              <w:pStyle w:val="TableParagraph"/>
              <w:spacing w:line="260" w:lineRule="exact"/>
              <w:jc w:val="center"/>
              <w:rPr>
                <w:sz w:val="20"/>
              </w:rPr>
            </w:pPr>
            <w:r>
              <w:rPr>
                <w:sz w:val="20"/>
              </w:rPr>
              <w:t>建，达到 50 万吨/年的生产能力</w:t>
            </w:r>
          </w:p>
        </w:tc>
        <w:tc>
          <w:tcPr>
            <w:tcW w:w="977" w:type="dxa"/>
          </w:tcPr>
          <w:p>
            <w:pPr>
              <w:pStyle w:val="TableParagraph"/>
              <w:rPr>
                <w:rFonts w:ascii="黑体"/>
                <w:sz w:val="20"/>
              </w:rPr>
            </w:pPr>
          </w:p>
          <w:p>
            <w:pPr>
              <w:pStyle w:val="TableParagraph"/>
              <w:spacing w:before="8"/>
              <w:rPr>
                <w:rFonts w:ascii="黑体"/>
                <w:sz w:val="22"/>
              </w:rPr>
            </w:pPr>
          </w:p>
          <w:p>
            <w:pPr>
              <w:pStyle w:val="TableParagraph"/>
              <w:ind w:right="181"/>
              <w:jc w:val="right"/>
              <w:rPr>
                <w:sz w:val="20"/>
              </w:rPr>
            </w:pPr>
            <w:r>
              <w:rPr>
                <w:sz w:val="20"/>
              </w:rPr>
              <w:t>148100</w:t>
            </w:r>
          </w:p>
        </w:tc>
        <w:tc>
          <w:tcPr>
            <w:tcW w:w="1080" w:type="dxa"/>
          </w:tcPr>
          <w:p>
            <w:pPr>
              <w:pStyle w:val="TableParagraph"/>
              <w:rPr>
                <w:rFonts w:ascii="黑体"/>
                <w:sz w:val="20"/>
              </w:rPr>
            </w:pPr>
          </w:p>
          <w:p>
            <w:pPr>
              <w:pStyle w:val="TableParagraph"/>
              <w:spacing w:before="8"/>
              <w:rPr>
                <w:rFonts w:ascii="黑体"/>
                <w:sz w:val="22"/>
              </w:rPr>
            </w:pPr>
          </w:p>
          <w:p>
            <w:pPr>
              <w:pStyle w:val="TableParagraph"/>
              <w:ind w:right="132"/>
              <w:jc w:val="right"/>
              <w:rPr>
                <w:sz w:val="20"/>
              </w:rPr>
            </w:pPr>
            <w:r>
              <w:rPr>
                <w:sz w:val="20"/>
              </w:rPr>
              <w:t>福华集团</w:t>
            </w:r>
          </w:p>
        </w:tc>
      </w:tr>
      <w:tr>
        <w:trPr>
          <w:trHeight w:val="1360" w:hRule="atLeast"/>
        </w:trPr>
        <w:tc>
          <w:tcPr>
            <w:tcW w:w="481" w:type="dxa"/>
          </w:tcPr>
          <w:p>
            <w:pPr>
              <w:pStyle w:val="TableParagraph"/>
              <w:rPr>
                <w:rFonts w:ascii="黑体"/>
                <w:sz w:val="20"/>
              </w:rPr>
            </w:pPr>
          </w:p>
          <w:p>
            <w:pPr>
              <w:pStyle w:val="TableParagraph"/>
              <w:spacing w:before="4"/>
              <w:rPr>
                <w:rFonts w:ascii="黑体"/>
                <w:sz w:val="20"/>
              </w:rPr>
            </w:pPr>
          </w:p>
          <w:p>
            <w:pPr>
              <w:pStyle w:val="TableParagraph"/>
              <w:ind w:left="184"/>
              <w:rPr>
                <w:sz w:val="20"/>
              </w:rPr>
            </w:pPr>
            <w:r>
              <w:rPr>
                <w:w w:val="100"/>
                <w:sz w:val="20"/>
              </w:rPr>
              <w:t>9</w:t>
            </w:r>
          </w:p>
        </w:tc>
        <w:tc>
          <w:tcPr>
            <w:tcW w:w="2267" w:type="dxa"/>
          </w:tcPr>
          <w:p>
            <w:pPr>
              <w:pStyle w:val="TableParagraph"/>
              <w:rPr>
                <w:rFonts w:ascii="黑体"/>
                <w:sz w:val="20"/>
              </w:rPr>
            </w:pPr>
          </w:p>
          <w:p>
            <w:pPr>
              <w:pStyle w:val="TableParagraph"/>
              <w:spacing w:line="260" w:lineRule="exact" w:before="137"/>
              <w:ind w:left="100" w:right="99"/>
              <w:jc w:val="center"/>
              <w:rPr>
                <w:sz w:val="20"/>
              </w:rPr>
            </w:pPr>
            <w:r>
              <w:rPr>
                <w:sz w:val="20"/>
              </w:rPr>
              <w:t>盐磷化工循环产业</w:t>
            </w:r>
          </w:p>
          <w:p>
            <w:pPr>
              <w:pStyle w:val="TableParagraph"/>
              <w:spacing w:line="260" w:lineRule="exact"/>
              <w:ind w:left="58" w:right="58"/>
              <w:jc w:val="center"/>
              <w:rPr>
                <w:sz w:val="20"/>
              </w:rPr>
            </w:pPr>
            <w:r>
              <w:rPr>
                <w:sz w:val="20"/>
              </w:rPr>
              <w:t>12000 吨/年草铵膦项目</w:t>
            </w:r>
          </w:p>
        </w:tc>
        <w:tc>
          <w:tcPr>
            <w:tcW w:w="1116" w:type="dxa"/>
          </w:tcPr>
          <w:p>
            <w:pPr>
              <w:pStyle w:val="TableParagraph"/>
              <w:rPr>
                <w:rFonts w:ascii="黑体"/>
                <w:sz w:val="20"/>
              </w:rPr>
            </w:pPr>
          </w:p>
          <w:p>
            <w:pPr>
              <w:pStyle w:val="TableParagraph"/>
              <w:spacing w:before="4"/>
              <w:rPr>
                <w:rFonts w:ascii="黑体"/>
                <w:sz w:val="20"/>
              </w:rPr>
            </w:pPr>
          </w:p>
          <w:p>
            <w:pPr>
              <w:pStyle w:val="TableParagraph"/>
              <w:ind w:left="103"/>
              <w:rPr>
                <w:sz w:val="20"/>
              </w:rPr>
            </w:pPr>
            <w:r>
              <w:rPr>
                <w:sz w:val="20"/>
              </w:rPr>
              <w:t>2015-2016</w:t>
            </w:r>
          </w:p>
        </w:tc>
        <w:tc>
          <w:tcPr>
            <w:tcW w:w="3818" w:type="dxa"/>
          </w:tcPr>
          <w:p>
            <w:pPr>
              <w:pStyle w:val="TableParagraph"/>
              <w:spacing w:line="260" w:lineRule="exact" w:before="138"/>
              <w:ind w:left="102" w:right="2"/>
              <w:jc w:val="center"/>
              <w:rPr>
                <w:sz w:val="20"/>
              </w:rPr>
            </w:pPr>
            <w:r>
              <w:rPr>
                <w:spacing w:val="-11"/>
                <w:sz w:val="20"/>
              </w:rPr>
              <w:t>新建厂房 </w:t>
            </w:r>
            <w:r>
              <w:rPr>
                <w:sz w:val="20"/>
              </w:rPr>
              <w:t>17550</w:t>
            </w:r>
            <w:r>
              <w:rPr>
                <w:spacing w:val="-15"/>
                <w:sz w:val="20"/>
              </w:rPr>
              <w:t> 平方米，购置安装合成釜、</w:t>
            </w:r>
          </w:p>
          <w:p>
            <w:pPr>
              <w:pStyle w:val="TableParagraph"/>
              <w:spacing w:line="237" w:lineRule="auto" w:before="1"/>
              <w:ind w:left="104" w:right="100" w:hanging="2"/>
              <w:jc w:val="center"/>
              <w:rPr>
                <w:sz w:val="20"/>
              </w:rPr>
            </w:pPr>
            <w:r>
              <w:rPr>
                <w:sz w:val="20"/>
              </w:rPr>
              <w:t>加成釜、水解釜、溶媒回收塔等设备 390 余台(套)，形成新一代高效低毒除草剂草铵膦 12000 吨的生产能力</w:t>
            </w:r>
          </w:p>
        </w:tc>
        <w:tc>
          <w:tcPr>
            <w:tcW w:w="977" w:type="dxa"/>
          </w:tcPr>
          <w:p>
            <w:pPr>
              <w:pStyle w:val="TableParagraph"/>
              <w:rPr>
                <w:rFonts w:ascii="黑体"/>
                <w:sz w:val="20"/>
              </w:rPr>
            </w:pPr>
          </w:p>
          <w:p>
            <w:pPr>
              <w:pStyle w:val="TableParagraph"/>
              <w:spacing w:before="4"/>
              <w:rPr>
                <w:rFonts w:ascii="黑体"/>
                <w:sz w:val="20"/>
              </w:rPr>
            </w:pPr>
          </w:p>
          <w:p>
            <w:pPr>
              <w:pStyle w:val="TableParagraph"/>
              <w:ind w:right="230"/>
              <w:jc w:val="right"/>
              <w:rPr>
                <w:sz w:val="20"/>
              </w:rPr>
            </w:pPr>
            <w:r>
              <w:rPr>
                <w:sz w:val="20"/>
              </w:rPr>
              <w:t>80000</w:t>
            </w:r>
          </w:p>
        </w:tc>
        <w:tc>
          <w:tcPr>
            <w:tcW w:w="1080" w:type="dxa"/>
          </w:tcPr>
          <w:p>
            <w:pPr>
              <w:pStyle w:val="TableParagraph"/>
              <w:rPr>
                <w:rFonts w:ascii="黑体"/>
                <w:sz w:val="20"/>
              </w:rPr>
            </w:pPr>
          </w:p>
          <w:p>
            <w:pPr>
              <w:pStyle w:val="TableParagraph"/>
              <w:spacing w:before="4"/>
              <w:rPr>
                <w:rFonts w:ascii="黑体"/>
                <w:sz w:val="20"/>
              </w:rPr>
            </w:pPr>
          </w:p>
          <w:p>
            <w:pPr>
              <w:pStyle w:val="TableParagraph"/>
              <w:ind w:right="131"/>
              <w:jc w:val="right"/>
              <w:rPr>
                <w:sz w:val="20"/>
              </w:rPr>
            </w:pPr>
            <w:r>
              <w:rPr>
                <w:sz w:val="20"/>
              </w:rPr>
              <w:t>福华集团</w:t>
            </w:r>
          </w:p>
        </w:tc>
      </w:tr>
      <w:tr>
        <w:trPr>
          <w:trHeight w:val="960" w:hRule="atLeast"/>
        </w:trPr>
        <w:tc>
          <w:tcPr>
            <w:tcW w:w="481" w:type="dxa"/>
          </w:tcPr>
          <w:p>
            <w:pPr>
              <w:pStyle w:val="TableParagraph"/>
              <w:spacing w:before="4"/>
              <w:rPr>
                <w:rFonts w:ascii="黑体"/>
                <w:sz w:val="24"/>
              </w:rPr>
            </w:pPr>
          </w:p>
          <w:p>
            <w:pPr>
              <w:pStyle w:val="TableParagraph"/>
              <w:ind w:left="134"/>
              <w:rPr>
                <w:sz w:val="20"/>
              </w:rPr>
            </w:pPr>
            <w:r>
              <w:rPr>
                <w:sz w:val="20"/>
              </w:rPr>
              <w:t>10</w:t>
            </w:r>
          </w:p>
        </w:tc>
        <w:tc>
          <w:tcPr>
            <w:tcW w:w="2267" w:type="dxa"/>
          </w:tcPr>
          <w:p>
            <w:pPr>
              <w:pStyle w:val="TableParagraph"/>
              <w:spacing w:line="237" w:lineRule="auto" w:before="61"/>
              <w:ind w:left="102" w:right="98"/>
              <w:jc w:val="center"/>
              <w:rPr>
                <w:sz w:val="20"/>
              </w:rPr>
            </w:pPr>
            <w:r>
              <w:rPr>
                <w:spacing w:val="-6"/>
                <w:sz w:val="20"/>
              </w:rPr>
              <w:t>盐磷化工循环产业 </w:t>
            </w:r>
            <w:r>
              <w:rPr>
                <w:sz w:val="20"/>
              </w:rPr>
              <w:t>7</w:t>
            </w:r>
            <w:r>
              <w:rPr>
                <w:spacing w:val="-25"/>
                <w:sz w:val="20"/>
              </w:rPr>
              <w:t> 万吨/年草甘膦制剂技改项目</w:t>
            </w:r>
          </w:p>
        </w:tc>
        <w:tc>
          <w:tcPr>
            <w:tcW w:w="1116" w:type="dxa"/>
          </w:tcPr>
          <w:p>
            <w:pPr>
              <w:pStyle w:val="TableParagraph"/>
              <w:spacing w:before="4"/>
              <w:rPr>
                <w:rFonts w:ascii="黑体"/>
                <w:sz w:val="24"/>
              </w:rPr>
            </w:pPr>
          </w:p>
          <w:p>
            <w:pPr>
              <w:pStyle w:val="TableParagraph"/>
              <w:ind w:left="103"/>
              <w:rPr>
                <w:sz w:val="20"/>
              </w:rPr>
            </w:pPr>
            <w:r>
              <w:rPr>
                <w:sz w:val="20"/>
              </w:rPr>
              <w:t>2015-2016</w:t>
            </w:r>
          </w:p>
        </w:tc>
        <w:tc>
          <w:tcPr>
            <w:tcW w:w="3818" w:type="dxa"/>
          </w:tcPr>
          <w:p>
            <w:pPr>
              <w:pStyle w:val="TableParagraph"/>
              <w:spacing w:line="237" w:lineRule="auto" w:before="61"/>
              <w:ind w:left="102" w:right="99"/>
              <w:jc w:val="center"/>
              <w:rPr>
                <w:sz w:val="20"/>
              </w:rPr>
            </w:pPr>
            <w:r>
              <w:rPr>
                <w:spacing w:val="-1"/>
                <w:sz w:val="20"/>
              </w:rPr>
              <w:t>采用国内先进的草甘膦水剂、粒剂生产工</w:t>
            </w:r>
            <w:r>
              <w:rPr>
                <w:spacing w:val="-12"/>
                <w:sz w:val="20"/>
              </w:rPr>
              <w:t>艺，形成 </w:t>
            </w:r>
            <w:r>
              <w:rPr>
                <w:sz w:val="20"/>
              </w:rPr>
              <w:t>6</w:t>
            </w:r>
            <w:r>
              <w:rPr>
                <w:spacing w:val="-17"/>
                <w:sz w:val="20"/>
              </w:rPr>
              <w:t> 万吨</w:t>
            </w:r>
            <w:r>
              <w:rPr>
                <w:sz w:val="20"/>
              </w:rPr>
              <w:t>/</w:t>
            </w:r>
            <w:r>
              <w:rPr>
                <w:spacing w:val="-7"/>
                <w:sz w:val="20"/>
              </w:rPr>
              <w:t>年草甘膦水剂及 </w:t>
            </w:r>
            <w:r>
              <w:rPr>
                <w:sz w:val="20"/>
              </w:rPr>
              <w:t>1</w:t>
            </w:r>
            <w:r>
              <w:rPr>
                <w:spacing w:val="-18"/>
                <w:sz w:val="20"/>
              </w:rPr>
              <w:t> 万吨</w:t>
            </w:r>
            <w:r>
              <w:rPr>
                <w:sz w:val="20"/>
              </w:rPr>
              <w:t>/ </w:t>
            </w:r>
            <w:r>
              <w:rPr>
                <w:spacing w:val="-1"/>
                <w:sz w:val="20"/>
              </w:rPr>
              <w:t>年粒剂的生产能力</w:t>
            </w:r>
          </w:p>
        </w:tc>
        <w:tc>
          <w:tcPr>
            <w:tcW w:w="977" w:type="dxa"/>
          </w:tcPr>
          <w:p>
            <w:pPr>
              <w:pStyle w:val="TableParagraph"/>
              <w:spacing w:before="4"/>
              <w:rPr>
                <w:rFonts w:ascii="黑体"/>
                <w:sz w:val="24"/>
              </w:rPr>
            </w:pPr>
          </w:p>
          <w:p>
            <w:pPr>
              <w:pStyle w:val="TableParagraph"/>
              <w:ind w:left="282"/>
              <w:rPr>
                <w:sz w:val="20"/>
              </w:rPr>
            </w:pPr>
            <w:r>
              <w:rPr>
                <w:sz w:val="20"/>
              </w:rPr>
              <w:t>5228</w:t>
            </w:r>
          </w:p>
        </w:tc>
        <w:tc>
          <w:tcPr>
            <w:tcW w:w="1080" w:type="dxa"/>
          </w:tcPr>
          <w:p>
            <w:pPr>
              <w:pStyle w:val="TableParagraph"/>
              <w:spacing w:before="4"/>
              <w:rPr>
                <w:rFonts w:ascii="黑体"/>
                <w:sz w:val="24"/>
              </w:rPr>
            </w:pPr>
          </w:p>
          <w:p>
            <w:pPr>
              <w:pStyle w:val="TableParagraph"/>
              <w:ind w:right="132"/>
              <w:jc w:val="right"/>
              <w:rPr>
                <w:sz w:val="20"/>
              </w:rPr>
            </w:pPr>
            <w:r>
              <w:rPr>
                <w:sz w:val="20"/>
              </w:rPr>
              <w:t>福华集团</w:t>
            </w:r>
          </w:p>
        </w:tc>
      </w:tr>
      <w:tr>
        <w:trPr>
          <w:trHeight w:val="1020" w:hRule="atLeast"/>
        </w:trPr>
        <w:tc>
          <w:tcPr>
            <w:tcW w:w="481" w:type="dxa"/>
          </w:tcPr>
          <w:p>
            <w:pPr>
              <w:pStyle w:val="TableParagraph"/>
              <w:spacing w:before="4"/>
              <w:rPr>
                <w:rFonts w:ascii="黑体"/>
                <w:sz w:val="27"/>
              </w:rPr>
            </w:pPr>
          </w:p>
          <w:p>
            <w:pPr>
              <w:pStyle w:val="TableParagraph"/>
              <w:ind w:left="134"/>
              <w:rPr>
                <w:sz w:val="20"/>
              </w:rPr>
            </w:pPr>
            <w:r>
              <w:rPr>
                <w:sz w:val="20"/>
              </w:rPr>
              <w:t>11</w:t>
            </w:r>
          </w:p>
        </w:tc>
        <w:tc>
          <w:tcPr>
            <w:tcW w:w="2267" w:type="dxa"/>
          </w:tcPr>
          <w:p>
            <w:pPr>
              <w:pStyle w:val="TableParagraph"/>
              <w:spacing w:line="237" w:lineRule="auto" w:before="101"/>
              <w:ind w:left="102" w:right="98"/>
              <w:jc w:val="center"/>
              <w:rPr>
                <w:sz w:val="20"/>
              </w:rPr>
            </w:pPr>
            <w:r>
              <w:rPr>
                <w:spacing w:val="-6"/>
                <w:sz w:val="20"/>
              </w:rPr>
              <w:t>盐磷化工循环产业 </w:t>
            </w:r>
            <w:r>
              <w:rPr>
                <w:sz w:val="20"/>
              </w:rPr>
              <w:t>5</w:t>
            </w:r>
            <w:r>
              <w:rPr>
                <w:spacing w:val="-25"/>
                <w:sz w:val="20"/>
              </w:rPr>
              <w:t> 万吨/年甲缩醛精馏技改项目</w:t>
            </w:r>
          </w:p>
        </w:tc>
        <w:tc>
          <w:tcPr>
            <w:tcW w:w="1116" w:type="dxa"/>
          </w:tcPr>
          <w:p>
            <w:pPr>
              <w:pStyle w:val="TableParagraph"/>
              <w:spacing w:before="4"/>
              <w:rPr>
                <w:rFonts w:ascii="黑体"/>
                <w:sz w:val="27"/>
              </w:rPr>
            </w:pPr>
          </w:p>
          <w:p>
            <w:pPr>
              <w:pStyle w:val="TableParagraph"/>
              <w:ind w:left="103"/>
              <w:rPr>
                <w:sz w:val="20"/>
              </w:rPr>
            </w:pPr>
            <w:r>
              <w:rPr>
                <w:sz w:val="20"/>
              </w:rPr>
              <w:t>2015-2016</w:t>
            </w:r>
          </w:p>
        </w:tc>
        <w:tc>
          <w:tcPr>
            <w:tcW w:w="3818" w:type="dxa"/>
          </w:tcPr>
          <w:p>
            <w:pPr>
              <w:pStyle w:val="TableParagraph"/>
              <w:spacing w:line="228" w:lineRule="exact"/>
              <w:jc w:val="center"/>
              <w:rPr>
                <w:sz w:val="20"/>
              </w:rPr>
            </w:pPr>
            <w:r>
              <w:rPr>
                <w:sz w:val="20"/>
              </w:rPr>
              <w:t>新建厂房及构筑物 1000 平方米，新购置安</w:t>
            </w:r>
          </w:p>
          <w:p>
            <w:pPr>
              <w:pStyle w:val="TableParagraph"/>
              <w:spacing w:line="237" w:lineRule="auto" w:before="1"/>
              <w:ind w:left="102" w:right="100"/>
              <w:jc w:val="center"/>
              <w:rPr>
                <w:sz w:val="20"/>
              </w:rPr>
            </w:pPr>
            <w:r>
              <w:rPr>
                <w:spacing w:val="-1"/>
                <w:sz w:val="20"/>
              </w:rPr>
              <w:t>装精馏塔、冷凝器、贮罐、泵阀等生产设</w:t>
            </w:r>
            <w:r>
              <w:rPr>
                <w:spacing w:val="-27"/>
                <w:sz w:val="20"/>
              </w:rPr>
              <w:t>备 </w:t>
            </w:r>
            <w:r>
              <w:rPr>
                <w:sz w:val="20"/>
              </w:rPr>
              <w:t>62</w:t>
            </w:r>
            <w:r>
              <w:rPr>
                <w:spacing w:val="-26"/>
                <w:sz w:val="20"/>
              </w:rPr>
              <w:t> 台</w:t>
            </w:r>
            <w:r>
              <w:rPr>
                <w:sz w:val="20"/>
              </w:rPr>
              <w:t>（套）</w:t>
            </w:r>
            <w:r>
              <w:rPr>
                <w:spacing w:val="-3"/>
                <w:sz w:val="20"/>
              </w:rPr>
              <w:t>， 形成 </w:t>
            </w:r>
            <w:r>
              <w:rPr>
                <w:sz w:val="20"/>
              </w:rPr>
              <w:t>5</w:t>
            </w:r>
            <w:r>
              <w:rPr>
                <w:spacing w:val="-18"/>
                <w:sz w:val="20"/>
              </w:rPr>
              <w:t> 万吨</w:t>
            </w:r>
            <w:r>
              <w:rPr>
                <w:sz w:val="20"/>
              </w:rPr>
              <w:t>/年甲缩醛</w:t>
            </w:r>
            <w:r>
              <w:rPr>
                <w:spacing w:val="-1"/>
                <w:sz w:val="20"/>
              </w:rPr>
              <w:t>精馏的生产能力。</w:t>
            </w:r>
          </w:p>
        </w:tc>
        <w:tc>
          <w:tcPr>
            <w:tcW w:w="977" w:type="dxa"/>
          </w:tcPr>
          <w:p>
            <w:pPr>
              <w:pStyle w:val="TableParagraph"/>
              <w:spacing w:before="4"/>
              <w:rPr>
                <w:rFonts w:ascii="黑体"/>
                <w:sz w:val="27"/>
              </w:rPr>
            </w:pPr>
          </w:p>
          <w:p>
            <w:pPr>
              <w:pStyle w:val="TableParagraph"/>
              <w:ind w:left="283"/>
              <w:rPr>
                <w:sz w:val="20"/>
              </w:rPr>
            </w:pPr>
            <w:r>
              <w:rPr>
                <w:sz w:val="20"/>
              </w:rPr>
              <w:t>7000</w:t>
            </w:r>
          </w:p>
        </w:tc>
        <w:tc>
          <w:tcPr>
            <w:tcW w:w="1080" w:type="dxa"/>
          </w:tcPr>
          <w:p>
            <w:pPr>
              <w:pStyle w:val="TableParagraph"/>
              <w:spacing w:before="4"/>
              <w:rPr>
                <w:rFonts w:ascii="黑体"/>
                <w:sz w:val="27"/>
              </w:rPr>
            </w:pPr>
          </w:p>
          <w:p>
            <w:pPr>
              <w:pStyle w:val="TableParagraph"/>
              <w:ind w:right="132"/>
              <w:jc w:val="right"/>
              <w:rPr>
                <w:sz w:val="20"/>
              </w:rPr>
            </w:pPr>
            <w:r>
              <w:rPr>
                <w:sz w:val="20"/>
              </w:rPr>
              <w:t>福华集团</w:t>
            </w:r>
          </w:p>
        </w:tc>
      </w:tr>
      <w:tr>
        <w:trPr>
          <w:trHeight w:val="960" w:hRule="atLeast"/>
        </w:trPr>
        <w:tc>
          <w:tcPr>
            <w:tcW w:w="481" w:type="dxa"/>
          </w:tcPr>
          <w:p>
            <w:pPr>
              <w:pStyle w:val="TableParagraph"/>
              <w:spacing w:before="4"/>
              <w:rPr>
                <w:rFonts w:ascii="黑体"/>
                <w:sz w:val="24"/>
              </w:rPr>
            </w:pPr>
          </w:p>
          <w:p>
            <w:pPr>
              <w:pStyle w:val="TableParagraph"/>
              <w:ind w:left="134"/>
              <w:rPr>
                <w:sz w:val="20"/>
              </w:rPr>
            </w:pPr>
            <w:r>
              <w:rPr>
                <w:sz w:val="20"/>
              </w:rPr>
              <w:t>12</w:t>
            </w:r>
          </w:p>
        </w:tc>
        <w:tc>
          <w:tcPr>
            <w:tcW w:w="2267" w:type="dxa"/>
          </w:tcPr>
          <w:p>
            <w:pPr>
              <w:pStyle w:val="TableParagraph"/>
              <w:spacing w:before="8"/>
              <w:rPr>
                <w:rFonts w:ascii="黑体"/>
                <w:sz w:val="14"/>
              </w:rPr>
            </w:pPr>
          </w:p>
          <w:p>
            <w:pPr>
              <w:pStyle w:val="TableParagraph"/>
              <w:spacing w:line="237" w:lineRule="auto"/>
              <w:ind w:left="327" w:right="109" w:hanging="200"/>
              <w:rPr>
                <w:sz w:val="20"/>
              </w:rPr>
            </w:pPr>
            <w:r>
              <w:rPr>
                <w:sz w:val="20"/>
              </w:rPr>
              <w:t>盐磷化工循环产业热电系统扩能技改项目</w:t>
            </w:r>
          </w:p>
        </w:tc>
        <w:tc>
          <w:tcPr>
            <w:tcW w:w="1116" w:type="dxa"/>
          </w:tcPr>
          <w:p>
            <w:pPr>
              <w:pStyle w:val="TableParagraph"/>
              <w:spacing w:before="4"/>
              <w:rPr>
                <w:rFonts w:ascii="黑体"/>
                <w:sz w:val="24"/>
              </w:rPr>
            </w:pPr>
          </w:p>
          <w:p>
            <w:pPr>
              <w:pStyle w:val="TableParagraph"/>
              <w:ind w:left="103"/>
              <w:rPr>
                <w:sz w:val="20"/>
              </w:rPr>
            </w:pPr>
            <w:r>
              <w:rPr>
                <w:sz w:val="20"/>
              </w:rPr>
              <w:t>2015-2017</w:t>
            </w:r>
          </w:p>
        </w:tc>
        <w:tc>
          <w:tcPr>
            <w:tcW w:w="3818" w:type="dxa"/>
          </w:tcPr>
          <w:p>
            <w:pPr>
              <w:pStyle w:val="TableParagraph"/>
              <w:spacing w:before="8"/>
              <w:rPr>
                <w:rFonts w:ascii="黑体"/>
                <w:sz w:val="14"/>
              </w:rPr>
            </w:pPr>
          </w:p>
          <w:p>
            <w:pPr>
              <w:pStyle w:val="TableParagraph"/>
              <w:spacing w:line="237" w:lineRule="auto"/>
              <w:ind w:left="103"/>
              <w:rPr>
                <w:sz w:val="20"/>
              </w:rPr>
            </w:pPr>
            <w:r>
              <w:rPr>
                <w:spacing w:val="-11"/>
                <w:sz w:val="20"/>
              </w:rPr>
              <w:t>新建厂房 </w:t>
            </w:r>
            <w:r>
              <w:rPr>
                <w:sz w:val="20"/>
              </w:rPr>
              <w:t>18032</w:t>
            </w:r>
            <w:r>
              <w:rPr>
                <w:spacing w:val="-15"/>
                <w:sz w:val="20"/>
              </w:rPr>
              <w:t> 平方米,购置安装锅炉。形</w:t>
            </w:r>
            <w:r>
              <w:rPr>
                <w:spacing w:val="25"/>
                <w:sz w:val="20"/>
              </w:rPr>
              <w:t>成</w:t>
            </w:r>
            <w:r>
              <w:rPr>
                <w:sz w:val="20"/>
              </w:rPr>
              <w:t>840</w:t>
            </w:r>
            <w:r>
              <w:rPr>
                <w:spacing w:val="-41"/>
                <w:sz w:val="20"/>
              </w:rPr>
              <w:t> 吨</w:t>
            </w:r>
            <w:r>
              <w:rPr>
                <w:sz w:val="20"/>
              </w:rPr>
              <w:t>/</w:t>
            </w:r>
            <w:r>
              <w:rPr>
                <w:spacing w:val="3"/>
                <w:sz w:val="20"/>
              </w:rPr>
              <w:t>小时供汽及</w:t>
            </w:r>
            <w:r>
              <w:rPr>
                <w:sz w:val="20"/>
              </w:rPr>
              <w:t>10WKVA</w:t>
            </w:r>
            <w:r>
              <w:rPr>
                <w:spacing w:val="-13"/>
                <w:sz w:val="20"/>
              </w:rPr>
              <w:t> 的发电能力。</w:t>
            </w:r>
          </w:p>
        </w:tc>
        <w:tc>
          <w:tcPr>
            <w:tcW w:w="977" w:type="dxa"/>
          </w:tcPr>
          <w:p>
            <w:pPr>
              <w:pStyle w:val="TableParagraph"/>
              <w:spacing w:before="4"/>
              <w:rPr>
                <w:rFonts w:ascii="黑体"/>
                <w:sz w:val="24"/>
              </w:rPr>
            </w:pPr>
          </w:p>
          <w:p>
            <w:pPr>
              <w:pStyle w:val="TableParagraph"/>
              <w:ind w:right="181"/>
              <w:jc w:val="right"/>
              <w:rPr>
                <w:sz w:val="20"/>
              </w:rPr>
            </w:pPr>
            <w:r>
              <w:rPr>
                <w:sz w:val="20"/>
              </w:rPr>
              <w:t>103500</w:t>
            </w:r>
          </w:p>
        </w:tc>
        <w:tc>
          <w:tcPr>
            <w:tcW w:w="1080" w:type="dxa"/>
          </w:tcPr>
          <w:p>
            <w:pPr>
              <w:pStyle w:val="TableParagraph"/>
              <w:spacing w:before="4"/>
              <w:rPr>
                <w:rFonts w:ascii="黑体"/>
                <w:sz w:val="24"/>
              </w:rPr>
            </w:pPr>
          </w:p>
          <w:p>
            <w:pPr>
              <w:pStyle w:val="TableParagraph"/>
              <w:ind w:right="132"/>
              <w:jc w:val="right"/>
              <w:rPr>
                <w:sz w:val="20"/>
              </w:rPr>
            </w:pPr>
            <w:r>
              <w:rPr>
                <w:sz w:val="20"/>
              </w:rPr>
              <w:t>福华集团</w:t>
            </w:r>
          </w:p>
        </w:tc>
      </w:tr>
    </w:tbl>
    <w:p>
      <w:pPr>
        <w:spacing w:after="0"/>
        <w:jc w:val="right"/>
        <w:rPr>
          <w:sz w:val="20"/>
        </w:rPr>
        <w:sectPr>
          <w:pgSz w:w="11910" w:h="16840"/>
          <w:pgMar w:header="0" w:footer="998" w:top="1440" w:bottom="1180" w:left="960" w:right="960"/>
        </w:sectPr>
      </w:pPr>
    </w:p>
    <w:tbl>
      <w:tblPr>
        <w:tblW w:w="0" w:type="auto"/>
        <w:jc w:val="left"/>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81"/>
        <w:gridCol w:w="2267"/>
        <w:gridCol w:w="1116"/>
        <w:gridCol w:w="3818"/>
        <w:gridCol w:w="977"/>
        <w:gridCol w:w="1080"/>
      </w:tblGrid>
      <w:tr>
        <w:trPr>
          <w:trHeight w:val="1180" w:hRule="atLeast"/>
        </w:trPr>
        <w:tc>
          <w:tcPr>
            <w:tcW w:w="481" w:type="dxa"/>
          </w:tcPr>
          <w:p>
            <w:pPr>
              <w:pStyle w:val="TableParagraph"/>
              <w:rPr>
                <w:rFonts w:ascii="黑体"/>
                <w:sz w:val="20"/>
              </w:rPr>
            </w:pPr>
          </w:p>
          <w:p>
            <w:pPr>
              <w:pStyle w:val="TableParagraph"/>
              <w:spacing w:before="176"/>
              <w:ind w:left="134"/>
              <w:rPr>
                <w:sz w:val="20"/>
              </w:rPr>
            </w:pPr>
            <w:r>
              <w:rPr>
                <w:sz w:val="20"/>
              </w:rPr>
              <w:t>13</w:t>
            </w:r>
          </w:p>
        </w:tc>
        <w:tc>
          <w:tcPr>
            <w:tcW w:w="2267" w:type="dxa"/>
          </w:tcPr>
          <w:p>
            <w:pPr>
              <w:pStyle w:val="TableParagraph"/>
              <w:spacing w:before="11"/>
              <w:rPr>
                <w:rFonts w:ascii="黑体"/>
                <w:sz w:val="13"/>
              </w:rPr>
            </w:pPr>
          </w:p>
          <w:p>
            <w:pPr>
              <w:pStyle w:val="TableParagraph"/>
              <w:spacing w:line="237" w:lineRule="auto"/>
              <w:ind w:left="102" w:right="99"/>
              <w:jc w:val="center"/>
              <w:rPr>
                <w:sz w:val="20"/>
              </w:rPr>
            </w:pPr>
            <w:r>
              <w:rPr>
                <w:spacing w:val="2"/>
                <w:sz w:val="20"/>
              </w:rPr>
              <w:t>盐磷化工循环产业</w:t>
            </w:r>
            <w:r>
              <w:rPr>
                <w:sz w:val="20"/>
              </w:rPr>
              <w:t>12</w:t>
            </w:r>
            <w:r>
              <w:rPr>
                <w:spacing w:val="-40"/>
                <w:sz w:val="20"/>
              </w:rPr>
              <w:t> 万吨/年草甘膦优化扩能技改项目</w:t>
            </w:r>
          </w:p>
        </w:tc>
        <w:tc>
          <w:tcPr>
            <w:tcW w:w="1116" w:type="dxa"/>
          </w:tcPr>
          <w:p>
            <w:pPr>
              <w:pStyle w:val="TableParagraph"/>
              <w:rPr>
                <w:rFonts w:ascii="黑体"/>
                <w:sz w:val="20"/>
              </w:rPr>
            </w:pPr>
          </w:p>
          <w:p>
            <w:pPr>
              <w:pStyle w:val="TableParagraph"/>
              <w:spacing w:before="176"/>
              <w:ind w:left="103"/>
              <w:rPr>
                <w:sz w:val="20"/>
              </w:rPr>
            </w:pPr>
            <w:r>
              <w:rPr>
                <w:sz w:val="20"/>
              </w:rPr>
              <w:t>2016-2018</w:t>
            </w:r>
          </w:p>
        </w:tc>
        <w:tc>
          <w:tcPr>
            <w:tcW w:w="3818" w:type="dxa"/>
          </w:tcPr>
          <w:p>
            <w:pPr>
              <w:pStyle w:val="TableParagraph"/>
              <w:spacing w:line="237" w:lineRule="auto" w:before="51"/>
              <w:ind w:left="102" w:right="1" w:firstLine="51"/>
              <w:rPr>
                <w:sz w:val="20"/>
              </w:rPr>
            </w:pPr>
            <w:r>
              <w:rPr>
                <w:spacing w:val="-11"/>
                <w:sz w:val="20"/>
              </w:rPr>
              <w:t>建筑面积 </w:t>
            </w:r>
            <w:r>
              <w:rPr>
                <w:sz w:val="20"/>
              </w:rPr>
              <w:t>106656</w:t>
            </w:r>
            <w:r>
              <w:rPr>
                <w:spacing w:val="-8"/>
                <w:sz w:val="20"/>
              </w:rPr>
              <w:t> 平方米，添置设备缩合</w:t>
            </w:r>
            <w:r>
              <w:rPr>
                <w:spacing w:val="-15"/>
                <w:sz w:val="20"/>
              </w:rPr>
              <w:t>釜、水解釜、冷凝器等共计 </w:t>
            </w:r>
            <w:r>
              <w:rPr>
                <w:sz w:val="20"/>
              </w:rPr>
              <w:t>1560</w:t>
            </w:r>
            <w:r>
              <w:rPr>
                <w:spacing w:val="-51"/>
                <w:sz w:val="20"/>
              </w:rPr>
              <w:t> 台</w:t>
            </w:r>
            <w:r>
              <w:rPr>
                <w:sz w:val="20"/>
              </w:rPr>
              <w:t>（套</w:t>
            </w:r>
            <w:r>
              <w:rPr>
                <w:spacing w:val="-25"/>
                <w:sz w:val="20"/>
              </w:rPr>
              <w:t>）， </w:t>
            </w:r>
            <w:r>
              <w:rPr>
                <w:spacing w:val="-15"/>
                <w:sz w:val="20"/>
              </w:rPr>
              <w:t>在现有 </w:t>
            </w:r>
            <w:r>
              <w:rPr>
                <w:sz w:val="20"/>
              </w:rPr>
              <w:t>12</w:t>
            </w:r>
            <w:r>
              <w:rPr>
                <w:spacing w:val="-8"/>
                <w:sz w:val="20"/>
              </w:rPr>
              <w:t> 万吨草甘膦产能上扩建，达到</w:t>
            </w:r>
          </w:p>
          <w:p>
            <w:pPr>
              <w:pStyle w:val="TableParagraph"/>
              <w:spacing w:line="259" w:lineRule="exact"/>
              <w:ind w:left="928"/>
              <w:rPr>
                <w:sz w:val="20"/>
              </w:rPr>
            </w:pPr>
            <w:r>
              <w:rPr>
                <w:sz w:val="20"/>
              </w:rPr>
              <w:t>24 万吨/年的生产能力</w:t>
            </w:r>
          </w:p>
        </w:tc>
        <w:tc>
          <w:tcPr>
            <w:tcW w:w="977" w:type="dxa"/>
          </w:tcPr>
          <w:p>
            <w:pPr>
              <w:pStyle w:val="TableParagraph"/>
              <w:rPr>
                <w:rFonts w:ascii="黑体"/>
                <w:sz w:val="20"/>
              </w:rPr>
            </w:pPr>
          </w:p>
          <w:p>
            <w:pPr>
              <w:pStyle w:val="TableParagraph"/>
              <w:spacing w:before="176"/>
              <w:ind w:left="162" w:right="163"/>
              <w:jc w:val="center"/>
              <w:rPr>
                <w:sz w:val="20"/>
              </w:rPr>
            </w:pPr>
            <w:r>
              <w:rPr>
                <w:sz w:val="20"/>
              </w:rPr>
              <w:t>120000</w:t>
            </w:r>
          </w:p>
        </w:tc>
        <w:tc>
          <w:tcPr>
            <w:tcW w:w="1080" w:type="dxa"/>
          </w:tcPr>
          <w:p>
            <w:pPr>
              <w:pStyle w:val="TableParagraph"/>
              <w:rPr>
                <w:rFonts w:ascii="黑体"/>
                <w:sz w:val="20"/>
              </w:rPr>
            </w:pPr>
          </w:p>
          <w:p>
            <w:pPr>
              <w:pStyle w:val="TableParagraph"/>
              <w:spacing w:before="176"/>
              <w:ind w:right="132"/>
              <w:jc w:val="right"/>
              <w:rPr>
                <w:sz w:val="20"/>
              </w:rPr>
            </w:pPr>
            <w:r>
              <w:rPr>
                <w:sz w:val="20"/>
              </w:rPr>
              <w:t>福华集团</w:t>
            </w:r>
          </w:p>
        </w:tc>
      </w:tr>
      <w:tr>
        <w:trPr>
          <w:trHeight w:val="1200" w:hRule="atLeast"/>
        </w:trPr>
        <w:tc>
          <w:tcPr>
            <w:tcW w:w="481" w:type="dxa"/>
          </w:tcPr>
          <w:p>
            <w:pPr>
              <w:pStyle w:val="TableParagraph"/>
              <w:rPr>
                <w:rFonts w:ascii="黑体"/>
                <w:sz w:val="20"/>
              </w:rPr>
            </w:pPr>
          </w:p>
          <w:p>
            <w:pPr>
              <w:pStyle w:val="TableParagraph"/>
              <w:spacing w:before="176"/>
              <w:ind w:left="134"/>
              <w:rPr>
                <w:sz w:val="20"/>
              </w:rPr>
            </w:pPr>
            <w:r>
              <w:rPr>
                <w:sz w:val="20"/>
              </w:rPr>
              <w:t>14</w:t>
            </w:r>
          </w:p>
        </w:tc>
        <w:tc>
          <w:tcPr>
            <w:tcW w:w="2267" w:type="dxa"/>
          </w:tcPr>
          <w:p>
            <w:pPr>
              <w:pStyle w:val="TableParagraph"/>
              <w:spacing w:line="237" w:lineRule="auto" w:before="51"/>
              <w:ind w:left="103" w:right="99" w:hanging="1"/>
              <w:jc w:val="center"/>
              <w:rPr>
                <w:sz w:val="20"/>
              </w:rPr>
            </w:pPr>
            <w:r>
              <w:rPr>
                <w:sz w:val="20"/>
              </w:rPr>
              <w:t>盐磷化工循环产业回收草甘膦母液中磷资源生</w:t>
            </w:r>
            <w:r>
              <w:rPr>
                <w:spacing w:val="25"/>
                <w:sz w:val="20"/>
              </w:rPr>
              <w:t>产</w:t>
            </w:r>
            <w:r>
              <w:rPr>
                <w:sz w:val="20"/>
              </w:rPr>
              <w:t>3</w:t>
            </w:r>
            <w:r>
              <w:rPr>
                <w:spacing w:val="-26"/>
                <w:sz w:val="20"/>
              </w:rPr>
              <w:t> 万吨</w:t>
            </w:r>
            <w:r>
              <w:rPr>
                <w:sz w:val="20"/>
              </w:rPr>
              <w:t>/年三聚磷酸钠项目</w:t>
            </w:r>
          </w:p>
        </w:tc>
        <w:tc>
          <w:tcPr>
            <w:tcW w:w="1116" w:type="dxa"/>
          </w:tcPr>
          <w:p>
            <w:pPr>
              <w:pStyle w:val="TableParagraph"/>
              <w:rPr>
                <w:rFonts w:ascii="黑体"/>
                <w:sz w:val="20"/>
              </w:rPr>
            </w:pPr>
          </w:p>
          <w:p>
            <w:pPr>
              <w:pStyle w:val="TableParagraph"/>
              <w:spacing w:before="176"/>
              <w:ind w:left="103"/>
              <w:rPr>
                <w:sz w:val="20"/>
              </w:rPr>
            </w:pPr>
            <w:r>
              <w:rPr>
                <w:sz w:val="20"/>
              </w:rPr>
              <w:t>2015-2016</w:t>
            </w:r>
          </w:p>
        </w:tc>
        <w:tc>
          <w:tcPr>
            <w:tcW w:w="3818" w:type="dxa"/>
          </w:tcPr>
          <w:p>
            <w:pPr>
              <w:pStyle w:val="TableParagraph"/>
              <w:spacing w:line="260" w:lineRule="exact" w:before="48"/>
              <w:ind w:left="103"/>
              <w:rPr>
                <w:sz w:val="20"/>
              </w:rPr>
            </w:pPr>
            <w:r>
              <w:rPr>
                <w:spacing w:val="-7"/>
                <w:sz w:val="20"/>
              </w:rPr>
              <w:t>新建厂房及构筑物 </w:t>
            </w:r>
            <w:r>
              <w:rPr>
                <w:sz w:val="20"/>
              </w:rPr>
              <w:t>3200</w:t>
            </w:r>
            <w:r>
              <w:rPr>
                <w:spacing w:val="-19"/>
                <w:sz w:val="20"/>
              </w:rPr>
              <w:t> 平方米，新购置安</w:t>
            </w:r>
          </w:p>
          <w:p>
            <w:pPr>
              <w:pStyle w:val="TableParagraph"/>
              <w:spacing w:line="260" w:lineRule="exact"/>
              <w:ind w:left="178"/>
              <w:rPr>
                <w:sz w:val="20"/>
              </w:rPr>
            </w:pPr>
            <w:r>
              <w:rPr>
                <w:sz w:val="20"/>
              </w:rPr>
              <w:t>装中和反应釜、磷酸储槽等生产设备 16</w:t>
            </w:r>
          </w:p>
          <w:p>
            <w:pPr>
              <w:pStyle w:val="TableParagraph"/>
              <w:spacing w:line="237" w:lineRule="auto" w:before="2"/>
              <w:ind w:left="1403" w:hanging="1300"/>
              <w:rPr>
                <w:sz w:val="20"/>
              </w:rPr>
            </w:pPr>
            <w:r>
              <w:rPr>
                <w:sz w:val="20"/>
              </w:rPr>
              <w:t>台（套）</w:t>
            </w:r>
            <w:r>
              <w:rPr>
                <w:spacing w:val="-9"/>
                <w:sz w:val="20"/>
              </w:rPr>
              <w:t>，形成年产 </w:t>
            </w:r>
            <w:r>
              <w:rPr>
                <w:sz w:val="20"/>
              </w:rPr>
              <w:t>3</w:t>
            </w:r>
            <w:r>
              <w:rPr>
                <w:spacing w:val="-8"/>
                <w:sz w:val="20"/>
              </w:rPr>
              <w:t> 万吨三聚磷酸钠的</w:t>
            </w:r>
            <w:r>
              <w:rPr>
                <w:spacing w:val="-1"/>
                <w:sz w:val="20"/>
              </w:rPr>
              <w:t>生产能力。</w:t>
            </w:r>
          </w:p>
        </w:tc>
        <w:tc>
          <w:tcPr>
            <w:tcW w:w="977" w:type="dxa"/>
          </w:tcPr>
          <w:p>
            <w:pPr>
              <w:pStyle w:val="TableParagraph"/>
              <w:rPr>
                <w:rFonts w:ascii="黑体"/>
                <w:sz w:val="20"/>
              </w:rPr>
            </w:pPr>
          </w:p>
          <w:p>
            <w:pPr>
              <w:pStyle w:val="TableParagraph"/>
              <w:spacing w:before="176"/>
              <w:ind w:left="162" w:right="162"/>
              <w:jc w:val="center"/>
              <w:rPr>
                <w:sz w:val="20"/>
              </w:rPr>
            </w:pPr>
            <w:r>
              <w:rPr>
                <w:sz w:val="20"/>
              </w:rPr>
              <w:t>7900</w:t>
            </w:r>
          </w:p>
        </w:tc>
        <w:tc>
          <w:tcPr>
            <w:tcW w:w="1080" w:type="dxa"/>
          </w:tcPr>
          <w:p>
            <w:pPr>
              <w:pStyle w:val="TableParagraph"/>
              <w:rPr>
                <w:rFonts w:ascii="黑体"/>
                <w:sz w:val="20"/>
              </w:rPr>
            </w:pPr>
          </w:p>
          <w:p>
            <w:pPr>
              <w:pStyle w:val="TableParagraph"/>
              <w:spacing w:before="176"/>
              <w:ind w:right="132"/>
              <w:jc w:val="right"/>
              <w:rPr>
                <w:sz w:val="20"/>
              </w:rPr>
            </w:pPr>
            <w:r>
              <w:rPr>
                <w:sz w:val="20"/>
              </w:rPr>
              <w:t>福华集团</w:t>
            </w:r>
          </w:p>
        </w:tc>
      </w:tr>
      <w:tr>
        <w:trPr>
          <w:trHeight w:val="1120" w:hRule="atLeast"/>
        </w:trPr>
        <w:tc>
          <w:tcPr>
            <w:tcW w:w="481" w:type="dxa"/>
          </w:tcPr>
          <w:p>
            <w:pPr>
              <w:pStyle w:val="TableParagraph"/>
              <w:rPr>
                <w:rFonts w:ascii="黑体"/>
                <w:sz w:val="20"/>
              </w:rPr>
            </w:pPr>
          </w:p>
          <w:p>
            <w:pPr>
              <w:pStyle w:val="TableParagraph"/>
              <w:spacing w:before="146"/>
              <w:ind w:left="134"/>
              <w:rPr>
                <w:sz w:val="20"/>
              </w:rPr>
            </w:pPr>
            <w:r>
              <w:rPr>
                <w:sz w:val="20"/>
              </w:rPr>
              <w:t>15</w:t>
            </w:r>
          </w:p>
        </w:tc>
        <w:tc>
          <w:tcPr>
            <w:tcW w:w="2267" w:type="dxa"/>
          </w:tcPr>
          <w:p>
            <w:pPr>
              <w:pStyle w:val="TableParagraph"/>
              <w:spacing w:before="6"/>
              <w:rPr>
                <w:rFonts w:ascii="黑体"/>
                <w:sz w:val="21"/>
              </w:rPr>
            </w:pPr>
          </w:p>
          <w:p>
            <w:pPr>
              <w:pStyle w:val="TableParagraph"/>
              <w:spacing w:line="237" w:lineRule="auto"/>
              <w:ind w:left="727" w:right="83" w:hanging="574"/>
              <w:rPr>
                <w:sz w:val="20"/>
              </w:rPr>
            </w:pPr>
            <w:r>
              <w:rPr>
                <w:sz w:val="20"/>
              </w:rPr>
              <w:t>5000 吨/年吡唑醚菌酯原药项目</w:t>
            </w:r>
          </w:p>
        </w:tc>
        <w:tc>
          <w:tcPr>
            <w:tcW w:w="1116" w:type="dxa"/>
          </w:tcPr>
          <w:p>
            <w:pPr>
              <w:pStyle w:val="TableParagraph"/>
              <w:rPr>
                <w:rFonts w:ascii="黑体"/>
                <w:sz w:val="20"/>
              </w:rPr>
            </w:pPr>
          </w:p>
          <w:p>
            <w:pPr>
              <w:pStyle w:val="TableParagraph"/>
              <w:spacing w:before="146"/>
              <w:ind w:left="103"/>
              <w:rPr>
                <w:sz w:val="20"/>
              </w:rPr>
            </w:pPr>
            <w:r>
              <w:rPr>
                <w:sz w:val="20"/>
              </w:rPr>
              <w:t>2016-2017</w:t>
            </w:r>
          </w:p>
        </w:tc>
        <w:tc>
          <w:tcPr>
            <w:tcW w:w="3818" w:type="dxa"/>
          </w:tcPr>
          <w:p>
            <w:pPr>
              <w:pStyle w:val="TableParagraph"/>
              <w:spacing w:line="260" w:lineRule="exact" w:before="149"/>
              <w:ind w:left="103"/>
              <w:rPr>
                <w:sz w:val="20"/>
              </w:rPr>
            </w:pPr>
            <w:r>
              <w:rPr>
                <w:spacing w:val="-18"/>
                <w:sz w:val="20"/>
              </w:rPr>
              <w:t>占地 </w:t>
            </w:r>
            <w:r>
              <w:rPr>
                <w:sz w:val="20"/>
              </w:rPr>
              <w:t>30</w:t>
            </w:r>
            <w:r>
              <w:rPr>
                <w:spacing w:val="-24"/>
                <w:sz w:val="20"/>
              </w:rPr>
              <w:t> 亩，总投资 </w:t>
            </w:r>
            <w:r>
              <w:rPr>
                <w:sz w:val="20"/>
              </w:rPr>
              <w:t>1.2</w:t>
            </w:r>
            <w:r>
              <w:rPr>
                <w:spacing w:val="-13"/>
                <w:sz w:val="20"/>
              </w:rPr>
              <w:t> 亿元，竣工投产后</w:t>
            </w:r>
          </w:p>
          <w:p>
            <w:pPr>
              <w:pStyle w:val="TableParagraph"/>
              <w:spacing w:line="259" w:lineRule="exact"/>
              <w:ind w:left="104"/>
              <w:rPr>
                <w:sz w:val="20"/>
              </w:rPr>
            </w:pPr>
            <w:r>
              <w:rPr>
                <w:sz w:val="20"/>
              </w:rPr>
              <w:t>将为公司年新增销售收入 2 亿元，年新增</w:t>
            </w:r>
          </w:p>
          <w:p>
            <w:pPr>
              <w:pStyle w:val="TableParagraph"/>
              <w:spacing w:line="260" w:lineRule="exact"/>
              <w:ind w:left="103"/>
              <w:rPr>
                <w:sz w:val="20"/>
              </w:rPr>
            </w:pPr>
            <w:r>
              <w:rPr>
                <w:spacing w:val="-11"/>
                <w:sz w:val="20"/>
              </w:rPr>
              <w:t>利税总额 </w:t>
            </w:r>
            <w:r>
              <w:rPr>
                <w:sz w:val="20"/>
              </w:rPr>
              <w:t>0.5</w:t>
            </w:r>
            <w:r>
              <w:rPr>
                <w:spacing w:val="-25"/>
                <w:sz w:val="20"/>
              </w:rPr>
              <w:t> 亿元，带动当地 </w:t>
            </w:r>
            <w:r>
              <w:rPr>
                <w:sz w:val="20"/>
              </w:rPr>
              <w:t>100</w:t>
            </w:r>
            <w:r>
              <w:rPr>
                <w:spacing w:val="-12"/>
                <w:sz w:val="20"/>
              </w:rPr>
              <w:t> 人就业。</w:t>
            </w:r>
          </w:p>
        </w:tc>
        <w:tc>
          <w:tcPr>
            <w:tcW w:w="977" w:type="dxa"/>
          </w:tcPr>
          <w:p>
            <w:pPr>
              <w:pStyle w:val="TableParagraph"/>
              <w:rPr>
                <w:rFonts w:ascii="黑体"/>
                <w:sz w:val="20"/>
              </w:rPr>
            </w:pPr>
          </w:p>
          <w:p>
            <w:pPr>
              <w:pStyle w:val="TableParagraph"/>
              <w:spacing w:before="146"/>
              <w:ind w:left="162" w:right="162"/>
              <w:jc w:val="center"/>
              <w:rPr>
                <w:sz w:val="20"/>
              </w:rPr>
            </w:pPr>
            <w:r>
              <w:rPr>
                <w:sz w:val="20"/>
              </w:rPr>
              <w:t>12000</w:t>
            </w:r>
          </w:p>
        </w:tc>
        <w:tc>
          <w:tcPr>
            <w:tcW w:w="1080" w:type="dxa"/>
          </w:tcPr>
          <w:p>
            <w:pPr>
              <w:pStyle w:val="TableParagraph"/>
              <w:rPr>
                <w:rFonts w:ascii="黑体"/>
                <w:sz w:val="20"/>
              </w:rPr>
            </w:pPr>
          </w:p>
          <w:p>
            <w:pPr>
              <w:pStyle w:val="TableParagraph"/>
              <w:spacing w:before="146"/>
              <w:ind w:right="131"/>
              <w:jc w:val="right"/>
              <w:rPr>
                <w:sz w:val="20"/>
              </w:rPr>
            </w:pPr>
            <w:r>
              <w:rPr>
                <w:sz w:val="20"/>
              </w:rPr>
              <w:t>福华集团</w:t>
            </w:r>
          </w:p>
        </w:tc>
      </w:tr>
      <w:tr>
        <w:trPr>
          <w:trHeight w:val="940" w:hRule="atLeast"/>
        </w:trPr>
        <w:tc>
          <w:tcPr>
            <w:tcW w:w="481" w:type="dxa"/>
          </w:tcPr>
          <w:p>
            <w:pPr>
              <w:pStyle w:val="TableParagraph"/>
              <w:spacing w:before="4"/>
              <w:rPr>
                <w:rFonts w:ascii="黑体"/>
                <w:sz w:val="24"/>
              </w:rPr>
            </w:pPr>
          </w:p>
          <w:p>
            <w:pPr>
              <w:pStyle w:val="TableParagraph"/>
              <w:ind w:left="134"/>
              <w:rPr>
                <w:sz w:val="20"/>
              </w:rPr>
            </w:pPr>
            <w:r>
              <w:rPr>
                <w:sz w:val="20"/>
              </w:rPr>
              <w:t>16</w:t>
            </w:r>
          </w:p>
        </w:tc>
        <w:tc>
          <w:tcPr>
            <w:tcW w:w="2267" w:type="dxa"/>
          </w:tcPr>
          <w:p>
            <w:pPr>
              <w:pStyle w:val="TableParagraph"/>
              <w:spacing w:before="8"/>
              <w:rPr>
                <w:rFonts w:ascii="黑体"/>
                <w:sz w:val="14"/>
              </w:rPr>
            </w:pPr>
          </w:p>
          <w:p>
            <w:pPr>
              <w:pStyle w:val="TableParagraph"/>
              <w:spacing w:line="237" w:lineRule="auto"/>
              <w:ind w:left="727" w:right="83" w:hanging="574"/>
              <w:rPr>
                <w:sz w:val="20"/>
              </w:rPr>
            </w:pPr>
            <w:r>
              <w:rPr>
                <w:sz w:val="20"/>
              </w:rPr>
              <w:t>3000 吨/年甲基磺草酮原药项目</w:t>
            </w:r>
          </w:p>
        </w:tc>
        <w:tc>
          <w:tcPr>
            <w:tcW w:w="1116" w:type="dxa"/>
          </w:tcPr>
          <w:p>
            <w:pPr>
              <w:pStyle w:val="TableParagraph"/>
              <w:spacing w:before="4"/>
              <w:rPr>
                <w:rFonts w:ascii="黑体"/>
                <w:sz w:val="24"/>
              </w:rPr>
            </w:pPr>
          </w:p>
          <w:p>
            <w:pPr>
              <w:pStyle w:val="TableParagraph"/>
              <w:ind w:left="103"/>
              <w:rPr>
                <w:sz w:val="20"/>
              </w:rPr>
            </w:pPr>
            <w:r>
              <w:rPr>
                <w:sz w:val="20"/>
              </w:rPr>
              <w:t>2016-2017</w:t>
            </w:r>
          </w:p>
        </w:tc>
        <w:tc>
          <w:tcPr>
            <w:tcW w:w="3818" w:type="dxa"/>
          </w:tcPr>
          <w:p>
            <w:pPr>
              <w:pStyle w:val="TableParagraph"/>
              <w:spacing w:line="260" w:lineRule="exact" w:before="59"/>
              <w:ind w:left="5" w:right="4"/>
              <w:jc w:val="center"/>
              <w:rPr>
                <w:sz w:val="20"/>
              </w:rPr>
            </w:pPr>
            <w:r>
              <w:rPr>
                <w:spacing w:val="-18"/>
                <w:sz w:val="20"/>
              </w:rPr>
              <w:t>占地 </w:t>
            </w:r>
            <w:r>
              <w:rPr>
                <w:sz w:val="20"/>
              </w:rPr>
              <w:t>20</w:t>
            </w:r>
            <w:r>
              <w:rPr>
                <w:spacing w:val="-24"/>
                <w:sz w:val="20"/>
              </w:rPr>
              <w:t> 亩，总投资 </w:t>
            </w:r>
            <w:r>
              <w:rPr>
                <w:sz w:val="20"/>
              </w:rPr>
              <w:t>0.8</w:t>
            </w:r>
            <w:r>
              <w:rPr>
                <w:spacing w:val="-13"/>
                <w:sz w:val="20"/>
              </w:rPr>
              <w:t> 亿元，为公司年新</w:t>
            </w:r>
          </w:p>
          <w:p>
            <w:pPr>
              <w:pStyle w:val="TableParagraph"/>
              <w:spacing w:line="259" w:lineRule="exact"/>
              <w:jc w:val="center"/>
              <w:rPr>
                <w:sz w:val="20"/>
              </w:rPr>
            </w:pPr>
            <w:r>
              <w:rPr>
                <w:sz w:val="20"/>
              </w:rPr>
              <w:t>增销售收入 1 亿元，年新增利税总额 0.4</w:t>
            </w:r>
          </w:p>
          <w:p>
            <w:pPr>
              <w:pStyle w:val="TableParagraph"/>
              <w:spacing w:line="260" w:lineRule="exact"/>
              <w:ind w:right="1"/>
              <w:jc w:val="center"/>
              <w:rPr>
                <w:sz w:val="20"/>
              </w:rPr>
            </w:pPr>
            <w:r>
              <w:rPr>
                <w:sz w:val="20"/>
              </w:rPr>
              <w:t>亿元，带动当地 100 人就业。</w:t>
            </w:r>
          </w:p>
        </w:tc>
        <w:tc>
          <w:tcPr>
            <w:tcW w:w="977" w:type="dxa"/>
          </w:tcPr>
          <w:p>
            <w:pPr>
              <w:pStyle w:val="TableParagraph"/>
              <w:spacing w:before="4"/>
              <w:rPr>
                <w:rFonts w:ascii="黑体"/>
                <w:sz w:val="24"/>
              </w:rPr>
            </w:pPr>
          </w:p>
          <w:p>
            <w:pPr>
              <w:pStyle w:val="TableParagraph"/>
              <w:ind w:left="162" w:right="162"/>
              <w:jc w:val="center"/>
              <w:rPr>
                <w:sz w:val="20"/>
              </w:rPr>
            </w:pPr>
            <w:r>
              <w:rPr>
                <w:sz w:val="20"/>
              </w:rPr>
              <w:t>8000</w:t>
            </w:r>
          </w:p>
        </w:tc>
        <w:tc>
          <w:tcPr>
            <w:tcW w:w="1080" w:type="dxa"/>
          </w:tcPr>
          <w:p>
            <w:pPr>
              <w:pStyle w:val="TableParagraph"/>
              <w:spacing w:before="4"/>
              <w:rPr>
                <w:rFonts w:ascii="黑体"/>
                <w:sz w:val="24"/>
              </w:rPr>
            </w:pPr>
          </w:p>
          <w:p>
            <w:pPr>
              <w:pStyle w:val="TableParagraph"/>
              <w:ind w:right="132"/>
              <w:jc w:val="right"/>
              <w:rPr>
                <w:sz w:val="20"/>
              </w:rPr>
            </w:pPr>
            <w:r>
              <w:rPr>
                <w:sz w:val="20"/>
              </w:rPr>
              <w:t>福华集团</w:t>
            </w:r>
          </w:p>
        </w:tc>
      </w:tr>
      <w:tr>
        <w:trPr>
          <w:trHeight w:val="1320" w:hRule="atLeast"/>
        </w:trPr>
        <w:tc>
          <w:tcPr>
            <w:tcW w:w="481" w:type="dxa"/>
          </w:tcPr>
          <w:p>
            <w:pPr>
              <w:pStyle w:val="TableParagraph"/>
              <w:rPr>
                <w:rFonts w:ascii="黑体"/>
                <w:sz w:val="20"/>
              </w:rPr>
            </w:pPr>
          </w:p>
          <w:p>
            <w:pPr>
              <w:pStyle w:val="TableParagraph"/>
              <w:rPr>
                <w:rFonts w:ascii="黑体"/>
                <w:sz w:val="18"/>
              </w:rPr>
            </w:pPr>
          </w:p>
          <w:p>
            <w:pPr>
              <w:pStyle w:val="TableParagraph"/>
              <w:spacing w:before="1"/>
              <w:ind w:left="134"/>
              <w:rPr>
                <w:sz w:val="20"/>
              </w:rPr>
            </w:pPr>
            <w:r>
              <w:rPr>
                <w:sz w:val="20"/>
              </w:rPr>
              <w:t>17</w:t>
            </w:r>
          </w:p>
        </w:tc>
        <w:tc>
          <w:tcPr>
            <w:tcW w:w="2267" w:type="dxa"/>
          </w:tcPr>
          <w:p>
            <w:pPr>
              <w:pStyle w:val="TableParagraph"/>
              <w:rPr>
                <w:rFonts w:ascii="黑体"/>
                <w:sz w:val="20"/>
              </w:rPr>
            </w:pPr>
          </w:p>
          <w:p>
            <w:pPr>
              <w:pStyle w:val="TableParagraph"/>
              <w:rPr>
                <w:rFonts w:ascii="黑体"/>
                <w:sz w:val="18"/>
              </w:rPr>
            </w:pPr>
          </w:p>
          <w:p>
            <w:pPr>
              <w:pStyle w:val="TableParagraph"/>
              <w:spacing w:before="1"/>
              <w:ind w:left="99" w:right="99"/>
              <w:jc w:val="center"/>
              <w:rPr>
                <w:sz w:val="20"/>
              </w:rPr>
            </w:pPr>
            <w:r>
              <w:rPr>
                <w:sz w:val="20"/>
              </w:rPr>
              <w:t>1 万吨/年麦草畏项目</w:t>
            </w:r>
          </w:p>
        </w:tc>
        <w:tc>
          <w:tcPr>
            <w:tcW w:w="1116" w:type="dxa"/>
          </w:tcPr>
          <w:p>
            <w:pPr>
              <w:pStyle w:val="TableParagraph"/>
              <w:rPr>
                <w:rFonts w:ascii="黑体"/>
                <w:sz w:val="20"/>
              </w:rPr>
            </w:pPr>
          </w:p>
          <w:p>
            <w:pPr>
              <w:pStyle w:val="TableParagraph"/>
              <w:rPr>
                <w:rFonts w:ascii="黑体"/>
                <w:sz w:val="18"/>
              </w:rPr>
            </w:pPr>
          </w:p>
          <w:p>
            <w:pPr>
              <w:pStyle w:val="TableParagraph"/>
              <w:spacing w:before="1"/>
              <w:ind w:left="101"/>
              <w:rPr>
                <w:sz w:val="20"/>
              </w:rPr>
            </w:pPr>
            <w:r>
              <w:rPr>
                <w:sz w:val="20"/>
              </w:rPr>
              <w:t>2017-2018</w:t>
            </w:r>
          </w:p>
        </w:tc>
        <w:tc>
          <w:tcPr>
            <w:tcW w:w="3818" w:type="dxa"/>
          </w:tcPr>
          <w:p>
            <w:pPr>
              <w:pStyle w:val="TableParagraph"/>
              <w:spacing w:line="260" w:lineRule="exact" w:before="108"/>
              <w:ind w:left="179"/>
              <w:rPr>
                <w:sz w:val="20"/>
              </w:rPr>
            </w:pPr>
            <w:r>
              <w:rPr>
                <w:sz w:val="20"/>
              </w:rPr>
              <w:t>项目计划投资 3 亿元，项目规划用地 50</w:t>
            </w:r>
          </w:p>
          <w:p>
            <w:pPr>
              <w:pStyle w:val="TableParagraph"/>
              <w:spacing w:line="260" w:lineRule="exact"/>
              <w:ind w:left="103"/>
              <w:rPr>
                <w:sz w:val="20"/>
              </w:rPr>
            </w:pPr>
            <w:r>
              <w:rPr>
                <w:spacing w:val="-19"/>
                <w:sz w:val="20"/>
              </w:rPr>
              <w:t>亩，项目完成后，预计实现销售额 </w:t>
            </w:r>
            <w:r>
              <w:rPr>
                <w:sz w:val="20"/>
              </w:rPr>
              <w:t>28</w:t>
            </w:r>
            <w:r>
              <w:rPr>
                <w:spacing w:val="-14"/>
                <w:sz w:val="20"/>
              </w:rPr>
              <w:t> 亿元，</w:t>
            </w:r>
          </w:p>
          <w:p>
            <w:pPr>
              <w:pStyle w:val="TableParagraph"/>
              <w:spacing w:line="237" w:lineRule="auto" w:before="2"/>
              <w:ind w:left="428" w:right="85" w:hanging="325"/>
              <w:rPr>
                <w:sz w:val="20"/>
              </w:rPr>
            </w:pPr>
            <w:r>
              <w:rPr>
                <w:spacing w:val="-18"/>
                <w:sz w:val="20"/>
              </w:rPr>
              <w:t>利税 </w:t>
            </w:r>
            <w:r>
              <w:rPr>
                <w:sz w:val="20"/>
              </w:rPr>
              <w:t>8</w:t>
            </w:r>
            <w:r>
              <w:rPr>
                <w:spacing w:val="-13"/>
                <w:sz w:val="20"/>
              </w:rPr>
              <w:t> 亿元，其中上缴税收 </w:t>
            </w:r>
            <w:r>
              <w:rPr>
                <w:sz w:val="20"/>
              </w:rPr>
              <w:t>2.5</w:t>
            </w:r>
            <w:r>
              <w:rPr>
                <w:spacing w:val="-12"/>
                <w:sz w:val="20"/>
              </w:rPr>
              <w:t> 亿元。产</w:t>
            </w:r>
            <w:r>
              <w:rPr>
                <w:spacing w:val="-33"/>
                <w:sz w:val="20"/>
              </w:rPr>
              <w:t>品 </w:t>
            </w:r>
            <w:r>
              <w:rPr>
                <w:sz w:val="20"/>
              </w:rPr>
              <w:t>90%</w:t>
            </w:r>
            <w:r>
              <w:rPr>
                <w:spacing w:val="-7"/>
                <w:sz w:val="20"/>
              </w:rPr>
              <w:t>出口，出口创汇 </w:t>
            </w:r>
            <w:r>
              <w:rPr>
                <w:sz w:val="20"/>
              </w:rPr>
              <w:t>4</w:t>
            </w:r>
            <w:r>
              <w:rPr>
                <w:spacing w:val="-12"/>
                <w:sz w:val="20"/>
              </w:rPr>
              <w:t> 亿美元。</w:t>
            </w:r>
          </w:p>
        </w:tc>
        <w:tc>
          <w:tcPr>
            <w:tcW w:w="977" w:type="dxa"/>
          </w:tcPr>
          <w:p>
            <w:pPr>
              <w:pStyle w:val="TableParagraph"/>
              <w:rPr>
                <w:rFonts w:ascii="黑体"/>
                <w:sz w:val="20"/>
              </w:rPr>
            </w:pPr>
          </w:p>
          <w:p>
            <w:pPr>
              <w:pStyle w:val="TableParagraph"/>
              <w:rPr>
                <w:rFonts w:ascii="黑体"/>
                <w:sz w:val="18"/>
              </w:rPr>
            </w:pPr>
          </w:p>
          <w:p>
            <w:pPr>
              <w:pStyle w:val="TableParagraph"/>
              <w:spacing w:before="1"/>
              <w:ind w:left="162" w:right="162"/>
              <w:jc w:val="center"/>
              <w:rPr>
                <w:sz w:val="20"/>
              </w:rPr>
            </w:pPr>
            <w:r>
              <w:rPr>
                <w:sz w:val="20"/>
              </w:rPr>
              <w:t>30000</w:t>
            </w:r>
          </w:p>
        </w:tc>
        <w:tc>
          <w:tcPr>
            <w:tcW w:w="1080" w:type="dxa"/>
          </w:tcPr>
          <w:p>
            <w:pPr>
              <w:pStyle w:val="TableParagraph"/>
              <w:rPr>
                <w:rFonts w:ascii="黑体"/>
                <w:sz w:val="20"/>
              </w:rPr>
            </w:pPr>
          </w:p>
          <w:p>
            <w:pPr>
              <w:pStyle w:val="TableParagraph"/>
              <w:rPr>
                <w:rFonts w:ascii="黑体"/>
                <w:sz w:val="18"/>
              </w:rPr>
            </w:pPr>
          </w:p>
          <w:p>
            <w:pPr>
              <w:pStyle w:val="TableParagraph"/>
              <w:spacing w:before="1"/>
              <w:ind w:right="131"/>
              <w:jc w:val="right"/>
              <w:rPr>
                <w:sz w:val="20"/>
              </w:rPr>
            </w:pPr>
            <w:r>
              <w:rPr>
                <w:sz w:val="20"/>
              </w:rPr>
              <w:t>福华集团</w:t>
            </w:r>
          </w:p>
        </w:tc>
      </w:tr>
      <w:tr>
        <w:trPr>
          <w:trHeight w:val="1000" w:hRule="atLeast"/>
        </w:trPr>
        <w:tc>
          <w:tcPr>
            <w:tcW w:w="481" w:type="dxa"/>
          </w:tcPr>
          <w:p>
            <w:pPr>
              <w:pStyle w:val="TableParagraph"/>
              <w:spacing w:before="11"/>
              <w:rPr>
                <w:rFonts w:ascii="黑体"/>
                <w:sz w:val="25"/>
              </w:rPr>
            </w:pPr>
          </w:p>
          <w:p>
            <w:pPr>
              <w:pStyle w:val="TableParagraph"/>
              <w:ind w:left="134"/>
              <w:rPr>
                <w:sz w:val="20"/>
              </w:rPr>
            </w:pPr>
            <w:r>
              <w:rPr>
                <w:sz w:val="20"/>
              </w:rPr>
              <w:t>18</w:t>
            </w:r>
          </w:p>
        </w:tc>
        <w:tc>
          <w:tcPr>
            <w:tcW w:w="2267" w:type="dxa"/>
          </w:tcPr>
          <w:p>
            <w:pPr>
              <w:pStyle w:val="TableParagraph"/>
              <w:spacing w:before="2"/>
              <w:rPr>
                <w:rFonts w:ascii="黑体"/>
                <w:sz w:val="16"/>
              </w:rPr>
            </w:pPr>
          </w:p>
          <w:p>
            <w:pPr>
              <w:pStyle w:val="TableParagraph"/>
              <w:spacing w:line="237" w:lineRule="auto"/>
              <w:ind w:left="377" w:right="113" w:hanging="250"/>
              <w:rPr>
                <w:sz w:val="20"/>
              </w:rPr>
            </w:pPr>
            <w:r>
              <w:rPr>
                <w:spacing w:val="-6"/>
                <w:sz w:val="20"/>
              </w:rPr>
              <w:t>盐磷化工循环产业 </w:t>
            </w:r>
            <w:r>
              <w:rPr>
                <w:sz w:val="20"/>
              </w:rPr>
              <w:t>2</w:t>
            </w:r>
            <w:r>
              <w:rPr>
                <w:spacing w:val="-25"/>
                <w:sz w:val="20"/>
              </w:rPr>
              <w:t> 万吨/</w:t>
            </w:r>
            <w:r>
              <w:rPr>
                <w:spacing w:val="-39"/>
                <w:sz w:val="20"/>
              </w:rPr>
              <w:t>年 </w:t>
            </w:r>
            <w:r>
              <w:rPr>
                <w:sz w:val="20"/>
              </w:rPr>
              <w:t>2.4-D</w:t>
            </w:r>
            <w:r>
              <w:rPr>
                <w:spacing w:val="-18"/>
                <w:sz w:val="20"/>
              </w:rPr>
              <w:t> 项目</w:t>
            </w:r>
          </w:p>
        </w:tc>
        <w:tc>
          <w:tcPr>
            <w:tcW w:w="1116" w:type="dxa"/>
          </w:tcPr>
          <w:p>
            <w:pPr>
              <w:pStyle w:val="TableParagraph"/>
              <w:spacing w:before="11"/>
              <w:rPr>
                <w:rFonts w:ascii="黑体"/>
                <w:sz w:val="25"/>
              </w:rPr>
            </w:pPr>
          </w:p>
          <w:p>
            <w:pPr>
              <w:pStyle w:val="TableParagraph"/>
              <w:ind w:left="103"/>
              <w:rPr>
                <w:sz w:val="20"/>
              </w:rPr>
            </w:pPr>
            <w:r>
              <w:rPr>
                <w:sz w:val="20"/>
              </w:rPr>
              <w:t>2015-2016</w:t>
            </w:r>
          </w:p>
        </w:tc>
        <w:tc>
          <w:tcPr>
            <w:tcW w:w="3818" w:type="dxa"/>
          </w:tcPr>
          <w:p>
            <w:pPr>
              <w:pStyle w:val="TableParagraph"/>
              <w:spacing w:line="260" w:lineRule="exact" w:before="79"/>
              <w:ind w:left="1"/>
              <w:jc w:val="center"/>
              <w:rPr>
                <w:sz w:val="20"/>
              </w:rPr>
            </w:pPr>
            <w:r>
              <w:rPr>
                <w:sz w:val="20"/>
              </w:rPr>
              <w:t>新建厂房 17500 平方米,购置安装氯化釜</w:t>
            </w:r>
          </w:p>
          <w:p>
            <w:pPr>
              <w:pStyle w:val="TableParagraph"/>
              <w:spacing w:line="237" w:lineRule="auto" w:before="1"/>
              <w:ind w:left="404" w:right="400"/>
              <w:jc w:val="center"/>
              <w:rPr>
                <w:sz w:val="20"/>
              </w:rPr>
            </w:pPr>
            <w:r>
              <w:rPr>
                <w:spacing w:val="-14"/>
                <w:sz w:val="20"/>
              </w:rPr>
              <w:t>等设备 </w:t>
            </w:r>
            <w:r>
              <w:rPr>
                <w:sz w:val="20"/>
              </w:rPr>
              <w:t>130</w:t>
            </w:r>
            <w:r>
              <w:rPr>
                <w:spacing w:val="-8"/>
                <w:sz w:val="20"/>
              </w:rPr>
              <w:t> 余台(套)，形成除草剂2,4-D20000</w:t>
            </w:r>
            <w:r>
              <w:rPr>
                <w:spacing w:val="-10"/>
                <w:sz w:val="20"/>
              </w:rPr>
              <w:t> 吨的生产能力。</w:t>
            </w:r>
          </w:p>
        </w:tc>
        <w:tc>
          <w:tcPr>
            <w:tcW w:w="977" w:type="dxa"/>
          </w:tcPr>
          <w:p>
            <w:pPr>
              <w:pStyle w:val="TableParagraph"/>
              <w:spacing w:before="11"/>
              <w:rPr>
                <w:rFonts w:ascii="黑体"/>
                <w:sz w:val="25"/>
              </w:rPr>
            </w:pPr>
          </w:p>
          <w:p>
            <w:pPr>
              <w:pStyle w:val="TableParagraph"/>
              <w:ind w:left="162" w:right="162"/>
              <w:jc w:val="center"/>
              <w:rPr>
                <w:sz w:val="20"/>
              </w:rPr>
            </w:pPr>
            <w:r>
              <w:rPr>
                <w:sz w:val="20"/>
              </w:rPr>
              <w:t>25000</w:t>
            </w:r>
          </w:p>
        </w:tc>
        <w:tc>
          <w:tcPr>
            <w:tcW w:w="1080" w:type="dxa"/>
          </w:tcPr>
          <w:p>
            <w:pPr>
              <w:pStyle w:val="TableParagraph"/>
              <w:spacing w:before="11"/>
              <w:rPr>
                <w:rFonts w:ascii="黑体"/>
                <w:sz w:val="25"/>
              </w:rPr>
            </w:pPr>
          </w:p>
          <w:p>
            <w:pPr>
              <w:pStyle w:val="TableParagraph"/>
              <w:ind w:right="131"/>
              <w:jc w:val="right"/>
              <w:rPr>
                <w:sz w:val="20"/>
              </w:rPr>
            </w:pPr>
            <w:r>
              <w:rPr>
                <w:sz w:val="20"/>
              </w:rPr>
              <w:t>福华集团</w:t>
            </w:r>
          </w:p>
        </w:tc>
      </w:tr>
      <w:tr>
        <w:trPr>
          <w:trHeight w:val="700" w:hRule="atLeast"/>
        </w:trPr>
        <w:tc>
          <w:tcPr>
            <w:tcW w:w="481" w:type="dxa"/>
          </w:tcPr>
          <w:p>
            <w:pPr>
              <w:pStyle w:val="TableParagraph"/>
              <w:spacing w:before="1"/>
              <w:rPr>
                <w:rFonts w:ascii="黑体"/>
                <w:sz w:val="15"/>
              </w:rPr>
            </w:pPr>
          </w:p>
          <w:p>
            <w:pPr>
              <w:pStyle w:val="TableParagraph"/>
              <w:spacing w:before="1"/>
              <w:ind w:left="134"/>
              <w:rPr>
                <w:sz w:val="20"/>
              </w:rPr>
            </w:pPr>
            <w:r>
              <w:rPr>
                <w:sz w:val="20"/>
              </w:rPr>
              <w:t>19</w:t>
            </w:r>
          </w:p>
        </w:tc>
        <w:tc>
          <w:tcPr>
            <w:tcW w:w="2267" w:type="dxa"/>
          </w:tcPr>
          <w:p>
            <w:pPr>
              <w:pStyle w:val="TableParagraph"/>
              <w:spacing w:before="1"/>
              <w:rPr>
                <w:rFonts w:ascii="黑体"/>
                <w:sz w:val="15"/>
              </w:rPr>
            </w:pPr>
          </w:p>
          <w:p>
            <w:pPr>
              <w:pStyle w:val="TableParagraph"/>
              <w:spacing w:before="1"/>
              <w:ind w:left="98" w:right="99"/>
              <w:jc w:val="center"/>
              <w:rPr>
                <w:sz w:val="20"/>
              </w:rPr>
            </w:pPr>
            <w:r>
              <w:rPr>
                <w:sz w:val="20"/>
              </w:rPr>
              <w:t>1 万吨气相白炭黑项目</w:t>
            </w:r>
          </w:p>
        </w:tc>
        <w:tc>
          <w:tcPr>
            <w:tcW w:w="1116" w:type="dxa"/>
          </w:tcPr>
          <w:p>
            <w:pPr>
              <w:pStyle w:val="TableParagraph"/>
              <w:spacing w:before="1"/>
              <w:rPr>
                <w:rFonts w:ascii="黑体"/>
                <w:sz w:val="15"/>
              </w:rPr>
            </w:pPr>
          </w:p>
          <w:p>
            <w:pPr>
              <w:pStyle w:val="TableParagraph"/>
              <w:spacing w:before="1"/>
              <w:ind w:left="101"/>
              <w:rPr>
                <w:sz w:val="20"/>
              </w:rPr>
            </w:pPr>
            <w:r>
              <w:rPr>
                <w:sz w:val="20"/>
              </w:rPr>
              <w:t>2015-2016</w:t>
            </w:r>
          </w:p>
        </w:tc>
        <w:tc>
          <w:tcPr>
            <w:tcW w:w="3818" w:type="dxa"/>
          </w:tcPr>
          <w:p>
            <w:pPr>
              <w:pStyle w:val="TableParagraph"/>
              <w:spacing w:before="1"/>
              <w:rPr>
                <w:rFonts w:ascii="黑体"/>
                <w:sz w:val="15"/>
              </w:rPr>
            </w:pPr>
          </w:p>
          <w:p>
            <w:pPr>
              <w:pStyle w:val="TableParagraph"/>
              <w:spacing w:before="1"/>
              <w:jc w:val="center"/>
              <w:rPr>
                <w:sz w:val="20"/>
              </w:rPr>
            </w:pPr>
            <w:r>
              <w:rPr>
                <w:sz w:val="20"/>
              </w:rPr>
              <w:t>四氯化硅年产 1 万吨气相白炭黑项目</w:t>
            </w:r>
          </w:p>
        </w:tc>
        <w:tc>
          <w:tcPr>
            <w:tcW w:w="977" w:type="dxa"/>
          </w:tcPr>
          <w:p>
            <w:pPr>
              <w:pStyle w:val="TableParagraph"/>
              <w:spacing w:before="1"/>
              <w:rPr>
                <w:rFonts w:ascii="黑体"/>
                <w:sz w:val="15"/>
              </w:rPr>
            </w:pPr>
          </w:p>
          <w:p>
            <w:pPr>
              <w:pStyle w:val="TableParagraph"/>
              <w:spacing w:before="1"/>
              <w:ind w:left="162" w:right="161"/>
              <w:jc w:val="center"/>
              <w:rPr>
                <w:sz w:val="20"/>
              </w:rPr>
            </w:pPr>
            <w:r>
              <w:rPr>
                <w:sz w:val="20"/>
              </w:rPr>
              <w:t>20000</w:t>
            </w:r>
          </w:p>
        </w:tc>
        <w:tc>
          <w:tcPr>
            <w:tcW w:w="1080" w:type="dxa"/>
          </w:tcPr>
          <w:p>
            <w:pPr>
              <w:pStyle w:val="TableParagraph"/>
              <w:spacing w:before="1"/>
              <w:rPr>
                <w:rFonts w:ascii="黑体"/>
                <w:sz w:val="15"/>
              </w:rPr>
            </w:pPr>
          </w:p>
          <w:p>
            <w:pPr>
              <w:pStyle w:val="TableParagraph"/>
              <w:spacing w:before="1"/>
              <w:ind w:right="131"/>
              <w:jc w:val="right"/>
              <w:rPr>
                <w:sz w:val="20"/>
              </w:rPr>
            </w:pPr>
            <w:r>
              <w:rPr>
                <w:sz w:val="20"/>
              </w:rPr>
              <w:t>永祥股份</w:t>
            </w:r>
          </w:p>
        </w:tc>
      </w:tr>
      <w:tr>
        <w:trPr>
          <w:trHeight w:val="1060" w:hRule="atLeast"/>
        </w:trPr>
        <w:tc>
          <w:tcPr>
            <w:tcW w:w="481" w:type="dxa"/>
          </w:tcPr>
          <w:p>
            <w:pPr>
              <w:pStyle w:val="TableParagraph"/>
              <w:spacing w:before="2"/>
              <w:rPr>
                <w:rFonts w:ascii="黑体"/>
                <w:sz w:val="28"/>
              </w:rPr>
            </w:pPr>
          </w:p>
          <w:p>
            <w:pPr>
              <w:pStyle w:val="TableParagraph"/>
              <w:ind w:left="134"/>
              <w:rPr>
                <w:sz w:val="20"/>
              </w:rPr>
            </w:pPr>
            <w:r>
              <w:rPr>
                <w:sz w:val="20"/>
              </w:rPr>
              <w:t>20</w:t>
            </w:r>
          </w:p>
        </w:tc>
        <w:tc>
          <w:tcPr>
            <w:tcW w:w="2267" w:type="dxa"/>
          </w:tcPr>
          <w:p>
            <w:pPr>
              <w:pStyle w:val="TableParagraph"/>
              <w:spacing w:line="237" w:lineRule="auto" w:before="112"/>
              <w:ind w:left="102" w:right="99"/>
              <w:jc w:val="center"/>
              <w:rPr>
                <w:sz w:val="20"/>
              </w:rPr>
            </w:pPr>
            <w:r>
              <w:rPr>
                <w:sz w:val="20"/>
              </w:rPr>
              <w:t>30</w:t>
            </w:r>
            <w:r>
              <w:rPr>
                <w:spacing w:val="-20"/>
                <w:sz w:val="20"/>
              </w:rPr>
              <w:t> 万吨</w:t>
            </w:r>
            <w:r>
              <w:rPr>
                <w:sz w:val="20"/>
              </w:rPr>
              <w:t>/</w:t>
            </w:r>
            <w:r>
              <w:rPr>
                <w:spacing w:val="-17"/>
                <w:sz w:val="20"/>
              </w:rPr>
              <w:t>年聚氯乙烯、</w:t>
            </w:r>
            <w:r>
              <w:rPr>
                <w:sz w:val="20"/>
              </w:rPr>
              <w:t>30 万吨/年烧碱节能减排</w:t>
            </w:r>
            <w:r>
              <w:rPr>
                <w:spacing w:val="-1"/>
                <w:sz w:val="20"/>
              </w:rPr>
              <w:t>技术改造项目</w:t>
            </w:r>
          </w:p>
        </w:tc>
        <w:tc>
          <w:tcPr>
            <w:tcW w:w="1116" w:type="dxa"/>
          </w:tcPr>
          <w:p>
            <w:pPr>
              <w:pStyle w:val="TableParagraph"/>
              <w:spacing w:before="2"/>
              <w:rPr>
                <w:rFonts w:ascii="黑体"/>
                <w:sz w:val="28"/>
              </w:rPr>
            </w:pPr>
          </w:p>
          <w:p>
            <w:pPr>
              <w:pStyle w:val="TableParagraph"/>
              <w:ind w:left="102"/>
              <w:rPr>
                <w:sz w:val="20"/>
              </w:rPr>
            </w:pPr>
            <w:r>
              <w:rPr>
                <w:sz w:val="20"/>
              </w:rPr>
              <w:t>2012-2017</w:t>
            </w:r>
          </w:p>
        </w:tc>
        <w:tc>
          <w:tcPr>
            <w:tcW w:w="3818" w:type="dxa"/>
          </w:tcPr>
          <w:p>
            <w:pPr>
              <w:pStyle w:val="TableParagraph"/>
              <w:spacing w:line="240" w:lineRule="exact"/>
              <w:ind w:left="1"/>
              <w:jc w:val="center"/>
              <w:rPr>
                <w:sz w:val="20"/>
              </w:rPr>
            </w:pPr>
            <w:r>
              <w:rPr>
                <w:sz w:val="20"/>
              </w:rPr>
              <w:t>购置设备自然循环复极式电槽、聚合釜等</w:t>
            </w:r>
          </w:p>
          <w:p>
            <w:pPr>
              <w:pStyle w:val="TableParagraph"/>
              <w:spacing w:line="237" w:lineRule="auto" w:before="1"/>
              <w:ind w:left="101"/>
              <w:jc w:val="center"/>
              <w:rPr>
                <w:sz w:val="20"/>
              </w:rPr>
            </w:pPr>
            <w:r>
              <w:rPr>
                <w:sz w:val="20"/>
              </w:rPr>
              <w:t>989</w:t>
            </w:r>
            <w:r>
              <w:rPr>
                <w:spacing w:val="-15"/>
                <w:sz w:val="20"/>
              </w:rPr>
              <w:t> 台(套)。新增建筑面积 </w:t>
            </w:r>
            <w:r>
              <w:rPr>
                <w:sz w:val="20"/>
              </w:rPr>
              <w:t>87206</w:t>
            </w:r>
            <w:r>
              <w:rPr>
                <w:spacing w:val="-12"/>
                <w:sz w:val="20"/>
              </w:rPr>
              <w:t> 平方米。</w:t>
            </w:r>
            <w:r>
              <w:rPr>
                <w:spacing w:val="-21"/>
                <w:sz w:val="20"/>
              </w:rPr>
              <w:t>形成年产 </w:t>
            </w:r>
            <w:r>
              <w:rPr>
                <w:sz w:val="20"/>
              </w:rPr>
              <w:t>30</w:t>
            </w:r>
            <w:r>
              <w:rPr>
                <w:spacing w:val="-8"/>
                <w:sz w:val="20"/>
              </w:rPr>
              <w:t> 万吨聚氯乙烯、</w:t>
            </w:r>
            <w:r>
              <w:rPr>
                <w:sz w:val="20"/>
              </w:rPr>
              <w:t>30</w:t>
            </w:r>
            <w:r>
              <w:rPr>
                <w:spacing w:val="-12"/>
                <w:sz w:val="20"/>
              </w:rPr>
              <w:t> 万吨烧碱</w:t>
            </w:r>
            <w:r>
              <w:rPr>
                <w:spacing w:val="-1"/>
                <w:sz w:val="20"/>
              </w:rPr>
              <w:t>生产能力。</w:t>
            </w:r>
          </w:p>
        </w:tc>
        <w:tc>
          <w:tcPr>
            <w:tcW w:w="977" w:type="dxa"/>
          </w:tcPr>
          <w:p>
            <w:pPr>
              <w:pStyle w:val="TableParagraph"/>
              <w:spacing w:before="2"/>
              <w:rPr>
                <w:rFonts w:ascii="黑体"/>
                <w:sz w:val="28"/>
              </w:rPr>
            </w:pPr>
          </w:p>
          <w:p>
            <w:pPr>
              <w:pStyle w:val="TableParagraph"/>
              <w:ind w:left="162" w:right="163"/>
              <w:jc w:val="center"/>
              <w:rPr>
                <w:sz w:val="20"/>
              </w:rPr>
            </w:pPr>
            <w:r>
              <w:rPr>
                <w:sz w:val="20"/>
              </w:rPr>
              <w:t>245500</w:t>
            </w:r>
          </w:p>
        </w:tc>
        <w:tc>
          <w:tcPr>
            <w:tcW w:w="1080" w:type="dxa"/>
          </w:tcPr>
          <w:p>
            <w:pPr>
              <w:pStyle w:val="TableParagraph"/>
              <w:spacing w:before="2"/>
              <w:rPr>
                <w:rFonts w:ascii="黑体"/>
                <w:sz w:val="28"/>
              </w:rPr>
            </w:pPr>
          </w:p>
          <w:p>
            <w:pPr>
              <w:pStyle w:val="TableParagraph"/>
              <w:ind w:right="132"/>
              <w:jc w:val="right"/>
              <w:rPr>
                <w:sz w:val="20"/>
              </w:rPr>
            </w:pPr>
            <w:r>
              <w:rPr>
                <w:sz w:val="20"/>
              </w:rPr>
              <w:t>永祥股份</w:t>
            </w:r>
          </w:p>
        </w:tc>
      </w:tr>
      <w:tr>
        <w:trPr>
          <w:trHeight w:val="1380" w:hRule="atLeast"/>
        </w:trPr>
        <w:tc>
          <w:tcPr>
            <w:tcW w:w="481" w:type="dxa"/>
          </w:tcPr>
          <w:p>
            <w:pPr>
              <w:pStyle w:val="TableParagraph"/>
              <w:rPr>
                <w:rFonts w:ascii="黑体"/>
                <w:sz w:val="20"/>
              </w:rPr>
            </w:pPr>
          </w:p>
          <w:p>
            <w:pPr>
              <w:pStyle w:val="TableParagraph"/>
              <w:spacing w:before="1"/>
              <w:rPr>
                <w:rFonts w:ascii="黑体"/>
                <w:sz w:val="21"/>
              </w:rPr>
            </w:pPr>
          </w:p>
          <w:p>
            <w:pPr>
              <w:pStyle w:val="TableParagraph"/>
              <w:ind w:left="134"/>
              <w:rPr>
                <w:sz w:val="20"/>
              </w:rPr>
            </w:pPr>
            <w:r>
              <w:rPr>
                <w:sz w:val="20"/>
              </w:rPr>
              <w:t>21</w:t>
            </w:r>
          </w:p>
        </w:tc>
        <w:tc>
          <w:tcPr>
            <w:tcW w:w="2267" w:type="dxa"/>
          </w:tcPr>
          <w:p>
            <w:pPr>
              <w:pStyle w:val="TableParagraph"/>
              <w:spacing w:line="237" w:lineRule="auto" w:before="150"/>
              <w:ind w:left="102" w:right="99"/>
              <w:jc w:val="center"/>
              <w:rPr>
                <w:sz w:val="20"/>
              </w:rPr>
            </w:pPr>
            <w:r>
              <w:rPr>
                <w:sz w:val="20"/>
              </w:rPr>
              <w:t>30</w:t>
            </w:r>
            <w:r>
              <w:rPr>
                <w:spacing w:val="-20"/>
                <w:sz w:val="20"/>
              </w:rPr>
              <w:t> 万吨</w:t>
            </w:r>
            <w:r>
              <w:rPr>
                <w:sz w:val="20"/>
              </w:rPr>
              <w:t>/</w:t>
            </w:r>
            <w:r>
              <w:rPr>
                <w:spacing w:val="-17"/>
                <w:sz w:val="20"/>
              </w:rPr>
              <w:t>年聚氯乙烯、</w:t>
            </w:r>
            <w:r>
              <w:rPr>
                <w:sz w:val="20"/>
              </w:rPr>
              <w:t>30 万吨/年烧碱节能减排技术改造项目辅助设施项目</w:t>
            </w:r>
          </w:p>
        </w:tc>
        <w:tc>
          <w:tcPr>
            <w:tcW w:w="1116" w:type="dxa"/>
          </w:tcPr>
          <w:p>
            <w:pPr>
              <w:pStyle w:val="TableParagraph"/>
              <w:rPr>
                <w:rFonts w:ascii="黑体"/>
                <w:sz w:val="20"/>
              </w:rPr>
            </w:pPr>
          </w:p>
          <w:p>
            <w:pPr>
              <w:pStyle w:val="TableParagraph"/>
              <w:spacing w:before="1"/>
              <w:rPr>
                <w:rFonts w:ascii="黑体"/>
                <w:sz w:val="21"/>
              </w:rPr>
            </w:pPr>
          </w:p>
          <w:p>
            <w:pPr>
              <w:pStyle w:val="TableParagraph"/>
              <w:ind w:left="102"/>
              <w:rPr>
                <w:sz w:val="20"/>
              </w:rPr>
            </w:pPr>
            <w:r>
              <w:rPr>
                <w:sz w:val="20"/>
              </w:rPr>
              <w:t>2013-2016</w:t>
            </w:r>
          </w:p>
        </w:tc>
        <w:tc>
          <w:tcPr>
            <w:tcW w:w="3818" w:type="dxa"/>
          </w:tcPr>
          <w:p>
            <w:pPr>
              <w:pStyle w:val="TableParagraph"/>
              <w:spacing w:line="260" w:lineRule="exact" w:before="18"/>
              <w:ind w:left="104"/>
              <w:rPr>
                <w:sz w:val="20"/>
              </w:rPr>
            </w:pPr>
            <w:r>
              <w:rPr>
                <w:sz w:val="20"/>
              </w:rPr>
              <w:t>建设配套公辅设施，新建厂房 64000 平方</w:t>
            </w:r>
          </w:p>
          <w:p>
            <w:pPr>
              <w:pStyle w:val="TableParagraph"/>
              <w:spacing w:line="237" w:lineRule="auto" w:before="1"/>
              <w:ind w:left="102" w:right="100"/>
              <w:jc w:val="center"/>
              <w:rPr>
                <w:sz w:val="20"/>
              </w:rPr>
            </w:pPr>
            <w:r>
              <w:rPr>
                <w:spacing w:val="-8"/>
                <w:sz w:val="20"/>
              </w:rPr>
              <w:t>米；新购置安装 </w:t>
            </w:r>
            <w:r>
              <w:rPr>
                <w:sz w:val="20"/>
              </w:rPr>
              <w:t>100</w:t>
            </w:r>
            <w:r>
              <w:rPr>
                <w:spacing w:val="-8"/>
                <w:sz w:val="20"/>
              </w:rPr>
              <w:t> 吨地中衡、水泵等主</w:t>
            </w:r>
            <w:r>
              <w:rPr>
                <w:spacing w:val="-20"/>
                <w:sz w:val="20"/>
              </w:rPr>
              <w:t>要设备 </w:t>
            </w:r>
            <w:r>
              <w:rPr>
                <w:sz w:val="20"/>
              </w:rPr>
              <w:t>16</w:t>
            </w:r>
            <w:r>
              <w:rPr>
                <w:spacing w:val="-11"/>
                <w:sz w:val="20"/>
              </w:rPr>
              <w:t> 台(套)，配套满足“</w:t>
            </w:r>
            <w:r>
              <w:rPr>
                <w:sz w:val="20"/>
              </w:rPr>
              <w:t>30</w:t>
            </w:r>
            <w:r>
              <w:rPr>
                <w:spacing w:val="-18"/>
                <w:sz w:val="20"/>
              </w:rPr>
              <w:t> 万吨</w:t>
            </w:r>
            <w:r>
              <w:rPr>
                <w:sz w:val="20"/>
              </w:rPr>
              <w:t>/年</w:t>
            </w:r>
          </w:p>
          <w:p>
            <w:pPr>
              <w:pStyle w:val="TableParagraph"/>
              <w:spacing w:line="237" w:lineRule="auto"/>
              <w:ind w:left="102" w:right="101"/>
              <w:jc w:val="center"/>
              <w:rPr>
                <w:sz w:val="20"/>
              </w:rPr>
            </w:pPr>
            <w:r>
              <w:rPr>
                <w:sz w:val="20"/>
              </w:rPr>
              <w:t>PVC</w:t>
            </w:r>
            <w:r>
              <w:rPr>
                <w:spacing w:val="-36"/>
                <w:sz w:val="20"/>
              </w:rPr>
              <w:t> 和 </w:t>
            </w:r>
            <w:r>
              <w:rPr>
                <w:sz w:val="20"/>
              </w:rPr>
              <w:t>30</w:t>
            </w:r>
            <w:r>
              <w:rPr>
                <w:spacing w:val="-18"/>
                <w:sz w:val="20"/>
              </w:rPr>
              <w:t> 万吨</w:t>
            </w:r>
            <w:r>
              <w:rPr>
                <w:sz w:val="20"/>
              </w:rPr>
              <w:t>/年烧碱技改项目”生产、</w:t>
            </w:r>
            <w:r>
              <w:rPr>
                <w:spacing w:val="-1"/>
                <w:sz w:val="20"/>
              </w:rPr>
              <w:t>储存和销售的需要。</w:t>
            </w:r>
          </w:p>
        </w:tc>
        <w:tc>
          <w:tcPr>
            <w:tcW w:w="977" w:type="dxa"/>
          </w:tcPr>
          <w:p>
            <w:pPr>
              <w:pStyle w:val="TableParagraph"/>
              <w:rPr>
                <w:rFonts w:ascii="黑体"/>
                <w:sz w:val="20"/>
              </w:rPr>
            </w:pPr>
          </w:p>
          <w:p>
            <w:pPr>
              <w:pStyle w:val="TableParagraph"/>
              <w:spacing w:before="1"/>
              <w:rPr>
                <w:rFonts w:ascii="黑体"/>
                <w:sz w:val="21"/>
              </w:rPr>
            </w:pPr>
          </w:p>
          <w:p>
            <w:pPr>
              <w:pStyle w:val="TableParagraph"/>
              <w:ind w:left="162" w:right="162"/>
              <w:jc w:val="center"/>
              <w:rPr>
                <w:sz w:val="20"/>
              </w:rPr>
            </w:pPr>
            <w:r>
              <w:rPr>
                <w:sz w:val="20"/>
              </w:rPr>
              <w:t>8500</w:t>
            </w:r>
          </w:p>
        </w:tc>
        <w:tc>
          <w:tcPr>
            <w:tcW w:w="1080" w:type="dxa"/>
          </w:tcPr>
          <w:p>
            <w:pPr>
              <w:pStyle w:val="TableParagraph"/>
              <w:rPr>
                <w:rFonts w:ascii="黑体"/>
                <w:sz w:val="20"/>
              </w:rPr>
            </w:pPr>
          </w:p>
          <w:p>
            <w:pPr>
              <w:pStyle w:val="TableParagraph"/>
              <w:spacing w:before="1"/>
              <w:rPr>
                <w:rFonts w:ascii="黑体"/>
                <w:sz w:val="21"/>
              </w:rPr>
            </w:pPr>
          </w:p>
          <w:p>
            <w:pPr>
              <w:pStyle w:val="TableParagraph"/>
              <w:ind w:right="132"/>
              <w:jc w:val="right"/>
              <w:rPr>
                <w:sz w:val="20"/>
              </w:rPr>
            </w:pPr>
            <w:r>
              <w:rPr>
                <w:sz w:val="20"/>
              </w:rPr>
              <w:t>永祥股份</w:t>
            </w:r>
          </w:p>
        </w:tc>
      </w:tr>
      <w:tr>
        <w:trPr>
          <w:trHeight w:val="700" w:hRule="atLeast"/>
        </w:trPr>
        <w:tc>
          <w:tcPr>
            <w:tcW w:w="481" w:type="dxa"/>
          </w:tcPr>
          <w:p>
            <w:pPr>
              <w:pStyle w:val="TableParagraph"/>
              <w:spacing w:before="1"/>
              <w:rPr>
                <w:rFonts w:ascii="黑体"/>
                <w:sz w:val="15"/>
              </w:rPr>
            </w:pPr>
          </w:p>
          <w:p>
            <w:pPr>
              <w:pStyle w:val="TableParagraph"/>
              <w:spacing w:before="1"/>
              <w:ind w:left="134"/>
              <w:rPr>
                <w:sz w:val="20"/>
              </w:rPr>
            </w:pPr>
            <w:r>
              <w:rPr>
                <w:sz w:val="20"/>
              </w:rPr>
              <w:t>22</w:t>
            </w:r>
          </w:p>
        </w:tc>
        <w:tc>
          <w:tcPr>
            <w:tcW w:w="2267" w:type="dxa"/>
          </w:tcPr>
          <w:p>
            <w:pPr>
              <w:pStyle w:val="TableParagraph"/>
              <w:spacing w:line="237" w:lineRule="auto" w:before="71"/>
              <w:ind w:left="527" w:right="34" w:hanging="425"/>
              <w:rPr>
                <w:sz w:val="20"/>
              </w:rPr>
            </w:pPr>
            <w:r>
              <w:rPr>
                <w:sz w:val="20"/>
              </w:rPr>
              <w:t>50000t/a 石英砂氯化法生产四氯化硅</w:t>
            </w:r>
          </w:p>
        </w:tc>
        <w:tc>
          <w:tcPr>
            <w:tcW w:w="1116" w:type="dxa"/>
          </w:tcPr>
          <w:p>
            <w:pPr>
              <w:pStyle w:val="TableParagraph"/>
              <w:spacing w:before="1"/>
              <w:rPr>
                <w:rFonts w:ascii="黑体"/>
                <w:sz w:val="15"/>
              </w:rPr>
            </w:pPr>
          </w:p>
          <w:p>
            <w:pPr>
              <w:pStyle w:val="TableParagraph"/>
              <w:spacing w:before="1"/>
              <w:ind w:left="103"/>
              <w:rPr>
                <w:sz w:val="20"/>
              </w:rPr>
            </w:pPr>
            <w:r>
              <w:rPr>
                <w:sz w:val="20"/>
              </w:rPr>
              <w:t>2015-2016</w:t>
            </w:r>
          </w:p>
        </w:tc>
        <w:tc>
          <w:tcPr>
            <w:tcW w:w="3818" w:type="dxa"/>
          </w:tcPr>
          <w:p>
            <w:pPr>
              <w:pStyle w:val="TableParagraph"/>
              <w:spacing w:line="237" w:lineRule="auto" w:before="71"/>
              <w:ind w:left="979" w:right="185" w:hanging="776"/>
              <w:rPr>
                <w:sz w:val="20"/>
              </w:rPr>
            </w:pPr>
            <w:r>
              <w:rPr>
                <w:sz w:val="20"/>
              </w:rPr>
              <w:t>利用石英砂和碳与氯气反应生产四氯化硅，50000 吨/年规模</w:t>
            </w:r>
          </w:p>
        </w:tc>
        <w:tc>
          <w:tcPr>
            <w:tcW w:w="977" w:type="dxa"/>
          </w:tcPr>
          <w:p>
            <w:pPr>
              <w:pStyle w:val="TableParagraph"/>
              <w:spacing w:before="1"/>
              <w:rPr>
                <w:rFonts w:ascii="黑体"/>
                <w:sz w:val="15"/>
              </w:rPr>
            </w:pPr>
          </w:p>
          <w:p>
            <w:pPr>
              <w:pStyle w:val="TableParagraph"/>
              <w:spacing w:before="1"/>
              <w:ind w:left="162" w:right="162"/>
              <w:jc w:val="center"/>
              <w:rPr>
                <w:sz w:val="20"/>
              </w:rPr>
            </w:pPr>
            <w:r>
              <w:rPr>
                <w:sz w:val="20"/>
              </w:rPr>
              <w:t>10000</w:t>
            </w:r>
          </w:p>
        </w:tc>
        <w:tc>
          <w:tcPr>
            <w:tcW w:w="1080" w:type="dxa"/>
          </w:tcPr>
          <w:p>
            <w:pPr>
              <w:pStyle w:val="TableParagraph"/>
              <w:spacing w:before="1"/>
              <w:rPr>
                <w:rFonts w:ascii="黑体"/>
                <w:sz w:val="15"/>
              </w:rPr>
            </w:pPr>
          </w:p>
          <w:p>
            <w:pPr>
              <w:pStyle w:val="TableParagraph"/>
              <w:spacing w:before="1"/>
              <w:ind w:right="131"/>
              <w:jc w:val="right"/>
              <w:rPr>
                <w:sz w:val="20"/>
              </w:rPr>
            </w:pPr>
            <w:r>
              <w:rPr>
                <w:sz w:val="20"/>
              </w:rPr>
              <w:t>永祥股份</w:t>
            </w:r>
          </w:p>
        </w:tc>
      </w:tr>
      <w:tr>
        <w:trPr>
          <w:trHeight w:val="720" w:hRule="atLeast"/>
        </w:trPr>
        <w:tc>
          <w:tcPr>
            <w:tcW w:w="481" w:type="dxa"/>
          </w:tcPr>
          <w:p>
            <w:pPr>
              <w:pStyle w:val="TableParagraph"/>
              <w:spacing w:before="1"/>
              <w:rPr>
                <w:rFonts w:ascii="黑体"/>
                <w:sz w:val="15"/>
              </w:rPr>
            </w:pPr>
          </w:p>
          <w:p>
            <w:pPr>
              <w:pStyle w:val="TableParagraph"/>
              <w:spacing w:before="1"/>
              <w:ind w:left="134"/>
              <w:rPr>
                <w:sz w:val="20"/>
              </w:rPr>
            </w:pPr>
            <w:r>
              <w:rPr>
                <w:sz w:val="20"/>
              </w:rPr>
              <w:t>23</w:t>
            </w:r>
          </w:p>
        </w:tc>
        <w:tc>
          <w:tcPr>
            <w:tcW w:w="2267" w:type="dxa"/>
          </w:tcPr>
          <w:p>
            <w:pPr>
              <w:pStyle w:val="TableParagraph"/>
              <w:spacing w:before="1"/>
              <w:rPr>
                <w:rFonts w:ascii="黑体"/>
                <w:sz w:val="15"/>
              </w:rPr>
            </w:pPr>
          </w:p>
          <w:p>
            <w:pPr>
              <w:pStyle w:val="TableParagraph"/>
              <w:spacing w:before="1"/>
              <w:ind w:left="98" w:right="99"/>
              <w:jc w:val="center"/>
              <w:rPr>
                <w:sz w:val="20"/>
              </w:rPr>
            </w:pPr>
            <w:r>
              <w:rPr>
                <w:sz w:val="20"/>
              </w:rPr>
              <w:t>7700t/a 硅酸乙酯项目</w:t>
            </w:r>
          </w:p>
        </w:tc>
        <w:tc>
          <w:tcPr>
            <w:tcW w:w="1116" w:type="dxa"/>
          </w:tcPr>
          <w:p>
            <w:pPr>
              <w:pStyle w:val="TableParagraph"/>
              <w:spacing w:before="1"/>
              <w:rPr>
                <w:rFonts w:ascii="黑体"/>
                <w:sz w:val="15"/>
              </w:rPr>
            </w:pPr>
          </w:p>
          <w:p>
            <w:pPr>
              <w:pStyle w:val="TableParagraph"/>
              <w:spacing w:before="1"/>
              <w:ind w:left="101"/>
              <w:rPr>
                <w:sz w:val="20"/>
              </w:rPr>
            </w:pPr>
            <w:r>
              <w:rPr>
                <w:sz w:val="20"/>
              </w:rPr>
              <w:t>2016-2017</w:t>
            </w:r>
          </w:p>
        </w:tc>
        <w:tc>
          <w:tcPr>
            <w:tcW w:w="3818" w:type="dxa"/>
          </w:tcPr>
          <w:p>
            <w:pPr>
              <w:pStyle w:val="TableParagraph"/>
              <w:spacing w:line="237" w:lineRule="auto" w:before="71"/>
              <w:ind w:left="1703" w:right="60" w:hanging="1575"/>
              <w:rPr>
                <w:sz w:val="20"/>
              </w:rPr>
            </w:pPr>
            <w:r>
              <w:rPr>
                <w:sz w:val="20"/>
              </w:rPr>
              <w:t>利用四氯化硅生产硅酸乙酯，7700 吨/年规模</w:t>
            </w:r>
          </w:p>
        </w:tc>
        <w:tc>
          <w:tcPr>
            <w:tcW w:w="977" w:type="dxa"/>
          </w:tcPr>
          <w:p>
            <w:pPr>
              <w:pStyle w:val="TableParagraph"/>
              <w:spacing w:before="1"/>
              <w:rPr>
                <w:rFonts w:ascii="黑体"/>
                <w:sz w:val="15"/>
              </w:rPr>
            </w:pPr>
          </w:p>
          <w:p>
            <w:pPr>
              <w:pStyle w:val="TableParagraph"/>
              <w:spacing w:before="1"/>
              <w:ind w:left="162" w:right="162"/>
              <w:jc w:val="center"/>
              <w:rPr>
                <w:sz w:val="20"/>
              </w:rPr>
            </w:pPr>
            <w:r>
              <w:rPr>
                <w:sz w:val="20"/>
              </w:rPr>
              <w:t>2500</w:t>
            </w:r>
          </w:p>
        </w:tc>
        <w:tc>
          <w:tcPr>
            <w:tcW w:w="1080" w:type="dxa"/>
          </w:tcPr>
          <w:p>
            <w:pPr>
              <w:pStyle w:val="TableParagraph"/>
              <w:spacing w:before="1"/>
              <w:rPr>
                <w:rFonts w:ascii="黑体"/>
                <w:sz w:val="15"/>
              </w:rPr>
            </w:pPr>
          </w:p>
          <w:p>
            <w:pPr>
              <w:pStyle w:val="TableParagraph"/>
              <w:spacing w:before="1"/>
              <w:ind w:right="132"/>
              <w:jc w:val="right"/>
              <w:rPr>
                <w:sz w:val="20"/>
              </w:rPr>
            </w:pPr>
            <w:r>
              <w:rPr>
                <w:sz w:val="20"/>
              </w:rPr>
              <w:t>永祥股份</w:t>
            </w:r>
          </w:p>
        </w:tc>
      </w:tr>
      <w:tr>
        <w:trPr>
          <w:trHeight w:val="700" w:hRule="atLeast"/>
        </w:trPr>
        <w:tc>
          <w:tcPr>
            <w:tcW w:w="481" w:type="dxa"/>
          </w:tcPr>
          <w:p>
            <w:pPr>
              <w:pStyle w:val="TableParagraph"/>
              <w:spacing w:before="1"/>
              <w:rPr>
                <w:rFonts w:ascii="黑体"/>
                <w:sz w:val="15"/>
              </w:rPr>
            </w:pPr>
          </w:p>
          <w:p>
            <w:pPr>
              <w:pStyle w:val="TableParagraph"/>
              <w:spacing w:before="1"/>
              <w:ind w:left="134"/>
              <w:rPr>
                <w:sz w:val="20"/>
              </w:rPr>
            </w:pPr>
            <w:r>
              <w:rPr>
                <w:sz w:val="20"/>
              </w:rPr>
              <w:t>24</w:t>
            </w:r>
          </w:p>
        </w:tc>
        <w:tc>
          <w:tcPr>
            <w:tcW w:w="2267" w:type="dxa"/>
          </w:tcPr>
          <w:p>
            <w:pPr>
              <w:pStyle w:val="TableParagraph"/>
              <w:spacing w:line="237" w:lineRule="auto" w:before="71"/>
              <w:ind w:left="227" w:right="142" w:hanging="75"/>
              <w:rPr>
                <w:sz w:val="20"/>
              </w:rPr>
            </w:pPr>
            <w:r>
              <w:rPr>
                <w:sz w:val="20"/>
              </w:rPr>
              <w:t>1000t/a</w:t>
            </w:r>
            <w:r>
              <w:rPr>
                <w:spacing w:val="-26"/>
                <w:sz w:val="20"/>
              </w:rPr>
              <w:t> 硅烷 </w:t>
            </w:r>
            <w:r>
              <w:rPr>
                <w:sz w:val="20"/>
              </w:rPr>
              <w:t>CVD</w:t>
            </w:r>
            <w:r>
              <w:rPr>
                <w:spacing w:val="-18"/>
                <w:sz w:val="20"/>
              </w:rPr>
              <w:t> 法制</w:t>
            </w:r>
            <w:r>
              <w:rPr>
                <w:spacing w:val="-1"/>
                <w:sz w:val="20"/>
              </w:rPr>
              <w:t>备电子级多晶硅项目</w:t>
            </w:r>
          </w:p>
        </w:tc>
        <w:tc>
          <w:tcPr>
            <w:tcW w:w="1116" w:type="dxa"/>
          </w:tcPr>
          <w:p>
            <w:pPr>
              <w:pStyle w:val="TableParagraph"/>
              <w:spacing w:before="1"/>
              <w:rPr>
                <w:rFonts w:ascii="黑体"/>
                <w:sz w:val="15"/>
              </w:rPr>
            </w:pPr>
          </w:p>
          <w:p>
            <w:pPr>
              <w:pStyle w:val="TableParagraph"/>
              <w:spacing w:before="1"/>
              <w:ind w:left="103"/>
              <w:rPr>
                <w:sz w:val="20"/>
              </w:rPr>
            </w:pPr>
            <w:r>
              <w:rPr>
                <w:sz w:val="20"/>
              </w:rPr>
              <w:t>2016-2019</w:t>
            </w:r>
          </w:p>
        </w:tc>
        <w:tc>
          <w:tcPr>
            <w:tcW w:w="3818" w:type="dxa"/>
          </w:tcPr>
          <w:p>
            <w:pPr>
              <w:pStyle w:val="TableParagraph"/>
              <w:spacing w:line="237" w:lineRule="auto" w:before="71"/>
              <w:ind w:left="328" w:right="85" w:hanging="225"/>
              <w:rPr>
                <w:sz w:val="20"/>
              </w:rPr>
            </w:pPr>
            <w:r>
              <w:rPr>
                <w:sz w:val="20"/>
              </w:rPr>
              <w:t>采用硅烷气相沉积法生产高端电子级（区熔级）多晶硅；1000 吨/年产品规模</w:t>
            </w:r>
          </w:p>
        </w:tc>
        <w:tc>
          <w:tcPr>
            <w:tcW w:w="977" w:type="dxa"/>
          </w:tcPr>
          <w:p>
            <w:pPr>
              <w:pStyle w:val="TableParagraph"/>
              <w:spacing w:before="1"/>
              <w:rPr>
                <w:rFonts w:ascii="黑体"/>
                <w:sz w:val="15"/>
              </w:rPr>
            </w:pPr>
          </w:p>
          <w:p>
            <w:pPr>
              <w:pStyle w:val="TableParagraph"/>
              <w:spacing w:before="1"/>
              <w:ind w:left="162" w:right="162"/>
              <w:jc w:val="center"/>
              <w:rPr>
                <w:sz w:val="20"/>
              </w:rPr>
            </w:pPr>
            <w:r>
              <w:rPr>
                <w:sz w:val="20"/>
              </w:rPr>
              <w:t>35000</w:t>
            </w:r>
          </w:p>
        </w:tc>
        <w:tc>
          <w:tcPr>
            <w:tcW w:w="1080" w:type="dxa"/>
          </w:tcPr>
          <w:p>
            <w:pPr>
              <w:pStyle w:val="TableParagraph"/>
              <w:spacing w:before="1"/>
              <w:rPr>
                <w:rFonts w:ascii="黑体"/>
                <w:sz w:val="15"/>
              </w:rPr>
            </w:pPr>
          </w:p>
          <w:p>
            <w:pPr>
              <w:pStyle w:val="TableParagraph"/>
              <w:spacing w:before="1"/>
              <w:ind w:right="131"/>
              <w:jc w:val="right"/>
              <w:rPr>
                <w:sz w:val="20"/>
              </w:rPr>
            </w:pPr>
            <w:r>
              <w:rPr>
                <w:sz w:val="20"/>
              </w:rPr>
              <w:t>永祥股份</w:t>
            </w:r>
          </w:p>
        </w:tc>
      </w:tr>
      <w:tr>
        <w:trPr>
          <w:trHeight w:val="560" w:hRule="atLeast"/>
        </w:trPr>
        <w:tc>
          <w:tcPr>
            <w:tcW w:w="481" w:type="dxa"/>
          </w:tcPr>
          <w:p>
            <w:pPr>
              <w:pStyle w:val="TableParagraph"/>
              <w:spacing w:before="121"/>
              <w:ind w:left="134"/>
              <w:rPr>
                <w:sz w:val="20"/>
              </w:rPr>
            </w:pPr>
            <w:r>
              <w:rPr>
                <w:sz w:val="20"/>
              </w:rPr>
              <w:t>25</w:t>
            </w:r>
          </w:p>
        </w:tc>
        <w:tc>
          <w:tcPr>
            <w:tcW w:w="2267" w:type="dxa"/>
          </w:tcPr>
          <w:p>
            <w:pPr>
              <w:pStyle w:val="TableParagraph"/>
              <w:spacing w:before="121"/>
              <w:ind w:left="58" w:right="58"/>
              <w:jc w:val="center"/>
              <w:rPr>
                <w:sz w:val="20"/>
              </w:rPr>
            </w:pPr>
            <w:r>
              <w:rPr>
                <w:sz w:val="20"/>
              </w:rPr>
              <w:t>3000 吨多晶硅铸锭项目</w:t>
            </w:r>
          </w:p>
        </w:tc>
        <w:tc>
          <w:tcPr>
            <w:tcW w:w="1116" w:type="dxa"/>
          </w:tcPr>
          <w:p>
            <w:pPr>
              <w:pStyle w:val="TableParagraph"/>
              <w:spacing w:before="121"/>
              <w:ind w:left="101"/>
              <w:rPr>
                <w:sz w:val="20"/>
              </w:rPr>
            </w:pPr>
            <w:r>
              <w:rPr>
                <w:sz w:val="20"/>
              </w:rPr>
              <w:t>2016-2017</w:t>
            </w:r>
          </w:p>
        </w:tc>
        <w:tc>
          <w:tcPr>
            <w:tcW w:w="3818" w:type="dxa"/>
          </w:tcPr>
          <w:p>
            <w:pPr>
              <w:pStyle w:val="TableParagraph"/>
              <w:spacing w:before="121"/>
              <w:ind w:right="1"/>
              <w:jc w:val="center"/>
              <w:rPr>
                <w:sz w:val="20"/>
              </w:rPr>
            </w:pPr>
            <w:r>
              <w:rPr>
                <w:sz w:val="20"/>
              </w:rPr>
              <w:t>多晶硅铸锭深加工，规模 3000 吨</w:t>
            </w:r>
          </w:p>
        </w:tc>
        <w:tc>
          <w:tcPr>
            <w:tcW w:w="977" w:type="dxa"/>
          </w:tcPr>
          <w:p>
            <w:pPr>
              <w:pStyle w:val="TableParagraph"/>
              <w:spacing w:before="121"/>
              <w:ind w:left="162" w:right="162"/>
              <w:jc w:val="center"/>
              <w:rPr>
                <w:sz w:val="20"/>
              </w:rPr>
            </w:pPr>
            <w:r>
              <w:rPr>
                <w:sz w:val="20"/>
              </w:rPr>
              <w:t>6000</w:t>
            </w:r>
          </w:p>
        </w:tc>
        <w:tc>
          <w:tcPr>
            <w:tcW w:w="1080" w:type="dxa"/>
          </w:tcPr>
          <w:p>
            <w:pPr>
              <w:pStyle w:val="TableParagraph"/>
              <w:spacing w:before="121"/>
              <w:ind w:right="132"/>
              <w:jc w:val="right"/>
              <w:rPr>
                <w:sz w:val="20"/>
              </w:rPr>
            </w:pPr>
            <w:r>
              <w:rPr>
                <w:sz w:val="20"/>
              </w:rPr>
              <w:t>永祥股份</w:t>
            </w:r>
          </w:p>
        </w:tc>
      </w:tr>
      <w:tr>
        <w:trPr>
          <w:trHeight w:val="700" w:hRule="atLeast"/>
        </w:trPr>
        <w:tc>
          <w:tcPr>
            <w:tcW w:w="481" w:type="dxa"/>
          </w:tcPr>
          <w:p>
            <w:pPr>
              <w:pStyle w:val="TableParagraph"/>
              <w:spacing w:before="1"/>
              <w:rPr>
                <w:rFonts w:ascii="黑体"/>
                <w:sz w:val="15"/>
              </w:rPr>
            </w:pPr>
          </w:p>
          <w:p>
            <w:pPr>
              <w:pStyle w:val="TableParagraph"/>
              <w:spacing w:before="1"/>
              <w:ind w:left="134"/>
              <w:rPr>
                <w:sz w:val="20"/>
              </w:rPr>
            </w:pPr>
            <w:r>
              <w:rPr>
                <w:sz w:val="20"/>
              </w:rPr>
              <w:t>26</w:t>
            </w:r>
          </w:p>
        </w:tc>
        <w:tc>
          <w:tcPr>
            <w:tcW w:w="2267" w:type="dxa"/>
          </w:tcPr>
          <w:p>
            <w:pPr>
              <w:pStyle w:val="TableParagraph"/>
              <w:spacing w:before="1"/>
              <w:rPr>
                <w:rFonts w:ascii="黑体"/>
                <w:sz w:val="15"/>
              </w:rPr>
            </w:pPr>
          </w:p>
          <w:p>
            <w:pPr>
              <w:pStyle w:val="TableParagraph"/>
              <w:spacing w:before="1"/>
              <w:ind w:left="99" w:right="99"/>
              <w:jc w:val="center"/>
              <w:rPr>
                <w:sz w:val="20"/>
              </w:rPr>
            </w:pPr>
            <w:r>
              <w:rPr>
                <w:sz w:val="20"/>
              </w:rPr>
              <w:t>永祥多晶硅还原改造</w:t>
            </w:r>
          </w:p>
        </w:tc>
        <w:tc>
          <w:tcPr>
            <w:tcW w:w="1116" w:type="dxa"/>
          </w:tcPr>
          <w:p>
            <w:pPr>
              <w:pStyle w:val="TableParagraph"/>
              <w:spacing w:before="1"/>
              <w:rPr>
                <w:rFonts w:ascii="黑体"/>
                <w:sz w:val="15"/>
              </w:rPr>
            </w:pPr>
          </w:p>
          <w:p>
            <w:pPr>
              <w:pStyle w:val="TableParagraph"/>
              <w:spacing w:before="1"/>
              <w:ind w:left="101"/>
              <w:rPr>
                <w:sz w:val="20"/>
              </w:rPr>
            </w:pPr>
            <w:r>
              <w:rPr>
                <w:sz w:val="20"/>
              </w:rPr>
              <w:t>2015-2017</w:t>
            </w:r>
          </w:p>
        </w:tc>
        <w:tc>
          <w:tcPr>
            <w:tcW w:w="3818" w:type="dxa"/>
          </w:tcPr>
          <w:p>
            <w:pPr>
              <w:pStyle w:val="TableParagraph"/>
              <w:spacing w:before="1"/>
              <w:rPr>
                <w:rFonts w:ascii="黑体"/>
                <w:sz w:val="15"/>
              </w:rPr>
            </w:pPr>
          </w:p>
          <w:p>
            <w:pPr>
              <w:pStyle w:val="TableParagraph"/>
              <w:spacing w:before="1"/>
              <w:jc w:val="center"/>
              <w:rPr>
                <w:sz w:val="20"/>
              </w:rPr>
            </w:pPr>
            <w:r>
              <w:rPr>
                <w:sz w:val="20"/>
              </w:rPr>
              <w:t>将原 800 吨还原、热氢化进行升级改造</w:t>
            </w:r>
          </w:p>
        </w:tc>
        <w:tc>
          <w:tcPr>
            <w:tcW w:w="977" w:type="dxa"/>
          </w:tcPr>
          <w:p>
            <w:pPr>
              <w:pStyle w:val="TableParagraph"/>
              <w:spacing w:before="1"/>
              <w:rPr>
                <w:rFonts w:ascii="黑体"/>
                <w:sz w:val="15"/>
              </w:rPr>
            </w:pPr>
          </w:p>
          <w:p>
            <w:pPr>
              <w:pStyle w:val="TableParagraph"/>
              <w:spacing w:before="1"/>
              <w:ind w:left="162" w:right="162"/>
              <w:jc w:val="center"/>
              <w:rPr>
                <w:sz w:val="20"/>
              </w:rPr>
            </w:pPr>
            <w:r>
              <w:rPr>
                <w:sz w:val="20"/>
              </w:rPr>
              <w:t>8000</w:t>
            </w:r>
          </w:p>
        </w:tc>
        <w:tc>
          <w:tcPr>
            <w:tcW w:w="1080" w:type="dxa"/>
          </w:tcPr>
          <w:p>
            <w:pPr>
              <w:pStyle w:val="TableParagraph"/>
              <w:spacing w:before="1"/>
              <w:rPr>
                <w:rFonts w:ascii="黑体"/>
                <w:sz w:val="15"/>
              </w:rPr>
            </w:pPr>
          </w:p>
          <w:p>
            <w:pPr>
              <w:pStyle w:val="TableParagraph"/>
              <w:spacing w:before="1"/>
              <w:ind w:right="132"/>
              <w:jc w:val="right"/>
              <w:rPr>
                <w:sz w:val="20"/>
              </w:rPr>
            </w:pPr>
            <w:r>
              <w:rPr>
                <w:sz w:val="20"/>
              </w:rPr>
              <w:t>永祥股份</w:t>
            </w:r>
          </w:p>
        </w:tc>
      </w:tr>
    </w:tbl>
    <w:p>
      <w:pPr>
        <w:spacing w:after="0"/>
        <w:jc w:val="right"/>
        <w:rPr>
          <w:sz w:val="20"/>
        </w:rPr>
        <w:sectPr>
          <w:pgSz w:w="11910" w:h="16840"/>
          <w:pgMar w:header="0" w:footer="938" w:top="1440" w:bottom="1120" w:left="960" w:right="960"/>
        </w:sectPr>
      </w:pPr>
    </w:p>
    <w:tbl>
      <w:tblPr>
        <w:tblW w:w="0" w:type="auto"/>
        <w:jc w:val="left"/>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81"/>
        <w:gridCol w:w="2267"/>
        <w:gridCol w:w="1116"/>
        <w:gridCol w:w="3818"/>
        <w:gridCol w:w="977"/>
        <w:gridCol w:w="1080"/>
      </w:tblGrid>
      <w:tr>
        <w:trPr>
          <w:trHeight w:val="700" w:hRule="atLeast"/>
        </w:trPr>
        <w:tc>
          <w:tcPr>
            <w:tcW w:w="481" w:type="dxa"/>
          </w:tcPr>
          <w:p>
            <w:pPr>
              <w:pStyle w:val="TableParagraph"/>
              <w:spacing w:before="1"/>
              <w:rPr>
                <w:rFonts w:ascii="黑体"/>
                <w:sz w:val="15"/>
              </w:rPr>
            </w:pPr>
          </w:p>
          <w:p>
            <w:pPr>
              <w:pStyle w:val="TableParagraph"/>
              <w:spacing w:before="1"/>
              <w:ind w:left="134"/>
              <w:rPr>
                <w:sz w:val="20"/>
              </w:rPr>
            </w:pPr>
            <w:r>
              <w:rPr>
                <w:sz w:val="20"/>
              </w:rPr>
              <w:t>27</w:t>
            </w:r>
          </w:p>
        </w:tc>
        <w:tc>
          <w:tcPr>
            <w:tcW w:w="2267" w:type="dxa"/>
          </w:tcPr>
          <w:p>
            <w:pPr>
              <w:pStyle w:val="TableParagraph"/>
              <w:spacing w:before="1"/>
              <w:rPr>
                <w:rFonts w:ascii="黑体"/>
                <w:sz w:val="15"/>
              </w:rPr>
            </w:pPr>
          </w:p>
          <w:p>
            <w:pPr>
              <w:pStyle w:val="TableParagraph"/>
              <w:spacing w:before="1"/>
              <w:ind w:left="226"/>
              <w:rPr>
                <w:sz w:val="20"/>
              </w:rPr>
            </w:pPr>
            <w:r>
              <w:rPr>
                <w:sz w:val="20"/>
              </w:rPr>
              <w:t>光纤级四氯化硅项目</w:t>
            </w:r>
          </w:p>
        </w:tc>
        <w:tc>
          <w:tcPr>
            <w:tcW w:w="1116" w:type="dxa"/>
          </w:tcPr>
          <w:p>
            <w:pPr>
              <w:pStyle w:val="TableParagraph"/>
              <w:spacing w:before="1"/>
              <w:rPr>
                <w:rFonts w:ascii="黑体"/>
                <w:sz w:val="15"/>
              </w:rPr>
            </w:pPr>
          </w:p>
          <w:p>
            <w:pPr>
              <w:pStyle w:val="TableParagraph"/>
              <w:spacing w:before="1"/>
              <w:ind w:left="101"/>
              <w:rPr>
                <w:sz w:val="20"/>
              </w:rPr>
            </w:pPr>
            <w:r>
              <w:rPr>
                <w:sz w:val="20"/>
              </w:rPr>
              <w:t>2016-2017</w:t>
            </w:r>
          </w:p>
        </w:tc>
        <w:tc>
          <w:tcPr>
            <w:tcW w:w="3818" w:type="dxa"/>
          </w:tcPr>
          <w:p>
            <w:pPr>
              <w:pStyle w:val="TableParagraph"/>
              <w:spacing w:before="1"/>
              <w:rPr>
                <w:rFonts w:ascii="黑体"/>
                <w:sz w:val="15"/>
              </w:rPr>
            </w:pPr>
          </w:p>
          <w:p>
            <w:pPr>
              <w:pStyle w:val="TableParagraph"/>
              <w:spacing w:before="1"/>
              <w:jc w:val="center"/>
              <w:rPr>
                <w:sz w:val="20"/>
              </w:rPr>
            </w:pPr>
            <w:r>
              <w:rPr>
                <w:sz w:val="20"/>
              </w:rPr>
              <w:t>新建 1 万吨每年光纤四氯化硅项目</w:t>
            </w:r>
          </w:p>
        </w:tc>
        <w:tc>
          <w:tcPr>
            <w:tcW w:w="977" w:type="dxa"/>
          </w:tcPr>
          <w:p>
            <w:pPr>
              <w:pStyle w:val="TableParagraph"/>
              <w:spacing w:before="1"/>
              <w:rPr>
                <w:rFonts w:ascii="黑体"/>
                <w:sz w:val="15"/>
              </w:rPr>
            </w:pPr>
          </w:p>
          <w:p>
            <w:pPr>
              <w:pStyle w:val="TableParagraph"/>
              <w:spacing w:before="1"/>
              <w:ind w:left="162" w:right="162"/>
              <w:jc w:val="center"/>
              <w:rPr>
                <w:sz w:val="20"/>
              </w:rPr>
            </w:pPr>
            <w:r>
              <w:rPr>
                <w:sz w:val="20"/>
              </w:rPr>
              <w:t>1000</w:t>
            </w:r>
          </w:p>
        </w:tc>
        <w:tc>
          <w:tcPr>
            <w:tcW w:w="1080" w:type="dxa"/>
          </w:tcPr>
          <w:p>
            <w:pPr>
              <w:pStyle w:val="TableParagraph"/>
              <w:spacing w:before="1"/>
              <w:rPr>
                <w:rFonts w:ascii="黑体"/>
                <w:sz w:val="15"/>
              </w:rPr>
            </w:pPr>
          </w:p>
          <w:p>
            <w:pPr>
              <w:pStyle w:val="TableParagraph"/>
              <w:spacing w:before="1"/>
              <w:ind w:left="114" w:right="114"/>
              <w:jc w:val="center"/>
              <w:rPr>
                <w:sz w:val="20"/>
              </w:rPr>
            </w:pPr>
            <w:r>
              <w:rPr>
                <w:sz w:val="20"/>
              </w:rPr>
              <w:t>永祥股份</w:t>
            </w:r>
          </w:p>
        </w:tc>
      </w:tr>
      <w:tr>
        <w:trPr>
          <w:trHeight w:val="720" w:hRule="atLeast"/>
        </w:trPr>
        <w:tc>
          <w:tcPr>
            <w:tcW w:w="481" w:type="dxa"/>
          </w:tcPr>
          <w:p>
            <w:pPr>
              <w:pStyle w:val="TableParagraph"/>
              <w:spacing w:before="1"/>
              <w:rPr>
                <w:rFonts w:ascii="黑体"/>
                <w:sz w:val="15"/>
              </w:rPr>
            </w:pPr>
          </w:p>
          <w:p>
            <w:pPr>
              <w:pStyle w:val="TableParagraph"/>
              <w:spacing w:before="1"/>
              <w:ind w:left="134"/>
              <w:rPr>
                <w:sz w:val="20"/>
              </w:rPr>
            </w:pPr>
            <w:r>
              <w:rPr>
                <w:sz w:val="20"/>
              </w:rPr>
              <w:t>28</w:t>
            </w:r>
          </w:p>
        </w:tc>
        <w:tc>
          <w:tcPr>
            <w:tcW w:w="2267" w:type="dxa"/>
          </w:tcPr>
          <w:p>
            <w:pPr>
              <w:pStyle w:val="TableParagraph"/>
              <w:spacing w:before="1"/>
              <w:rPr>
                <w:rFonts w:ascii="黑体"/>
                <w:sz w:val="15"/>
              </w:rPr>
            </w:pPr>
          </w:p>
          <w:p>
            <w:pPr>
              <w:pStyle w:val="TableParagraph"/>
              <w:spacing w:before="1"/>
              <w:ind w:right="127"/>
              <w:jc w:val="right"/>
              <w:rPr>
                <w:sz w:val="20"/>
              </w:rPr>
            </w:pPr>
            <w:r>
              <w:rPr>
                <w:sz w:val="20"/>
              </w:rPr>
              <w:t>硅烷法颗粒多晶硅项目</w:t>
            </w:r>
          </w:p>
        </w:tc>
        <w:tc>
          <w:tcPr>
            <w:tcW w:w="1116" w:type="dxa"/>
          </w:tcPr>
          <w:p>
            <w:pPr>
              <w:pStyle w:val="TableParagraph"/>
              <w:spacing w:before="1"/>
              <w:rPr>
                <w:rFonts w:ascii="黑体"/>
                <w:sz w:val="15"/>
              </w:rPr>
            </w:pPr>
          </w:p>
          <w:p>
            <w:pPr>
              <w:pStyle w:val="TableParagraph"/>
              <w:spacing w:before="1"/>
              <w:ind w:left="101"/>
              <w:rPr>
                <w:sz w:val="20"/>
              </w:rPr>
            </w:pPr>
            <w:r>
              <w:rPr>
                <w:sz w:val="20"/>
              </w:rPr>
              <w:t>2015-2017</w:t>
            </w:r>
          </w:p>
        </w:tc>
        <w:tc>
          <w:tcPr>
            <w:tcW w:w="3818" w:type="dxa"/>
          </w:tcPr>
          <w:p>
            <w:pPr>
              <w:pStyle w:val="TableParagraph"/>
              <w:spacing w:before="1"/>
              <w:rPr>
                <w:rFonts w:ascii="黑体"/>
                <w:sz w:val="15"/>
              </w:rPr>
            </w:pPr>
          </w:p>
          <w:p>
            <w:pPr>
              <w:pStyle w:val="TableParagraph"/>
              <w:spacing w:before="1"/>
              <w:ind w:right="1"/>
              <w:jc w:val="center"/>
              <w:rPr>
                <w:sz w:val="20"/>
              </w:rPr>
            </w:pPr>
            <w:r>
              <w:rPr>
                <w:sz w:val="20"/>
              </w:rPr>
              <w:t>新建 1000 吨硅烷法颗粒硅项目</w:t>
            </w:r>
          </w:p>
        </w:tc>
        <w:tc>
          <w:tcPr>
            <w:tcW w:w="977" w:type="dxa"/>
          </w:tcPr>
          <w:p>
            <w:pPr>
              <w:pStyle w:val="TableParagraph"/>
              <w:spacing w:before="1"/>
              <w:rPr>
                <w:rFonts w:ascii="黑体"/>
                <w:sz w:val="15"/>
              </w:rPr>
            </w:pPr>
          </w:p>
          <w:p>
            <w:pPr>
              <w:pStyle w:val="TableParagraph"/>
              <w:spacing w:before="1"/>
              <w:ind w:left="162" w:right="162"/>
              <w:jc w:val="center"/>
              <w:rPr>
                <w:sz w:val="20"/>
              </w:rPr>
            </w:pPr>
            <w:r>
              <w:rPr>
                <w:sz w:val="20"/>
              </w:rPr>
              <w:t>5000</w:t>
            </w:r>
          </w:p>
        </w:tc>
        <w:tc>
          <w:tcPr>
            <w:tcW w:w="1080" w:type="dxa"/>
          </w:tcPr>
          <w:p>
            <w:pPr>
              <w:pStyle w:val="TableParagraph"/>
              <w:spacing w:before="1"/>
              <w:rPr>
                <w:rFonts w:ascii="黑体"/>
                <w:sz w:val="15"/>
              </w:rPr>
            </w:pPr>
          </w:p>
          <w:p>
            <w:pPr>
              <w:pStyle w:val="TableParagraph"/>
              <w:spacing w:before="1"/>
              <w:ind w:left="114" w:right="114"/>
              <w:jc w:val="center"/>
              <w:rPr>
                <w:sz w:val="20"/>
              </w:rPr>
            </w:pPr>
            <w:r>
              <w:rPr>
                <w:sz w:val="20"/>
              </w:rPr>
              <w:t>永祥股份</w:t>
            </w:r>
          </w:p>
        </w:tc>
      </w:tr>
      <w:tr>
        <w:trPr>
          <w:trHeight w:val="700" w:hRule="atLeast"/>
        </w:trPr>
        <w:tc>
          <w:tcPr>
            <w:tcW w:w="481" w:type="dxa"/>
          </w:tcPr>
          <w:p>
            <w:pPr>
              <w:pStyle w:val="TableParagraph"/>
              <w:spacing w:before="1"/>
              <w:rPr>
                <w:rFonts w:ascii="黑体"/>
                <w:sz w:val="15"/>
              </w:rPr>
            </w:pPr>
          </w:p>
          <w:p>
            <w:pPr>
              <w:pStyle w:val="TableParagraph"/>
              <w:spacing w:before="1"/>
              <w:ind w:left="134"/>
              <w:rPr>
                <w:sz w:val="20"/>
              </w:rPr>
            </w:pPr>
            <w:r>
              <w:rPr>
                <w:sz w:val="20"/>
              </w:rPr>
              <w:t>29</w:t>
            </w:r>
          </w:p>
        </w:tc>
        <w:tc>
          <w:tcPr>
            <w:tcW w:w="2267" w:type="dxa"/>
          </w:tcPr>
          <w:p>
            <w:pPr>
              <w:pStyle w:val="TableParagraph"/>
              <w:spacing w:before="1"/>
              <w:rPr>
                <w:rFonts w:ascii="黑体"/>
                <w:sz w:val="15"/>
              </w:rPr>
            </w:pPr>
          </w:p>
          <w:p>
            <w:pPr>
              <w:pStyle w:val="TableParagraph"/>
              <w:spacing w:before="1"/>
              <w:ind w:left="251"/>
              <w:rPr>
                <w:sz w:val="20"/>
              </w:rPr>
            </w:pPr>
            <w:r>
              <w:rPr>
                <w:sz w:val="20"/>
              </w:rPr>
              <w:t>2 万吨金属硅粉项目</w:t>
            </w:r>
          </w:p>
        </w:tc>
        <w:tc>
          <w:tcPr>
            <w:tcW w:w="1116" w:type="dxa"/>
          </w:tcPr>
          <w:p>
            <w:pPr>
              <w:pStyle w:val="TableParagraph"/>
              <w:spacing w:before="1"/>
              <w:rPr>
                <w:rFonts w:ascii="黑体"/>
                <w:sz w:val="15"/>
              </w:rPr>
            </w:pPr>
          </w:p>
          <w:p>
            <w:pPr>
              <w:pStyle w:val="TableParagraph"/>
              <w:spacing w:before="1"/>
              <w:ind w:left="101"/>
              <w:rPr>
                <w:sz w:val="20"/>
              </w:rPr>
            </w:pPr>
            <w:r>
              <w:rPr>
                <w:sz w:val="20"/>
              </w:rPr>
              <w:t>2015-2017</w:t>
            </w:r>
          </w:p>
        </w:tc>
        <w:tc>
          <w:tcPr>
            <w:tcW w:w="3818" w:type="dxa"/>
          </w:tcPr>
          <w:p>
            <w:pPr>
              <w:pStyle w:val="TableParagraph"/>
              <w:spacing w:line="237" w:lineRule="auto" w:before="71"/>
              <w:ind w:left="1602" w:right="85" w:hanging="1499"/>
              <w:rPr>
                <w:sz w:val="20"/>
              </w:rPr>
            </w:pPr>
            <w:r>
              <w:rPr>
                <w:spacing w:val="-18"/>
                <w:sz w:val="20"/>
              </w:rPr>
              <w:t>新建 </w:t>
            </w:r>
            <w:r>
              <w:rPr>
                <w:sz w:val="20"/>
              </w:rPr>
              <w:t>2</w:t>
            </w:r>
            <w:r>
              <w:rPr>
                <w:spacing w:val="-8"/>
                <w:sz w:val="20"/>
              </w:rPr>
              <w:t> 万吨金属硅粉项目，满足多晶硅生产需要</w:t>
            </w:r>
          </w:p>
        </w:tc>
        <w:tc>
          <w:tcPr>
            <w:tcW w:w="977" w:type="dxa"/>
          </w:tcPr>
          <w:p>
            <w:pPr>
              <w:pStyle w:val="TableParagraph"/>
              <w:spacing w:before="1"/>
              <w:rPr>
                <w:rFonts w:ascii="黑体"/>
                <w:sz w:val="15"/>
              </w:rPr>
            </w:pPr>
          </w:p>
          <w:p>
            <w:pPr>
              <w:pStyle w:val="TableParagraph"/>
              <w:spacing w:before="1"/>
              <w:ind w:left="162" w:right="162"/>
              <w:jc w:val="center"/>
              <w:rPr>
                <w:sz w:val="20"/>
              </w:rPr>
            </w:pPr>
            <w:r>
              <w:rPr>
                <w:sz w:val="20"/>
              </w:rPr>
              <w:t>5000</w:t>
            </w:r>
          </w:p>
        </w:tc>
        <w:tc>
          <w:tcPr>
            <w:tcW w:w="1080" w:type="dxa"/>
          </w:tcPr>
          <w:p>
            <w:pPr>
              <w:pStyle w:val="TableParagraph"/>
              <w:spacing w:before="1"/>
              <w:rPr>
                <w:rFonts w:ascii="黑体"/>
                <w:sz w:val="15"/>
              </w:rPr>
            </w:pPr>
          </w:p>
          <w:p>
            <w:pPr>
              <w:pStyle w:val="TableParagraph"/>
              <w:spacing w:before="1"/>
              <w:ind w:left="114" w:right="114"/>
              <w:jc w:val="center"/>
              <w:rPr>
                <w:sz w:val="20"/>
              </w:rPr>
            </w:pPr>
            <w:r>
              <w:rPr>
                <w:sz w:val="20"/>
              </w:rPr>
              <w:t>永祥股份</w:t>
            </w:r>
          </w:p>
        </w:tc>
      </w:tr>
      <w:tr>
        <w:trPr>
          <w:trHeight w:val="1020" w:hRule="atLeast"/>
        </w:trPr>
        <w:tc>
          <w:tcPr>
            <w:tcW w:w="481" w:type="dxa"/>
          </w:tcPr>
          <w:p>
            <w:pPr>
              <w:pStyle w:val="TableParagraph"/>
              <w:spacing w:before="3"/>
              <w:rPr>
                <w:rFonts w:ascii="黑体"/>
                <w:sz w:val="27"/>
              </w:rPr>
            </w:pPr>
          </w:p>
          <w:p>
            <w:pPr>
              <w:pStyle w:val="TableParagraph"/>
              <w:ind w:left="134"/>
              <w:rPr>
                <w:sz w:val="20"/>
              </w:rPr>
            </w:pPr>
            <w:r>
              <w:rPr>
                <w:sz w:val="20"/>
              </w:rPr>
              <w:t>30</w:t>
            </w:r>
          </w:p>
        </w:tc>
        <w:tc>
          <w:tcPr>
            <w:tcW w:w="2267" w:type="dxa"/>
          </w:tcPr>
          <w:p>
            <w:pPr>
              <w:pStyle w:val="TableParagraph"/>
              <w:spacing w:line="237" w:lineRule="auto" w:before="100"/>
              <w:ind w:left="58" w:right="57"/>
              <w:jc w:val="center"/>
              <w:rPr>
                <w:sz w:val="20"/>
              </w:rPr>
            </w:pPr>
            <w:r>
              <w:rPr>
                <w:sz w:val="20"/>
              </w:rPr>
              <w:t>20000 吨/年多晶硅副产物四氯化硅处理及综合利用项目</w:t>
            </w:r>
          </w:p>
        </w:tc>
        <w:tc>
          <w:tcPr>
            <w:tcW w:w="1116" w:type="dxa"/>
          </w:tcPr>
          <w:p>
            <w:pPr>
              <w:pStyle w:val="TableParagraph"/>
              <w:spacing w:before="3"/>
              <w:rPr>
                <w:rFonts w:ascii="黑体"/>
                <w:sz w:val="27"/>
              </w:rPr>
            </w:pPr>
          </w:p>
          <w:p>
            <w:pPr>
              <w:pStyle w:val="TableParagraph"/>
              <w:ind w:left="102"/>
              <w:rPr>
                <w:sz w:val="20"/>
              </w:rPr>
            </w:pPr>
            <w:r>
              <w:rPr>
                <w:sz w:val="20"/>
              </w:rPr>
              <w:t>2010-2016</w:t>
            </w:r>
          </w:p>
        </w:tc>
        <w:tc>
          <w:tcPr>
            <w:tcW w:w="3818" w:type="dxa"/>
          </w:tcPr>
          <w:p>
            <w:pPr>
              <w:pStyle w:val="TableParagraph"/>
              <w:spacing w:line="228" w:lineRule="exact"/>
              <w:ind w:left="1"/>
              <w:jc w:val="center"/>
              <w:rPr>
                <w:sz w:val="20"/>
              </w:rPr>
            </w:pPr>
            <w:r>
              <w:rPr>
                <w:sz w:val="20"/>
              </w:rPr>
              <w:t>新建万吨级蒸馏塔，反应塔，汽提塔，回</w:t>
            </w:r>
          </w:p>
          <w:p>
            <w:pPr>
              <w:pStyle w:val="TableParagraph"/>
              <w:spacing w:line="237" w:lineRule="auto" w:before="1"/>
              <w:ind w:left="102" w:right="1"/>
              <w:jc w:val="center"/>
              <w:rPr>
                <w:sz w:val="20"/>
              </w:rPr>
            </w:pPr>
            <w:r>
              <w:rPr>
                <w:spacing w:val="-11"/>
                <w:sz w:val="20"/>
              </w:rPr>
              <w:t>收系统，配套罐群及水、电、厂房、库房， 办公、实验、检测等建筑。主要建筑物面</w:t>
            </w:r>
            <w:r>
              <w:rPr>
                <w:spacing w:val="-32"/>
                <w:sz w:val="20"/>
              </w:rPr>
              <w:t>积 </w:t>
            </w:r>
            <w:r>
              <w:rPr>
                <w:sz w:val="20"/>
              </w:rPr>
              <w:t>12000</w:t>
            </w:r>
            <w:r>
              <w:rPr>
                <w:spacing w:val="-14"/>
                <w:sz w:val="20"/>
              </w:rPr>
              <w:t> 平方米</w:t>
            </w:r>
          </w:p>
        </w:tc>
        <w:tc>
          <w:tcPr>
            <w:tcW w:w="977" w:type="dxa"/>
          </w:tcPr>
          <w:p>
            <w:pPr>
              <w:pStyle w:val="TableParagraph"/>
              <w:spacing w:before="3"/>
              <w:rPr>
                <w:rFonts w:ascii="黑体"/>
                <w:sz w:val="27"/>
              </w:rPr>
            </w:pPr>
          </w:p>
          <w:p>
            <w:pPr>
              <w:pStyle w:val="TableParagraph"/>
              <w:ind w:left="162" w:right="162"/>
              <w:jc w:val="center"/>
              <w:rPr>
                <w:sz w:val="20"/>
              </w:rPr>
            </w:pPr>
            <w:r>
              <w:rPr>
                <w:sz w:val="20"/>
              </w:rPr>
              <w:t>7500</w:t>
            </w:r>
          </w:p>
        </w:tc>
        <w:tc>
          <w:tcPr>
            <w:tcW w:w="1080" w:type="dxa"/>
          </w:tcPr>
          <w:p>
            <w:pPr>
              <w:pStyle w:val="TableParagraph"/>
              <w:spacing w:before="3"/>
              <w:rPr>
                <w:rFonts w:ascii="黑体"/>
                <w:sz w:val="27"/>
              </w:rPr>
            </w:pPr>
          </w:p>
          <w:p>
            <w:pPr>
              <w:pStyle w:val="TableParagraph"/>
              <w:ind w:left="114" w:right="114"/>
              <w:jc w:val="center"/>
              <w:rPr>
                <w:sz w:val="20"/>
              </w:rPr>
            </w:pPr>
            <w:r>
              <w:rPr>
                <w:sz w:val="20"/>
              </w:rPr>
              <w:t>银邦硅业</w:t>
            </w:r>
          </w:p>
        </w:tc>
      </w:tr>
      <w:tr>
        <w:trPr>
          <w:trHeight w:val="700" w:hRule="atLeast"/>
        </w:trPr>
        <w:tc>
          <w:tcPr>
            <w:tcW w:w="481" w:type="dxa"/>
          </w:tcPr>
          <w:p>
            <w:pPr>
              <w:pStyle w:val="TableParagraph"/>
              <w:spacing w:before="1"/>
              <w:rPr>
                <w:rFonts w:ascii="黑体"/>
                <w:sz w:val="15"/>
              </w:rPr>
            </w:pPr>
          </w:p>
          <w:p>
            <w:pPr>
              <w:pStyle w:val="TableParagraph"/>
              <w:spacing w:before="1"/>
              <w:ind w:left="134"/>
              <w:rPr>
                <w:sz w:val="20"/>
              </w:rPr>
            </w:pPr>
            <w:r>
              <w:rPr>
                <w:sz w:val="20"/>
              </w:rPr>
              <w:t>31</w:t>
            </w:r>
          </w:p>
        </w:tc>
        <w:tc>
          <w:tcPr>
            <w:tcW w:w="2267" w:type="dxa"/>
          </w:tcPr>
          <w:p>
            <w:pPr>
              <w:pStyle w:val="TableParagraph"/>
              <w:spacing w:line="237" w:lineRule="auto" w:before="71"/>
              <w:ind w:left="527" w:right="34" w:hanging="425"/>
              <w:rPr>
                <w:sz w:val="20"/>
              </w:rPr>
            </w:pPr>
            <w:r>
              <w:rPr>
                <w:sz w:val="20"/>
              </w:rPr>
              <w:t>华发年产15 万套电动车电机驱动系统</w:t>
            </w:r>
          </w:p>
        </w:tc>
        <w:tc>
          <w:tcPr>
            <w:tcW w:w="1116" w:type="dxa"/>
          </w:tcPr>
          <w:p>
            <w:pPr>
              <w:pStyle w:val="TableParagraph"/>
              <w:spacing w:before="1"/>
              <w:rPr>
                <w:rFonts w:ascii="黑体"/>
                <w:sz w:val="15"/>
              </w:rPr>
            </w:pPr>
          </w:p>
          <w:p>
            <w:pPr>
              <w:pStyle w:val="TableParagraph"/>
              <w:spacing w:before="1"/>
              <w:ind w:left="103"/>
              <w:rPr>
                <w:sz w:val="20"/>
              </w:rPr>
            </w:pPr>
            <w:r>
              <w:rPr>
                <w:sz w:val="20"/>
              </w:rPr>
              <w:t>2013-2016</w:t>
            </w:r>
          </w:p>
        </w:tc>
        <w:tc>
          <w:tcPr>
            <w:tcW w:w="3818" w:type="dxa"/>
          </w:tcPr>
          <w:p>
            <w:pPr>
              <w:pStyle w:val="TableParagraph"/>
              <w:spacing w:line="260" w:lineRule="exact" w:before="68"/>
              <w:ind w:left="1"/>
              <w:jc w:val="center"/>
              <w:rPr>
                <w:sz w:val="20"/>
              </w:rPr>
            </w:pPr>
            <w:r>
              <w:rPr>
                <w:sz w:val="20"/>
              </w:rPr>
              <w:t>占地 450 亩，新增生产设备，总建筑面积</w:t>
            </w:r>
          </w:p>
          <w:p>
            <w:pPr>
              <w:pStyle w:val="TableParagraph"/>
              <w:spacing w:line="260" w:lineRule="exact"/>
              <w:ind w:right="1"/>
              <w:jc w:val="center"/>
              <w:rPr>
                <w:sz w:val="20"/>
              </w:rPr>
            </w:pPr>
            <w:r>
              <w:rPr>
                <w:sz w:val="20"/>
              </w:rPr>
              <w:t>103544.2 平方米</w:t>
            </w:r>
          </w:p>
        </w:tc>
        <w:tc>
          <w:tcPr>
            <w:tcW w:w="977" w:type="dxa"/>
          </w:tcPr>
          <w:p>
            <w:pPr>
              <w:pStyle w:val="TableParagraph"/>
              <w:spacing w:before="1"/>
              <w:rPr>
                <w:rFonts w:ascii="黑体"/>
                <w:sz w:val="15"/>
              </w:rPr>
            </w:pPr>
          </w:p>
          <w:p>
            <w:pPr>
              <w:pStyle w:val="TableParagraph"/>
              <w:spacing w:before="1"/>
              <w:ind w:left="162" w:right="162"/>
              <w:jc w:val="center"/>
              <w:rPr>
                <w:sz w:val="20"/>
              </w:rPr>
            </w:pPr>
            <w:r>
              <w:rPr>
                <w:sz w:val="20"/>
              </w:rPr>
              <w:t>30000</w:t>
            </w:r>
          </w:p>
        </w:tc>
        <w:tc>
          <w:tcPr>
            <w:tcW w:w="1080" w:type="dxa"/>
          </w:tcPr>
          <w:p>
            <w:pPr>
              <w:pStyle w:val="TableParagraph"/>
              <w:spacing w:before="1"/>
              <w:rPr>
                <w:rFonts w:ascii="黑体"/>
                <w:sz w:val="15"/>
              </w:rPr>
            </w:pPr>
          </w:p>
          <w:p>
            <w:pPr>
              <w:pStyle w:val="TableParagraph"/>
              <w:spacing w:before="1"/>
              <w:ind w:left="114" w:right="114"/>
              <w:jc w:val="center"/>
              <w:rPr>
                <w:sz w:val="20"/>
              </w:rPr>
            </w:pPr>
            <w:r>
              <w:rPr>
                <w:sz w:val="20"/>
              </w:rPr>
              <w:t>华发科技</w:t>
            </w:r>
          </w:p>
        </w:tc>
      </w:tr>
      <w:tr>
        <w:trPr>
          <w:trHeight w:val="720" w:hRule="atLeast"/>
        </w:trPr>
        <w:tc>
          <w:tcPr>
            <w:tcW w:w="481" w:type="dxa"/>
          </w:tcPr>
          <w:p>
            <w:pPr>
              <w:pStyle w:val="TableParagraph"/>
              <w:spacing w:before="1"/>
              <w:rPr>
                <w:rFonts w:ascii="黑体"/>
                <w:sz w:val="15"/>
              </w:rPr>
            </w:pPr>
          </w:p>
          <w:p>
            <w:pPr>
              <w:pStyle w:val="TableParagraph"/>
              <w:spacing w:before="1"/>
              <w:ind w:left="134"/>
              <w:rPr>
                <w:sz w:val="20"/>
              </w:rPr>
            </w:pPr>
            <w:r>
              <w:rPr>
                <w:sz w:val="20"/>
              </w:rPr>
              <w:t>32</w:t>
            </w:r>
          </w:p>
        </w:tc>
        <w:tc>
          <w:tcPr>
            <w:tcW w:w="2267" w:type="dxa"/>
          </w:tcPr>
          <w:p>
            <w:pPr>
              <w:pStyle w:val="TableParagraph"/>
              <w:spacing w:line="237" w:lineRule="auto" w:before="71"/>
              <w:ind w:left="428" w:right="34" w:hanging="326"/>
              <w:rPr>
                <w:sz w:val="20"/>
              </w:rPr>
            </w:pPr>
            <w:r>
              <w:rPr>
                <w:sz w:val="20"/>
              </w:rPr>
              <w:t>华发年产5000 台场地专用机动车辆项目</w:t>
            </w:r>
          </w:p>
        </w:tc>
        <w:tc>
          <w:tcPr>
            <w:tcW w:w="1116" w:type="dxa"/>
          </w:tcPr>
          <w:p>
            <w:pPr>
              <w:pStyle w:val="TableParagraph"/>
              <w:spacing w:before="1"/>
              <w:rPr>
                <w:rFonts w:ascii="黑体"/>
                <w:sz w:val="15"/>
              </w:rPr>
            </w:pPr>
          </w:p>
          <w:p>
            <w:pPr>
              <w:pStyle w:val="TableParagraph"/>
              <w:spacing w:before="1"/>
              <w:ind w:left="103"/>
              <w:rPr>
                <w:sz w:val="20"/>
              </w:rPr>
            </w:pPr>
            <w:r>
              <w:rPr>
                <w:sz w:val="20"/>
              </w:rPr>
              <w:t>2014-2016</w:t>
            </w:r>
          </w:p>
        </w:tc>
        <w:tc>
          <w:tcPr>
            <w:tcW w:w="3818" w:type="dxa"/>
          </w:tcPr>
          <w:p>
            <w:pPr>
              <w:pStyle w:val="TableParagraph"/>
              <w:spacing w:line="260" w:lineRule="exact" w:before="68"/>
              <w:jc w:val="center"/>
              <w:rPr>
                <w:sz w:val="20"/>
              </w:rPr>
            </w:pPr>
            <w:r>
              <w:rPr>
                <w:sz w:val="20"/>
              </w:rPr>
              <w:t>新增厂房等建筑面积 7640 平方米四轮定</w:t>
            </w:r>
          </w:p>
          <w:p>
            <w:pPr>
              <w:pStyle w:val="TableParagraph"/>
              <w:spacing w:line="260" w:lineRule="exact"/>
              <w:jc w:val="center"/>
              <w:rPr>
                <w:sz w:val="20"/>
              </w:rPr>
            </w:pPr>
            <w:r>
              <w:rPr>
                <w:sz w:val="20"/>
              </w:rPr>
              <w:t>位仪等主要设备 48 台（套）</w:t>
            </w:r>
          </w:p>
        </w:tc>
        <w:tc>
          <w:tcPr>
            <w:tcW w:w="977" w:type="dxa"/>
          </w:tcPr>
          <w:p>
            <w:pPr>
              <w:pStyle w:val="TableParagraph"/>
              <w:spacing w:before="1"/>
              <w:rPr>
                <w:rFonts w:ascii="黑体"/>
                <w:sz w:val="15"/>
              </w:rPr>
            </w:pPr>
          </w:p>
          <w:p>
            <w:pPr>
              <w:pStyle w:val="TableParagraph"/>
              <w:spacing w:before="1"/>
              <w:ind w:left="162" w:right="162"/>
              <w:jc w:val="center"/>
              <w:rPr>
                <w:sz w:val="20"/>
              </w:rPr>
            </w:pPr>
            <w:r>
              <w:rPr>
                <w:sz w:val="20"/>
              </w:rPr>
              <w:t>7500</w:t>
            </w:r>
          </w:p>
        </w:tc>
        <w:tc>
          <w:tcPr>
            <w:tcW w:w="1080" w:type="dxa"/>
          </w:tcPr>
          <w:p>
            <w:pPr>
              <w:pStyle w:val="TableParagraph"/>
              <w:spacing w:before="1"/>
              <w:rPr>
                <w:rFonts w:ascii="黑体"/>
                <w:sz w:val="15"/>
              </w:rPr>
            </w:pPr>
          </w:p>
          <w:p>
            <w:pPr>
              <w:pStyle w:val="TableParagraph"/>
              <w:spacing w:before="1"/>
              <w:ind w:left="114" w:right="114"/>
              <w:jc w:val="center"/>
              <w:rPr>
                <w:sz w:val="20"/>
              </w:rPr>
            </w:pPr>
            <w:r>
              <w:rPr>
                <w:sz w:val="20"/>
              </w:rPr>
              <w:t>华发科技</w:t>
            </w:r>
          </w:p>
        </w:tc>
      </w:tr>
      <w:tr>
        <w:trPr>
          <w:trHeight w:val="1020" w:hRule="atLeast"/>
        </w:trPr>
        <w:tc>
          <w:tcPr>
            <w:tcW w:w="481" w:type="dxa"/>
          </w:tcPr>
          <w:p>
            <w:pPr>
              <w:pStyle w:val="TableParagraph"/>
              <w:spacing w:before="3"/>
              <w:rPr>
                <w:rFonts w:ascii="黑体"/>
                <w:sz w:val="27"/>
              </w:rPr>
            </w:pPr>
          </w:p>
          <w:p>
            <w:pPr>
              <w:pStyle w:val="TableParagraph"/>
              <w:ind w:left="134"/>
              <w:rPr>
                <w:sz w:val="20"/>
              </w:rPr>
            </w:pPr>
            <w:r>
              <w:rPr>
                <w:sz w:val="20"/>
              </w:rPr>
              <w:t>33</w:t>
            </w:r>
          </w:p>
        </w:tc>
        <w:tc>
          <w:tcPr>
            <w:tcW w:w="2267" w:type="dxa"/>
          </w:tcPr>
          <w:p>
            <w:pPr>
              <w:pStyle w:val="TableParagraph"/>
              <w:spacing w:before="7"/>
              <w:rPr>
                <w:rFonts w:ascii="黑体"/>
                <w:sz w:val="17"/>
              </w:rPr>
            </w:pPr>
          </w:p>
          <w:p>
            <w:pPr>
              <w:pStyle w:val="TableParagraph"/>
              <w:spacing w:line="237" w:lineRule="auto"/>
              <w:ind w:left="827" w:right="109" w:hanging="700"/>
              <w:rPr>
                <w:sz w:val="20"/>
              </w:rPr>
            </w:pPr>
            <w:r>
              <w:rPr>
                <w:sz w:val="20"/>
              </w:rPr>
              <w:t>华发新能源客车整车生产项目</w:t>
            </w:r>
          </w:p>
        </w:tc>
        <w:tc>
          <w:tcPr>
            <w:tcW w:w="1116" w:type="dxa"/>
          </w:tcPr>
          <w:p>
            <w:pPr>
              <w:pStyle w:val="TableParagraph"/>
              <w:spacing w:before="3"/>
              <w:rPr>
                <w:rFonts w:ascii="黑体"/>
                <w:sz w:val="27"/>
              </w:rPr>
            </w:pPr>
          </w:p>
          <w:p>
            <w:pPr>
              <w:pStyle w:val="TableParagraph"/>
              <w:ind w:left="103"/>
              <w:rPr>
                <w:sz w:val="20"/>
              </w:rPr>
            </w:pPr>
            <w:r>
              <w:rPr>
                <w:sz w:val="20"/>
              </w:rPr>
              <w:t>2016-2020</w:t>
            </w:r>
          </w:p>
        </w:tc>
        <w:tc>
          <w:tcPr>
            <w:tcW w:w="3818" w:type="dxa"/>
          </w:tcPr>
          <w:p>
            <w:pPr>
              <w:pStyle w:val="TableParagraph"/>
              <w:spacing w:line="228" w:lineRule="exact"/>
              <w:ind w:left="104"/>
              <w:rPr>
                <w:sz w:val="20"/>
              </w:rPr>
            </w:pPr>
            <w:r>
              <w:rPr>
                <w:sz w:val="20"/>
              </w:rPr>
              <w:t>分期建设新能源客车整车生产基地，工程</w:t>
            </w:r>
          </w:p>
          <w:p>
            <w:pPr>
              <w:pStyle w:val="TableParagraph"/>
              <w:spacing w:line="259" w:lineRule="exact"/>
              <w:ind w:left="104"/>
              <w:rPr>
                <w:sz w:val="20"/>
              </w:rPr>
            </w:pPr>
            <w:r>
              <w:rPr>
                <w:sz w:val="20"/>
              </w:rPr>
              <w:t>建成后将形成年产大中型客车 0.8 万辆、</w:t>
            </w:r>
          </w:p>
          <w:p>
            <w:pPr>
              <w:pStyle w:val="TableParagraph"/>
              <w:spacing w:line="237" w:lineRule="auto" w:before="1"/>
              <w:ind w:left="1503" w:hanging="1400"/>
              <w:rPr>
                <w:sz w:val="20"/>
              </w:rPr>
            </w:pPr>
            <w:r>
              <w:rPr>
                <w:spacing w:val="-11"/>
                <w:sz w:val="20"/>
              </w:rPr>
              <w:t>轻型客车 </w:t>
            </w:r>
            <w:r>
              <w:rPr>
                <w:sz w:val="20"/>
              </w:rPr>
              <w:t>5</w:t>
            </w:r>
            <w:r>
              <w:rPr>
                <w:spacing w:val="-12"/>
                <w:sz w:val="20"/>
              </w:rPr>
              <w:t> 万辆、各种专用汽车 </w:t>
            </w:r>
            <w:r>
              <w:rPr>
                <w:sz w:val="20"/>
              </w:rPr>
              <w:t>1</w:t>
            </w:r>
            <w:r>
              <w:rPr>
                <w:spacing w:val="-13"/>
                <w:sz w:val="20"/>
              </w:rPr>
              <w:t> 万辆的生产能力</w:t>
            </w:r>
          </w:p>
        </w:tc>
        <w:tc>
          <w:tcPr>
            <w:tcW w:w="977" w:type="dxa"/>
          </w:tcPr>
          <w:p>
            <w:pPr>
              <w:pStyle w:val="TableParagraph"/>
              <w:spacing w:before="3"/>
              <w:rPr>
                <w:rFonts w:ascii="黑体"/>
                <w:sz w:val="27"/>
              </w:rPr>
            </w:pPr>
          </w:p>
          <w:p>
            <w:pPr>
              <w:pStyle w:val="TableParagraph"/>
              <w:ind w:left="162" w:right="163"/>
              <w:jc w:val="center"/>
              <w:rPr>
                <w:sz w:val="20"/>
              </w:rPr>
            </w:pPr>
            <w:r>
              <w:rPr>
                <w:sz w:val="20"/>
              </w:rPr>
              <w:t>300000</w:t>
            </w:r>
          </w:p>
        </w:tc>
        <w:tc>
          <w:tcPr>
            <w:tcW w:w="1080" w:type="dxa"/>
          </w:tcPr>
          <w:p>
            <w:pPr>
              <w:pStyle w:val="TableParagraph"/>
              <w:spacing w:before="3"/>
              <w:rPr>
                <w:rFonts w:ascii="黑体"/>
                <w:sz w:val="27"/>
              </w:rPr>
            </w:pPr>
          </w:p>
          <w:p>
            <w:pPr>
              <w:pStyle w:val="TableParagraph"/>
              <w:ind w:left="114" w:right="114"/>
              <w:jc w:val="center"/>
              <w:rPr>
                <w:sz w:val="20"/>
              </w:rPr>
            </w:pPr>
            <w:r>
              <w:rPr>
                <w:sz w:val="20"/>
              </w:rPr>
              <w:t>华发科技</w:t>
            </w:r>
          </w:p>
        </w:tc>
      </w:tr>
      <w:tr>
        <w:trPr>
          <w:trHeight w:val="700" w:hRule="atLeast"/>
        </w:trPr>
        <w:tc>
          <w:tcPr>
            <w:tcW w:w="481" w:type="dxa"/>
          </w:tcPr>
          <w:p>
            <w:pPr>
              <w:pStyle w:val="TableParagraph"/>
              <w:spacing w:before="1"/>
              <w:rPr>
                <w:rFonts w:ascii="黑体"/>
                <w:sz w:val="15"/>
              </w:rPr>
            </w:pPr>
          </w:p>
          <w:p>
            <w:pPr>
              <w:pStyle w:val="TableParagraph"/>
              <w:spacing w:before="1"/>
              <w:ind w:left="134"/>
              <w:rPr>
                <w:sz w:val="20"/>
              </w:rPr>
            </w:pPr>
            <w:r>
              <w:rPr>
                <w:sz w:val="20"/>
              </w:rPr>
              <w:t>34</w:t>
            </w:r>
          </w:p>
        </w:tc>
        <w:tc>
          <w:tcPr>
            <w:tcW w:w="2267" w:type="dxa"/>
          </w:tcPr>
          <w:p>
            <w:pPr>
              <w:pStyle w:val="TableParagraph"/>
              <w:spacing w:line="237" w:lineRule="auto" w:before="71"/>
              <w:ind w:left="827" w:right="34" w:hanging="725"/>
              <w:rPr>
                <w:sz w:val="20"/>
              </w:rPr>
            </w:pPr>
            <w:r>
              <w:rPr>
                <w:sz w:val="20"/>
              </w:rPr>
              <w:t>1200 辆大中型及轻型客车项目</w:t>
            </w:r>
          </w:p>
        </w:tc>
        <w:tc>
          <w:tcPr>
            <w:tcW w:w="1116" w:type="dxa"/>
          </w:tcPr>
          <w:p>
            <w:pPr>
              <w:pStyle w:val="TableParagraph"/>
              <w:spacing w:before="1"/>
              <w:rPr>
                <w:rFonts w:ascii="黑体"/>
                <w:sz w:val="15"/>
              </w:rPr>
            </w:pPr>
          </w:p>
          <w:p>
            <w:pPr>
              <w:pStyle w:val="TableParagraph"/>
              <w:spacing w:before="1"/>
              <w:ind w:left="103"/>
              <w:rPr>
                <w:sz w:val="20"/>
              </w:rPr>
            </w:pPr>
            <w:r>
              <w:rPr>
                <w:sz w:val="20"/>
              </w:rPr>
              <w:t>2016-2020</w:t>
            </w:r>
          </w:p>
        </w:tc>
        <w:tc>
          <w:tcPr>
            <w:tcW w:w="3818" w:type="dxa"/>
          </w:tcPr>
          <w:p>
            <w:pPr>
              <w:pStyle w:val="TableParagraph"/>
              <w:spacing w:line="260" w:lineRule="exact" w:before="68"/>
              <w:ind w:left="104"/>
              <w:rPr>
                <w:sz w:val="20"/>
              </w:rPr>
            </w:pPr>
            <w:r>
              <w:rPr>
                <w:sz w:val="20"/>
              </w:rPr>
              <w:t>占地面积 56978.3 平方米，新建生产厂房</w:t>
            </w:r>
          </w:p>
          <w:p>
            <w:pPr>
              <w:pStyle w:val="TableParagraph"/>
              <w:spacing w:line="260" w:lineRule="exact"/>
              <w:ind w:left="102"/>
              <w:rPr>
                <w:sz w:val="20"/>
              </w:rPr>
            </w:pPr>
            <w:r>
              <w:rPr>
                <w:spacing w:val="-15"/>
                <w:sz w:val="20"/>
              </w:rPr>
              <w:t>及配套设施，总建筑面积 </w:t>
            </w:r>
            <w:r>
              <w:rPr>
                <w:sz w:val="20"/>
              </w:rPr>
              <w:t>27478.05</w:t>
            </w:r>
            <w:r>
              <w:rPr>
                <w:spacing w:val="-15"/>
                <w:sz w:val="20"/>
              </w:rPr>
              <w:t> 平方米</w:t>
            </w:r>
          </w:p>
        </w:tc>
        <w:tc>
          <w:tcPr>
            <w:tcW w:w="977" w:type="dxa"/>
          </w:tcPr>
          <w:p>
            <w:pPr>
              <w:pStyle w:val="TableParagraph"/>
              <w:spacing w:before="1"/>
              <w:rPr>
                <w:rFonts w:ascii="黑体"/>
                <w:sz w:val="15"/>
              </w:rPr>
            </w:pPr>
          </w:p>
          <w:p>
            <w:pPr>
              <w:pStyle w:val="TableParagraph"/>
              <w:spacing w:before="1"/>
              <w:ind w:left="162" w:right="162"/>
              <w:jc w:val="center"/>
              <w:rPr>
                <w:sz w:val="20"/>
              </w:rPr>
            </w:pPr>
            <w:r>
              <w:rPr>
                <w:sz w:val="20"/>
              </w:rPr>
              <w:t>7600</w:t>
            </w:r>
          </w:p>
        </w:tc>
        <w:tc>
          <w:tcPr>
            <w:tcW w:w="1080" w:type="dxa"/>
          </w:tcPr>
          <w:p>
            <w:pPr>
              <w:pStyle w:val="TableParagraph"/>
              <w:spacing w:before="1"/>
              <w:rPr>
                <w:rFonts w:ascii="黑体"/>
                <w:sz w:val="15"/>
              </w:rPr>
            </w:pPr>
          </w:p>
          <w:p>
            <w:pPr>
              <w:pStyle w:val="TableParagraph"/>
              <w:spacing w:before="1"/>
              <w:ind w:left="114" w:right="114"/>
              <w:jc w:val="center"/>
              <w:rPr>
                <w:sz w:val="20"/>
              </w:rPr>
            </w:pPr>
            <w:r>
              <w:rPr>
                <w:sz w:val="20"/>
              </w:rPr>
              <w:t>华发科技</w:t>
            </w:r>
          </w:p>
        </w:tc>
      </w:tr>
      <w:tr>
        <w:trPr>
          <w:trHeight w:val="1540" w:hRule="atLeast"/>
        </w:trPr>
        <w:tc>
          <w:tcPr>
            <w:tcW w:w="481" w:type="dxa"/>
          </w:tcPr>
          <w:p>
            <w:pPr>
              <w:pStyle w:val="TableParagraph"/>
              <w:rPr>
                <w:rFonts w:ascii="黑体"/>
                <w:sz w:val="20"/>
              </w:rPr>
            </w:pPr>
          </w:p>
          <w:p>
            <w:pPr>
              <w:pStyle w:val="TableParagraph"/>
              <w:rPr>
                <w:rFonts w:ascii="黑体"/>
                <w:sz w:val="27"/>
              </w:rPr>
            </w:pPr>
          </w:p>
          <w:p>
            <w:pPr>
              <w:pStyle w:val="TableParagraph"/>
              <w:ind w:left="134"/>
              <w:rPr>
                <w:sz w:val="20"/>
              </w:rPr>
            </w:pPr>
            <w:r>
              <w:rPr>
                <w:sz w:val="20"/>
              </w:rPr>
              <w:t>35</w:t>
            </w:r>
          </w:p>
        </w:tc>
        <w:tc>
          <w:tcPr>
            <w:tcW w:w="2267" w:type="dxa"/>
          </w:tcPr>
          <w:p>
            <w:pPr>
              <w:pStyle w:val="TableParagraph"/>
              <w:rPr>
                <w:rFonts w:ascii="黑体"/>
                <w:sz w:val="20"/>
              </w:rPr>
            </w:pPr>
          </w:p>
          <w:p>
            <w:pPr>
              <w:pStyle w:val="TableParagraph"/>
              <w:spacing w:before="4"/>
              <w:rPr>
                <w:rFonts w:ascii="黑体"/>
                <w:sz w:val="17"/>
              </w:rPr>
            </w:pPr>
          </w:p>
          <w:p>
            <w:pPr>
              <w:pStyle w:val="TableParagraph"/>
              <w:spacing w:line="237" w:lineRule="auto"/>
              <w:ind w:left="428" w:right="34" w:hanging="326"/>
              <w:rPr>
                <w:sz w:val="20"/>
              </w:rPr>
            </w:pPr>
            <w:r>
              <w:rPr>
                <w:sz w:val="20"/>
              </w:rPr>
              <w:t>年产6000 吨纳米级超细抛光粉技改项目</w:t>
            </w:r>
          </w:p>
        </w:tc>
        <w:tc>
          <w:tcPr>
            <w:tcW w:w="1116" w:type="dxa"/>
          </w:tcPr>
          <w:p>
            <w:pPr>
              <w:pStyle w:val="TableParagraph"/>
              <w:rPr>
                <w:rFonts w:ascii="黑体"/>
                <w:sz w:val="20"/>
              </w:rPr>
            </w:pPr>
          </w:p>
          <w:p>
            <w:pPr>
              <w:pStyle w:val="TableParagraph"/>
              <w:rPr>
                <w:rFonts w:ascii="黑体"/>
                <w:sz w:val="27"/>
              </w:rPr>
            </w:pPr>
          </w:p>
          <w:p>
            <w:pPr>
              <w:pStyle w:val="TableParagraph"/>
              <w:ind w:left="103"/>
              <w:rPr>
                <w:sz w:val="20"/>
              </w:rPr>
            </w:pPr>
            <w:r>
              <w:rPr>
                <w:sz w:val="20"/>
              </w:rPr>
              <w:t>2016-2017</w:t>
            </w:r>
          </w:p>
        </w:tc>
        <w:tc>
          <w:tcPr>
            <w:tcW w:w="3818" w:type="dxa"/>
          </w:tcPr>
          <w:p>
            <w:pPr>
              <w:pStyle w:val="TableParagraph"/>
              <w:spacing w:line="228" w:lineRule="exact"/>
              <w:jc w:val="center"/>
              <w:rPr>
                <w:sz w:val="20"/>
              </w:rPr>
            </w:pPr>
            <w:r>
              <w:rPr>
                <w:sz w:val="20"/>
              </w:rPr>
              <w:t>对原有抛光粉生产线进行产业链配套技</w:t>
            </w:r>
          </w:p>
          <w:p>
            <w:pPr>
              <w:pStyle w:val="TableParagraph"/>
              <w:spacing w:line="259" w:lineRule="exact"/>
              <w:jc w:val="center"/>
              <w:rPr>
                <w:sz w:val="20"/>
              </w:rPr>
            </w:pPr>
            <w:r>
              <w:rPr>
                <w:sz w:val="20"/>
              </w:rPr>
              <w:t>改，新增土地 34.7 亩，新建厂房及配套设</w:t>
            </w:r>
          </w:p>
          <w:p>
            <w:pPr>
              <w:pStyle w:val="TableParagraph"/>
              <w:spacing w:line="259" w:lineRule="exact"/>
              <w:ind w:left="101" w:right="4"/>
              <w:jc w:val="center"/>
              <w:rPr>
                <w:sz w:val="20"/>
              </w:rPr>
            </w:pPr>
            <w:r>
              <w:rPr>
                <w:spacing w:val="-27"/>
                <w:sz w:val="20"/>
              </w:rPr>
              <w:t>施 </w:t>
            </w:r>
            <w:r>
              <w:rPr>
                <w:sz w:val="20"/>
              </w:rPr>
              <w:t>19590</w:t>
            </w:r>
            <w:r>
              <w:rPr>
                <w:spacing w:val="-13"/>
                <w:sz w:val="20"/>
              </w:rPr>
              <w:t> 平方米，改建厂房 </w:t>
            </w:r>
            <w:r>
              <w:rPr>
                <w:sz w:val="20"/>
              </w:rPr>
              <w:t>8000</w:t>
            </w:r>
            <w:r>
              <w:rPr>
                <w:spacing w:val="-12"/>
                <w:sz w:val="20"/>
              </w:rPr>
              <w:t> 平方米，</w:t>
            </w:r>
          </w:p>
          <w:p>
            <w:pPr>
              <w:pStyle w:val="TableParagraph"/>
              <w:spacing w:line="259" w:lineRule="exact"/>
              <w:ind w:left="153"/>
              <w:rPr>
                <w:sz w:val="20"/>
              </w:rPr>
            </w:pPr>
            <w:r>
              <w:rPr>
                <w:sz w:val="20"/>
              </w:rPr>
              <w:t>新购置气流粉碎机等主要生产设备 30 余</w:t>
            </w:r>
          </w:p>
          <w:p>
            <w:pPr>
              <w:pStyle w:val="TableParagraph"/>
              <w:ind w:left="101" w:right="101"/>
              <w:jc w:val="center"/>
              <w:rPr>
                <w:sz w:val="20"/>
              </w:rPr>
            </w:pPr>
            <w:r>
              <w:rPr>
                <w:spacing w:val="-6"/>
                <w:sz w:val="20"/>
              </w:rPr>
              <w:t>台套，建成一条年产 </w:t>
            </w:r>
            <w:r>
              <w:rPr>
                <w:sz w:val="20"/>
              </w:rPr>
              <w:t>6000</w:t>
            </w:r>
            <w:r>
              <w:rPr>
                <w:spacing w:val="-29"/>
                <w:sz w:val="20"/>
              </w:rPr>
              <w:t> 吨</w:t>
            </w:r>
            <w:r>
              <w:rPr>
                <w:sz w:val="20"/>
              </w:rPr>
              <w:t>/年高档纳米</w:t>
            </w:r>
            <w:r>
              <w:rPr>
                <w:spacing w:val="-1"/>
                <w:sz w:val="20"/>
              </w:rPr>
              <w:t>级超细抛光粉生产线。</w:t>
            </w:r>
          </w:p>
        </w:tc>
        <w:tc>
          <w:tcPr>
            <w:tcW w:w="977" w:type="dxa"/>
          </w:tcPr>
          <w:p>
            <w:pPr>
              <w:pStyle w:val="TableParagraph"/>
              <w:rPr>
                <w:rFonts w:ascii="黑体"/>
                <w:sz w:val="20"/>
              </w:rPr>
            </w:pPr>
          </w:p>
          <w:p>
            <w:pPr>
              <w:pStyle w:val="TableParagraph"/>
              <w:rPr>
                <w:rFonts w:ascii="黑体"/>
                <w:sz w:val="27"/>
              </w:rPr>
            </w:pPr>
          </w:p>
          <w:p>
            <w:pPr>
              <w:pStyle w:val="TableParagraph"/>
              <w:ind w:left="162" w:right="162"/>
              <w:jc w:val="center"/>
              <w:rPr>
                <w:sz w:val="20"/>
              </w:rPr>
            </w:pPr>
            <w:r>
              <w:rPr>
                <w:sz w:val="20"/>
              </w:rPr>
              <w:t>9700</w:t>
            </w:r>
          </w:p>
        </w:tc>
        <w:tc>
          <w:tcPr>
            <w:tcW w:w="1080" w:type="dxa"/>
          </w:tcPr>
          <w:p>
            <w:pPr>
              <w:pStyle w:val="TableParagraph"/>
              <w:rPr>
                <w:rFonts w:ascii="黑体"/>
                <w:sz w:val="20"/>
              </w:rPr>
            </w:pPr>
          </w:p>
          <w:p>
            <w:pPr>
              <w:pStyle w:val="TableParagraph"/>
              <w:rPr>
                <w:rFonts w:ascii="黑体"/>
                <w:sz w:val="27"/>
              </w:rPr>
            </w:pPr>
          </w:p>
          <w:p>
            <w:pPr>
              <w:pStyle w:val="TableParagraph"/>
              <w:ind w:left="114" w:right="114"/>
              <w:jc w:val="center"/>
              <w:rPr>
                <w:sz w:val="20"/>
              </w:rPr>
            </w:pPr>
            <w:r>
              <w:rPr>
                <w:sz w:val="20"/>
              </w:rPr>
              <w:t>锐丰</w:t>
            </w:r>
          </w:p>
        </w:tc>
      </w:tr>
      <w:tr>
        <w:trPr>
          <w:trHeight w:val="700" w:hRule="atLeast"/>
        </w:trPr>
        <w:tc>
          <w:tcPr>
            <w:tcW w:w="481" w:type="dxa"/>
          </w:tcPr>
          <w:p>
            <w:pPr>
              <w:pStyle w:val="TableParagraph"/>
              <w:spacing w:before="1"/>
              <w:rPr>
                <w:rFonts w:ascii="黑体"/>
                <w:sz w:val="15"/>
              </w:rPr>
            </w:pPr>
          </w:p>
          <w:p>
            <w:pPr>
              <w:pStyle w:val="TableParagraph"/>
              <w:spacing w:before="1"/>
              <w:ind w:left="134"/>
              <w:rPr>
                <w:sz w:val="20"/>
              </w:rPr>
            </w:pPr>
            <w:r>
              <w:rPr>
                <w:sz w:val="20"/>
              </w:rPr>
              <w:t>36</w:t>
            </w:r>
          </w:p>
        </w:tc>
        <w:tc>
          <w:tcPr>
            <w:tcW w:w="2267" w:type="dxa"/>
          </w:tcPr>
          <w:p>
            <w:pPr>
              <w:pStyle w:val="TableParagraph"/>
              <w:spacing w:before="1"/>
              <w:rPr>
                <w:rFonts w:ascii="黑体"/>
                <w:sz w:val="15"/>
              </w:rPr>
            </w:pPr>
          </w:p>
          <w:p>
            <w:pPr>
              <w:pStyle w:val="TableParagraph"/>
              <w:spacing w:before="1"/>
              <w:ind w:right="176"/>
              <w:jc w:val="right"/>
              <w:rPr>
                <w:sz w:val="20"/>
              </w:rPr>
            </w:pPr>
            <w:r>
              <w:rPr>
                <w:sz w:val="20"/>
              </w:rPr>
              <w:t>年产 10 万吨生物柴油</w:t>
            </w:r>
          </w:p>
        </w:tc>
        <w:tc>
          <w:tcPr>
            <w:tcW w:w="1116" w:type="dxa"/>
          </w:tcPr>
          <w:p>
            <w:pPr>
              <w:pStyle w:val="TableParagraph"/>
              <w:spacing w:before="1"/>
              <w:rPr>
                <w:rFonts w:ascii="黑体"/>
                <w:sz w:val="15"/>
              </w:rPr>
            </w:pPr>
          </w:p>
          <w:p>
            <w:pPr>
              <w:pStyle w:val="TableParagraph"/>
              <w:spacing w:before="1"/>
              <w:ind w:left="102"/>
              <w:rPr>
                <w:sz w:val="20"/>
              </w:rPr>
            </w:pPr>
            <w:r>
              <w:rPr>
                <w:sz w:val="20"/>
              </w:rPr>
              <w:t>2014-2016</w:t>
            </w:r>
          </w:p>
        </w:tc>
        <w:tc>
          <w:tcPr>
            <w:tcW w:w="3818" w:type="dxa"/>
          </w:tcPr>
          <w:p>
            <w:pPr>
              <w:pStyle w:val="TableParagraph"/>
              <w:spacing w:before="1"/>
              <w:rPr>
                <w:rFonts w:ascii="黑体"/>
                <w:sz w:val="15"/>
              </w:rPr>
            </w:pPr>
          </w:p>
          <w:p>
            <w:pPr>
              <w:pStyle w:val="TableParagraph"/>
              <w:spacing w:before="1"/>
              <w:jc w:val="center"/>
              <w:rPr>
                <w:sz w:val="20"/>
              </w:rPr>
            </w:pPr>
            <w:r>
              <w:rPr>
                <w:sz w:val="20"/>
              </w:rPr>
              <w:t>占地面积 55 亩</w:t>
            </w:r>
          </w:p>
        </w:tc>
        <w:tc>
          <w:tcPr>
            <w:tcW w:w="977" w:type="dxa"/>
          </w:tcPr>
          <w:p>
            <w:pPr>
              <w:pStyle w:val="TableParagraph"/>
              <w:spacing w:before="1"/>
              <w:rPr>
                <w:rFonts w:ascii="黑体"/>
                <w:sz w:val="15"/>
              </w:rPr>
            </w:pPr>
          </w:p>
          <w:p>
            <w:pPr>
              <w:pStyle w:val="TableParagraph"/>
              <w:spacing w:before="1"/>
              <w:ind w:left="162" w:right="162"/>
              <w:jc w:val="center"/>
              <w:rPr>
                <w:sz w:val="20"/>
              </w:rPr>
            </w:pPr>
            <w:r>
              <w:rPr>
                <w:sz w:val="20"/>
              </w:rPr>
              <w:t>14800</w:t>
            </w:r>
          </w:p>
        </w:tc>
        <w:tc>
          <w:tcPr>
            <w:tcW w:w="1080" w:type="dxa"/>
          </w:tcPr>
          <w:p>
            <w:pPr>
              <w:pStyle w:val="TableParagraph"/>
              <w:spacing w:before="1"/>
              <w:rPr>
                <w:rFonts w:ascii="黑体"/>
                <w:sz w:val="15"/>
              </w:rPr>
            </w:pPr>
          </w:p>
          <w:p>
            <w:pPr>
              <w:pStyle w:val="TableParagraph"/>
              <w:spacing w:before="1"/>
              <w:ind w:left="114" w:right="114"/>
              <w:jc w:val="center"/>
              <w:rPr>
                <w:sz w:val="20"/>
              </w:rPr>
            </w:pPr>
            <w:r>
              <w:rPr>
                <w:sz w:val="20"/>
              </w:rPr>
              <w:t>蓝邦</w:t>
            </w:r>
          </w:p>
        </w:tc>
      </w:tr>
      <w:tr>
        <w:trPr>
          <w:trHeight w:val="720" w:hRule="atLeast"/>
        </w:trPr>
        <w:tc>
          <w:tcPr>
            <w:tcW w:w="481" w:type="dxa"/>
          </w:tcPr>
          <w:p>
            <w:pPr>
              <w:pStyle w:val="TableParagraph"/>
              <w:spacing w:before="1"/>
              <w:rPr>
                <w:rFonts w:ascii="黑体"/>
                <w:sz w:val="15"/>
              </w:rPr>
            </w:pPr>
          </w:p>
          <w:p>
            <w:pPr>
              <w:pStyle w:val="TableParagraph"/>
              <w:spacing w:before="1"/>
              <w:ind w:left="134"/>
              <w:rPr>
                <w:sz w:val="20"/>
              </w:rPr>
            </w:pPr>
            <w:r>
              <w:rPr>
                <w:sz w:val="20"/>
              </w:rPr>
              <w:t>37</w:t>
            </w:r>
          </w:p>
        </w:tc>
        <w:tc>
          <w:tcPr>
            <w:tcW w:w="2267" w:type="dxa"/>
          </w:tcPr>
          <w:p>
            <w:pPr>
              <w:pStyle w:val="TableParagraph"/>
              <w:spacing w:before="68"/>
              <w:ind w:left="827" w:right="109" w:hanging="700"/>
              <w:rPr>
                <w:sz w:val="20"/>
              </w:rPr>
            </w:pPr>
            <w:r>
              <w:rPr>
                <w:sz w:val="20"/>
              </w:rPr>
              <w:t>盛和稀土矿综合利用研发中心</w:t>
            </w:r>
          </w:p>
        </w:tc>
        <w:tc>
          <w:tcPr>
            <w:tcW w:w="1116" w:type="dxa"/>
          </w:tcPr>
          <w:p>
            <w:pPr>
              <w:pStyle w:val="TableParagraph"/>
              <w:spacing w:before="1"/>
              <w:rPr>
                <w:rFonts w:ascii="黑体"/>
                <w:sz w:val="15"/>
              </w:rPr>
            </w:pPr>
          </w:p>
          <w:p>
            <w:pPr>
              <w:pStyle w:val="TableParagraph"/>
              <w:spacing w:before="1"/>
              <w:ind w:left="103"/>
              <w:rPr>
                <w:sz w:val="20"/>
              </w:rPr>
            </w:pPr>
            <w:r>
              <w:rPr>
                <w:sz w:val="20"/>
              </w:rPr>
              <w:t>2016-2017</w:t>
            </w:r>
          </w:p>
        </w:tc>
        <w:tc>
          <w:tcPr>
            <w:tcW w:w="3818" w:type="dxa"/>
          </w:tcPr>
          <w:p>
            <w:pPr>
              <w:pStyle w:val="TableParagraph"/>
              <w:spacing w:before="1"/>
              <w:rPr>
                <w:rFonts w:ascii="黑体"/>
                <w:sz w:val="15"/>
              </w:rPr>
            </w:pPr>
          </w:p>
          <w:p>
            <w:pPr>
              <w:pStyle w:val="TableParagraph"/>
              <w:spacing w:before="1"/>
              <w:ind w:left="5" w:right="4"/>
              <w:jc w:val="center"/>
              <w:rPr>
                <w:sz w:val="20"/>
              </w:rPr>
            </w:pPr>
            <w:r>
              <w:rPr>
                <w:sz w:val="20"/>
              </w:rPr>
              <w:t>稀土矿综合利用研发中心</w:t>
            </w:r>
          </w:p>
        </w:tc>
        <w:tc>
          <w:tcPr>
            <w:tcW w:w="977" w:type="dxa"/>
          </w:tcPr>
          <w:p>
            <w:pPr>
              <w:pStyle w:val="TableParagraph"/>
              <w:spacing w:before="1"/>
              <w:rPr>
                <w:rFonts w:ascii="黑体"/>
                <w:sz w:val="15"/>
              </w:rPr>
            </w:pPr>
          </w:p>
          <w:p>
            <w:pPr>
              <w:pStyle w:val="TableParagraph"/>
              <w:spacing w:before="1"/>
              <w:ind w:left="162" w:right="162"/>
              <w:jc w:val="center"/>
              <w:rPr>
                <w:sz w:val="20"/>
              </w:rPr>
            </w:pPr>
            <w:r>
              <w:rPr>
                <w:sz w:val="20"/>
              </w:rPr>
              <w:t>5000</w:t>
            </w:r>
          </w:p>
        </w:tc>
        <w:tc>
          <w:tcPr>
            <w:tcW w:w="1080" w:type="dxa"/>
          </w:tcPr>
          <w:p>
            <w:pPr>
              <w:pStyle w:val="TableParagraph"/>
              <w:spacing w:before="1"/>
              <w:rPr>
                <w:rFonts w:ascii="黑体"/>
                <w:sz w:val="15"/>
              </w:rPr>
            </w:pPr>
          </w:p>
          <w:p>
            <w:pPr>
              <w:pStyle w:val="TableParagraph"/>
              <w:spacing w:before="1"/>
              <w:ind w:left="114" w:right="114"/>
              <w:jc w:val="center"/>
              <w:rPr>
                <w:sz w:val="20"/>
              </w:rPr>
            </w:pPr>
            <w:r>
              <w:rPr>
                <w:sz w:val="20"/>
              </w:rPr>
              <w:t>盛和稀土</w:t>
            </w:r>
          </w:p>
        </w:tc>
      </w:tr>
      <w:tr>
        <w:trPr>
          <w:trHeight w:val="1020" w:hRule="atLeast"/>
        </w:trPr>
        <w:tc>
          <w:tcPr>
            <w:tcW w:w="481" w:type="dxa"/>
          </w:tcPr>
          <w:p>
            <w:pPr>
              <w:pStyle w:val="TableParagraph"/>
              <w:spacing w:before="3"/>
              <w:rPr>
                <w:rFonts w:ascii="黑体"/>
                <w:sz w:val="27"/>
              </w:rPr>
            </w:pPr>
          </w:p>
          <w:p>
            <w:pPr>
              <w:pStyle w:val="TableParagraph"/>
              <w:ind w:left="134"/>
              <w:rPr>
                <w:sz w:val="20"/>
              </w:rPr>
            </w:pPr>
            <w:r>
              <w:rPr>
                <w:sz w:val="20"/>
              </w:rPr>
              <w:t>38</w:t>
            </w:r>
          </w:p>
        </w:tc>
        <w:tc>
          <w:tcPr>
            <w:tcW w:w="2267" w:type="dxa"/>
          </w:tcPr>
          <w:p>
            <w:pPr>
              <w:pStyle w:val="TableParagraph"/>
              <w:spacing w:line="237" w:lineRule="auto" w:before="100"/>
              <w:ind w:left="128" w:right="124" w:hanging="1"/>
              <w:jc w:val="center"/>
              <w:rPr>
                <w:sz w:val="20"/>
              </w:rPr>
            </w:pPr>
            <w:r>
              <w:rPr>
                <w:sz w:val="20"/>
              </w:rPr>
              <w:t>5500t（REO）稀土精矿生产线环保及清洁生产设施升级改造</w:t>
            </w:r>
          </w:p>
        </w:tc>
        <w:tc>
          <w:tcPr>
            <w:tcW w:w="1116" w:type="dxa"/>
          </w:tcPr>
          <w:p>
            <w:pPr>
              <w:pStyle w:val="TableParagraph"/>
              <w:spacing w:before="3"/>
              <w:rPr>
                <w:rFonts w:ascii="黑体"/>
                <w:sz w:val="27"/>
              </w:rPr>
            </w:pPr>
          </w:p>
          <w:p>
            <w:pPr>
              <w:pStyle w:val="TableParagraph"/>
              <w:ind w:left="103"/>
              <w:rPr>
                <w:sz w:val="20"/>
              </w:rPr>
            </w:pPr>
            <w:r>
              <w:rPr>
                <w:sz w:val="20"/>
              </w:rPr>
              <w:t>2016-2018</w:t>
            </w:r>
          </w:p>
        </w:tc>
        <w:tc>
          <w:tcPr>
            <w:tcW w:w="3818" w:type="dxa"/>
          </w:tcPr>
          <w:p>
            <w:pPr>
              <w:pStyle w:val="TableParagraph"/>
              <w:spacing w:line="228" w:lineRule="exact"/>
              <w:ind w:left="102" w:right="2"/>
              <w:jc w:val="center"/>
              <w:rPr>
                <w:sz w:val="20"/>
              </w:rPr>
            </w:pPr>
            <w:r>
              <w:rPr>
                <w:spacing w:val="-8"/>
                <w:sz w:val="20"/>
              </w:rPr>
              <w:t>本项目建设内容包含生产车间、辅助设施。</w:t>
            </w:r>
          </w:p>
          <w:p>
            <w:pPr>
              <w:pStyle w:val="TableParagraph"/>
              <w:spacing w:line="237" w:lineRule="auto" w:before="1"/>
              <w:ind w:left="103" w:hanging="100"/>
              <w:jc w:val="center"/>
              <w:rPr>
                <w:sz w:val="20"/>
              </w:rPr>
            </w:pPr>
            <w:r>
              <w:rPr>
                <w:sz w:val="20"/>
              </w:rPr>
              <w:t>生产车间：化学车间、萃取车间、沉淀煅 </w:t>
            </w:r>
            <w:r>
              <w:rPr>
                <w:spacing w:val="-12"/>
                <w:sz w:val="20"/>
              </w:rPr>
              <w:t>烧车间。辅助设施：酸碱罐区、动力车间、</w:t>
            </w:r>
            <w:r>
              <w:rPr>
                <w:spacing w:val="-1"/>
                <w:sz w:val="20"/>
              </w:rPr>
              <w:t>库房、污水处理站、机修车间等。</w:t>
            </w:r>
          </w:p>
        </w:tc>
        <w:tc>
          <w:tcPr>
            <w:tcW w:w="977" w:type="dxa"/>
          </w:tcPr>
          <w:p>
            <w:pPr>
              <w:pStyle w:val="TableParagraph"/>
              <w:spacing w:before="3"/>
              <w:rPr>
                <w:rFonts w:ascii="黑体"/>
                <w:sz w:val="27"/>
              </w:rPr>
            </w:pPr>
          </w:p>
          <w:p>
            <w:pPr>
              <w:pStyle w:val="TableParagraph"/>
              <w:ind w:left="162" w:right="162"/>
              <w:jc w:val="center"/>
              <w:rPr>
                <w:sz w:val="20"/>
              </w:rPr>
            </w:pPr>
            <w:r>
              <w:rPr>
                <w:sz w:val="20"/>
              </w:rPr>
              <w:t>25000</w:t>
            </w:r>
          </w:p>
        </w:tc>
        <w:tc>
          <w:tcPr>
            <w:tcW w:w="1080" w:type="dxa"/>
          </w:tcPr>
          <w:p>
            <w:pPr>
              <w:pStyle w:val="TableParagraph"/>
              <w:spacing w:before="3"/>
              <w:rPr>
                <w:rFonts w:ascii="黑体"/>
                <w:sz w:val="27"/>
              </w:rPr>
            </w:pPr>
          </w:p>
          <w:p>
            <w:pPr>
              <w:pStyle w:val="TableParagraph"/>
              <w:ind w:left="114" w:right="114"/>
              <w:jc w:val="center"/>
              <w:rPr>
                <w:sz w:val="20"/>
              </w:rPr>
            </w:pPr>
            <w:r>
              <w:rPr>
                <w:sz w:val="20"/>
              </w:rPr>
              <w:t>盛和稀土</w:t>
            </w:r>
          </w:p>
        </w:tc>
      </w:tr>
      <w:tr>
        <w:trPr>
          <w:trHeight w:val="700" w:hRule="atLeast"/>
        </w:trPr>
        <w:tc>
          <w:tcPr>
            <w:tcW w:w="481" w:type="dxa"/>
          </w:tcPr>
          <w:p>
            <w:pPr>
              <w:pStyle w:val="TableParagraph"/>
              <w:spacing w:before="1"/>
              <w:rPr>
                <w:rFonts w:ascii="黑体"/>
                <w:sz w:val="15"/>
              </w:rPr>
            </w:pPr>
          </w:p>
          <w:p>
            <w:pPr>
              <w:pStyle w:val="TableParagraph"/>
              <w:spacing w:before="1"/>
              <w:ind w:left="134"/>
              <w:rPr>
                <w:sz w:val="20"/>
              </w:rPr>
            </w:pPr>
            <w:r>
              <w:rPr>
                <w:sz w:val="20"/>
              </w:rPr>
              <w:t>39</w:t>
            </w:r>
          </w:p>
        </w:tc>
        <w:tc>
          <w:tcPr>
            <w:tcW w:w="2267" w:type="dxa"/>
          </w:tcPr>
          <w:p>
            <w:pPr>
              <w:pStyle w:val="TableParagraph"/>
              <w:spacing w:line="237" w:lineRule="auto" w:before="71"/>
              <w:ind w:left="727" w:hanging="599"/>
              <w:rPr>
                <w:sz w:val="20"/>
              </w:rPr>
            </w:pPr>
            <w:r>
              <w:rPr>
                <w:spacing w:val="-18"/>
                <w:sz w:val="20"/>
              </w:rPr>
              <w:t>年产 </w:t>
            </w:r>
            <w:r>
              <w:rPr>
                <w:sz w:val="20"/>
              </w:rPr>
              <w:t>5</w:t>
            </w:r>
            <w:r>
              <w:rPr>
                <w:spacing w:val="-8"/>
                <w:sz w:val="20"/>
              </w:rPr>
              <w:t> 万吨高效稀土催化剂项目</w:t>
            </w:r>
          </w:p>
        </w:tc>
        <w:tc>
          <w:tcPr>
            <w:tcW w:w="1116" w:type="dxa"/>
          </w:tcPr>
          <w:p>
            <w:pPr>
              <w:pStyle w:val="TableParagraph"/>
              <w:spacing w:before="1"/>
              <w:rPr>
                <w:rFonts w:ascii="黑体"/>
                <w:sz w:val="15"/>
              </w:rPr>
            </w:pPr>
          </w:p>
          <w:p>
            <w:pPr>
              <w:pStyle w:val="TableParagraph"/>
              <w:spacing w:before="1"/>
              <w:ind w:left="103"/>
              <w:rPr>
                <w:sz w:val="20"/>
              </w:rPr>
            </w:pPr>
            <w:r>
              <w:rPr>
                <w:sz w:val="20"/>
              </w:rPr>
              <w:t>2016-2017</w:t>
            </w:r>
          </w:p>
        </w:tc>
        <w:tc>
          <w:tcPr>
            <w:tcW w:w="3818" w:type="dxa"/>
          </w:tcPr>
          <w:p>
            <w:pPr>
              <w:pStyle w:val="TableParagraph"/>
              <w:spacing w:before="1"/>
              <w:rPr>
                <w:rFonts w:ascii="黑体"/>
                <w:sz w:val="15"/>
              </w:rPr>
            </w:pPr>
          </w:p>
          <w:p>
            <w:pPr>
              <w:pStyle w:val="TableParagraph"/>
              <w:spacing w:before="1"/>
              <w:ind w:left="5" w:right="4"/>
              <w:jc w:val="center"/>
              <w:rPr>
                <w:sz w:val="20"/>
              </w:rPr>
            </w:pPr>
            <w:r>
              <w:rPr>
                <w:sz w:val="20"/>
              </w:rPr>
              <w:t>年产 5 万吨催化剂及配套设施</w:t>
            </w:r>
          </w:p>
        </w:tc>
        <w:tc>
          <w:tcPr>
            <w:tcW w:w="977" w:type="dxa"/>
          </w:tcPr>
          <w:p>
            <w:pPr>
              <w:pStyle w:val="TableParagraph"/>
              <w:spacing w:before="1"/>
              <w:rPr>
                <w:rFonts w:ascii="黑体"/>
                <w:sz w:val="15"/>
              </w:rPr>
            </w:pPr>
          </w:p>
          <w:p>
            <w:pPr>
              <w:pStyle w:val="TableParagraph"/>
              <w:spacing w:before="1"/>
              <w:ind w:left="162" w:right="161"/>
              <w:jc w:val="center"/>
              <w:rPr>
                <w:sz w:val="20"/>
              </w:rPr>
            </w:pPr>
            <w:r>
              <w:rPr>
                <w:sz w:val="20"/>
              </w:rPr>
              <w:t>50000</w:t>
            </w:r>
          </w:p>
        </w:tc>
        <w:tc>
          <w:tcPr>
            <w:tcW w:w="1080" w:type="dxa"/>
          </w:tcPr>
          <w:p>
            <w:pPr>
              <w:pStyle w:val="TableParagraph"/>
              <w:spacing w:before="1"/>
              <w:rPr>
                <w:rFonts w:ascii="黑体"/>
                <w:sz w:val="15"/>
              </w:rPr>
            </w:pPr>
          </w:p>
          <w:p>
            <w:pPr>
              <w:pStyle w:val="TableParagraph"/>
              <w:spacing w:before="1"/>
              <w:ind w:left="114" w:right="114"/>
              <w:jc w:val="center"/>
              <w:rPr>
                <w:sz w:val="20"/>
              </w:rPr>
            </w:pPr>
            <w:r>
              <w:rPr>
                <w:sz w:val="20"/>
              </w:rPr>
              <w:t>润和</w:t>
            </w:r>
          </w:p>
        </w:tc>
      </w:tr>
      <w:tr>
        <w:trPr>
          <w:trHeight w:val="700" w:hRule="atLeast"/>
        </w:trPr>
        <w:tc>
          <w:tcPr>
            <w:tcW w:w="481" w:type="dxa"/>
          </w:tcPr>
          <w:p>
            <w:pPr>
              <w:pStyle w:val="TableParagraph"/>
              <w:spacing w:before="1"/>
              <w:rPr>
                <w:rFonts w:ascii="黑体"/>
                <w:sz w:val="15"/>
              </w:rPr>
            </w:pPr>
          </w:p>
          <w:p>
            <w:pPr>
              <w:pStyle w:val="TableParagraph"/>
              <w:spacing w:before="1"/>
              <w:ind w:left="134"/>
              <w:rPr>
                <w:sz w:val="20"/>
              </w:rPr>
            </w:pPr>
            <w:r>
              <w:rPr>
                <w:sz w:val="20"/>
              </w:rPr>
              <w:t>40</w:t>
            </w:r>
          </w:p>
        </w:tc>
        <w:tc>
          <w:tcPr>
            <w:tcW w:w="2267" w:type="dxa"/>
          </w:tcPr>
          <w:p>
            <w:pPr>
              <w:pStyle w:val="TableParagraph"/>
              <w:spacing w:line="237" w:lineRule="auto" w:before="71"/>
              <w:ind w:left="127" w:right="34" w:hanging="25"/>
              <w:rPr>
                <w:sz w:val="20"/>
              </w:rPr>
            </w:pPr>
            <w:r>
              <w:rPr>
                <w:sz w:val="20"/>
              </w:rPr>
              <w:t>银邦20000 吨/年四氯化硅制备高纯烷氧基硅烷</w:t>
            </w:r>
          </w:p>
        </w:tc>
        <w:tc>
          <w:tcPr>
            <w:tcW w:w="1116" w:type="dxa"/>
          </w:tcPr>
          <w:p>
            <w:pPr>
              <w:pStyle w:val="TableParagraph"/>
              <w:spacing w:before="1"/>
              <w:rPr>
                <w:rFonts w:ascii="黑体"/>
                <w:sz w:val="15"/>
              </w:rPr>
            </w:pPr>
          </w:p>
          <w:p>
            <w:pPr>
              <w:pStyle w:val="TableParagraph"/>
              <w:spacing w:before="1"/>
              <w:ind w:left="103"/>
              <w:rPr>
                <w:sz w:val="20"/>
              </w:rPr>
            </w:pPr>
            <w:r>
              <w:rPr>
                <w:sz w:val="20"/>
              </w:rPr>
              <w:t>2018-2020</w:t>
            </w:r>
          </w:p>
        </w:tc>
        <w:tc>
          <w:tcPr>
            <w:tcW w:w="3818" w:type="dxa"/>
          </w:tcPr>
          <w:p>
            <w:pPr>
              <w:pStyle w:val="TableParagraph"/>
              <w:spacing w:before="1"/>
              <w:rPr>
                <w:rFonts w:ascii="黑体"/>
                <w:sz w:val="15"/>
              </w:rPr>
            </w:pPr>
          </w:p>
          <w:p>
            <w:pPr>
              <w:pStyle w:val="TableParagraph"/>
              <w:spacing w:before="1"/>
              <w:ind w:left="5" w:right="4"/>
              <w:jc w:val="center"/>
              <w:rPr>
                <w:sz w:val="20"/>
              </w:rPr>
            </w:pPr>
            <w:r>
              <w:rPr>
                <w:sz w:val="20"/>
              </w:rPr>
              <w:t>2 万吨/年四氯化硅制备高纯烷氧基硅烷</w:t>
            </w:r>
          </w:p>
        </w:tc>
        <w:tc>
          <w:tcPr>
            <w:tcW w:w="977" w:type="dxa"/>
          </w:tcPr>
          <w:p>
            <w:pPr>
              <w:pStyle w:val="TableParagraph"/>
              <w:spacing w:before="1"/>
              <w:rPr>
                <w:rFonts w:ascii="黑体"/>
                <w:sz w:val="15"/>
              </w:rPr>
            </w:pPr>
          </w:p>
          <w:p>
            <w:pPr>
              <w:pStyle w:val="TableParagraph"/>
              <w:spacing w:before="1"/>
              <w:ind w:left="162" w:right="161"/>
              <w:jc w:val="center"/>
              <w:rPr>
                <w:sz w:val="20"/>
              </w:rPr>
            </w:pPr>
            <w:r>
              <w:rPr>
                <w:sz w:val="20"/>
              </w:rPr>
              <w:t>7500</w:t>
            </w:r>
          </w:p>
        </w:tc>
        <w:tc>
          <w:tcPr>
            <w:tcW w:w="1080" w:type="dxa"/>
          </w:tcPr>
          <w:p>
            <w:pPr>
              <w:pStyle w:val="TableParagraph"/>
              <w:spacing w:before="1"/>
              <w:rPr>
                <w:rFonts w:ascii="黑体"/>
                <w:sz w:val="15"/>
              </w:rPr>
            </w:pPr>
          </w:p>
          <w:p>
            <w:pPr>
              <w:pStyle w:val="TableParagraph"/>
              <w:spacing w:before="1"/>
              <w:ind w:left="114" w:right="114"/>
              <w:jc w:val="center"/>
              <w:rPr>
                <w:sz w:val="20"/>
              </w:rPr>
            </w:pPr>
            <w:r>
              <w:rPr>
                <w:sz w:val="20"/>
              </w:rPr>
              <w:t>银邦硅业</w:t>
            </w:r>
          </w:p>
        </w:tc>
      </w:tr>
      <w:tr>
        <w:trPr>
          <w:trHeight w:val="1540" w:hRule="atLeast"/>
        </w:trPr>
        <w:tc>
          <w:tcPr>
            <w:tcW w:w="481" w:type="dxa"/>
          </w:tcPr>
          <w:p>
            <w:pPr>
              <w:pStyle w:val="TableParagraph"/>
              <w:rPr>
                <w:rFonts w:ascii="黑体"/>
                <w:sz w:val="20"/>
              </w:rPr>
            </w:pPr>
          </w:p>
          <w:p>
            <w:pPr>
              <w:pStyle w:val="TableParagraph"/>
              <w:rPr>
                <w:rFonts w:ascii="黑体"/>
                <w:sz w:val="27"/>
              </w:rPr>
            </w:pPr>
          </w:p>
          <w:p>
            <w:pPr>
              <w:pStyle w:val="TableParagraph"/>
              <w:ind w:left="134"/>
              <w:rPr>
                <w:sz w:val="20"/>
              </w:rPr>
            </w:pPr>
            <w:r>
              <w:rPr>
                <w:sz w:val="20"/>
              </w:rPr>
              <w:t>41</w:t>
            </w:r>
          </w:p>
        </w:tc>
        <w:tc>
          <w:tcPr>
            <w:tcW w:w="2267" w:type="dxa"/>
          </w:tcPr>
          <w:p>
            <w:pPr>
              <w:pStyle w:val="TableParagraph"/>
              <w:rPr>
                <w:rFonts w:ascii="黑体"/>
                <w:sz w:val="20"/>
              </w:rPr>
            </w:pPr>
          </w:p>
          <w:p>
            <w:pPr>
              <w:pStyle w:val="TableParagraph"/>
              <w:rPr>
                <w:rFonts w:ascii="黑体"/>
                <w:sz w:val="27"/>
              </w:rPr>
            </w:pPr>
          </w:p>
          <w:p>
            <w:pPr>
              <w:pStyle w:val="TableParagraph"/>
              <w:ind w:right="102"/>
              <w:jc w:val="right"/>
              <w:rPr>
                <w:sz w:val="20"/>
              </w:rPr>
            </w:pPr>
            <w:r>
              <w:rPr>
                <w:sz w:val="20"/>
              </w:rPr>
              <w:t>50kt/a 烷氧基硅烷项目</w:t>
            </w:r>
          </w:p>
        </w:tc>
        <w:tc>
          <w:tcPr>
            <w:tcW w:w="1116" w:type="dxa"/>
          </w:tcPr>
          <w:p>
            <w:pPr>
              <w:pStyle w:val="TableParagraph"/>
              <w:rPr>
                <w:rFonts w:ascii="黑体"/>
                <w:sz w:val="20"/>
              </w:rPr>
            </w:pPr>
          </w:p>
          <w:p>
            <w:pPr>
              <w:pStyle w:val="TableParagraph"/>
              <w:rPr>
                <w:rFonts w:ascii="黑体"/>
                <w:sz w:val="27"/>
              </w:rPr>
            </w:pPr>
          </w:p>
          <w:p>
            <w:pPr>
              <w:pStyle w:val="TableParagraph"/>
              <w:ind w:left="101"/>
              <w:rPr>
                <w:sz w:val="20"/>
              </w:rPr>
            </w:pPr>
            <w:r>
              <w:rPr>
                <w:sz w:val="20"/>
              </w:rPr>
              <w:t>2017-2019</w:t>
            </w:r>
          </w:p>
        </w:tc>
        <w:tc>
          <w:tcPr>
            <w:tcW w:w="3818" w:type="dxa"/>
          </w:tcPr>
          <w:p>
            <w:pPr>
              <w:pStyle w:val="TableParagraph"/>
              <w:spacing w:line="237" w:lineRule="auto" w:before="100"/>
              <w:ind w:left="104" w:right="101" w:firstLine="50"/>
              <w:jc w:val="both"/>
              <w:rPr>
                <w:sz w:val="20"/>
              </w:rPr>
            </w:pPr>
            <w:r>
              <w:rPr>
                <w:sz w:val="20"/>
              </w:rPr>
              <w:t>占地：360</w:t>
            </w:r>
            <w:r>
              <w:rPr>
                <w:spacing w:val="-8"/>
                <w:sz w:val="20"/>
              </w:rPr>
              <w:t> 亩；建筑面积：</w:t>
            </w:r>
            <w:r>
              <w:rPr>
                <w:sz w:val="20"/>
              </w:rPr>
              <w:t>12</w:t>
            </w:r>
            <w:r>
              <w:rPr>
                <w:spacing w:val="-10"/>
                <w:sz w:val="20"/>
              </w:rPr>
              <w:t> 万平方米; </w:t>
            </w:r>
            <w:r>
              <w:rPr>
                <w:spacing w:val="-1"/>
                <w:sz w:val="20"/>
              </w:rPr>
              <w:t>建设内容：安装、建设两套大型系统生产装置，其中塔、釜、贮罐及其他设备共计</w:t>
            </w:r>
          </w:p>
          <w:p>
            <w:pPr>
              <w:pStyle w:val="TableParagraph"/>
              <w:spacing w:line="237" w:lineRule="auto"/>
              <w:ind w:left="1002" w:right="122" w:hanging="874"/>
              <w:rPr>
                <w:sz w:val="20"/>
              </w:rPr>
            </w:pPr>
            <w:r>
              <w:rPr>
                <w:sz w:val="20"/>
              </w:rPr>
              <w:t>1200</w:t>
            </w:r>
            <w:r>
              <w:rPr>
                <w:spacing w:val="-27"/>
                <w:sz w:val="20"/>
              </w:rPr>
              <w:t> 台</w:t>
            </w:r>
            <w:r>
              <w:rPr>
                <w:sz w:val="20"/>
              </w:rPr>
              <w:t>（套），</w:t>
            </w:r>
            <w:r>
              <w:rPr>
                <w:spacing w:val="-18"/>
                <w:sz w:val="20"/>
              </w:rPr>
              <w:t>建设 </w:t>
            </w:r>
            <w:r>
              <w:rPr>
                <w:sz w:val="20"/>
              </w:rPr>
              <w:t>50000</w:t>
            </w:r>
            <w:r>
              <w:rPr>
                <w:spacing w:val="-27"/>
                <w:sz w:val="20"/>
              </w:rPr>
              <w:t> 吨</w:t>
            </w:r>
            <w:r>
              <w:rPr>
                <w:sz w:val="20"/>
              </w:rPr>
              <w:t>/年高纯烷</w:t>
            </w:r>
            <w:r>
              <w:rPr>
                <w:spacing w:val="-1"/>
                <w:sz w:val="20"/>
              </w:rPr>
              <w:t>氧基硅烷系列产品。</w:t>
            </w:r>
          </w:p>
        </w:tc>
        <w:tc>
          <w:tcPr>
            <w:tcW w:w="977" w:type="dxa"/>
          </w:tcPr>
          <w:p>
            <w:pPr>
              <w:pStyle w:val="TableParagraph"/>
              <w:rPr>
                <w:rFonts w:ascii="黑体"/>
                <w:sz w:val="20"/>
              </w:rPr>
            </w:pPr>
          </w:p>
          <w:p>
            <w:pPr>
              <w:pStyle w:val="TableParagraph"/>
              <w:rPr>
                <w:rFonts w:ascii="黑体"/>
                <w:sz w:val="27"/>
              </w:rPr>
            </w:pPr>
          </w:p>
          <w:p>
            <w:pPr>
              <w:pStyle w:val="TableParagraph"/>
              <w:ind w:left="162" w:right="162"/>
              <w:jc w:val="center"/>
              <w:rPr>
                <w:sz w:val="20"/>
              </w:rPr>
            </w:pPr>
            <w:r>
              <w:rPr>
                <w:sz w:val="20"/>
              </w:rPr>
              <w:t>48000</w:t>
            </w:r>
          </w:p>
        </w:tc>
        <w:tc>
          <w:tcPr>
            <w:tcW w:w="1080" w:type="dxa"/>
          </w:tcPr>
          <w:p>
            <w:pPr>
              <w:pStyle w:val="TableParagraph"/>
              <w:rPr>
                <w:rFonts w:ascii="黑体"/>
                <w:sz w:val="20"/>
              </w:rPr>
            </w:pPr>
          </w:p>
          <w:p>
            <w:pPr>
              <w:pStyle w:val="TableParagraph"/>
              <w:rPr>
                <w:rFonts w:ascii="黑体"/>
                <w:sz w:val="27"/>
              </w:rPr>
            </w:pPr>
          </w:p>
          <w:p>
            <w:pPr>
              <w:pStyle w:val="TableParagraph"/>
              <w:ind w:left="114" w:right="114"/>
              <w:jc w:val="center"/>
              <w:rPr>
                <w:sz w:val="20"/>
              </w:rPr>
            </w:pPr>
            <w:r>
              <w:rPr>
                <w:sz w:val="20"/>
              </w:rPr>
              <w:t>银邦硅业</w:t>
            </w:r>
          </w:p>
        </w:tc>
      </w:tr>
    </w:tbl>
    <w:p>
      <w:pPr>
        <w:spacing w:after="0"/>
        <w:jc w:val="center"/>
        <w:rPr>
          <w:sz w:val="20"/>
        </w:rPr>
        <w:sectPr>
          <w:pgSz w:w="11910" w:h="16840"/>
          <w:pgMar w:header="0" w:footer="998" w:top="1440" w:bottom="1120" w:left="960" w:right="960"/>
        </w:sectPr>
      </w:pPr>
    </w:p>
    <w:tbl>
      <w:tblPr>
        <w:tblW w:w="0" w:type="auto"/>
        <w:jc w:val="left"/>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81"/>
        <w:gridCol w:w="2267"/>
        <w:gridCol w:w="1116"/>
        <w:gridCol w:w="3818"/>
        <w:gridCol w:w="977"/>
        <w:gridCol w:w="1080"/>
      </w:tblGrid>
      <w:tr>
        <w:trPr>
          <w:trHeight w:val="1300" w:hRule="atLeast"/>
        </w:trPr>
        <w:tc>
          <w:tcPr>
            <w:tcW w:w="481" w:type="dxa"/>
          </w:tcPr>
          <w:p>
            <w:pPr>
              <w:pStyle w:val="TableParagraph"/>
              <w:rPr>
                <w:rFonts w:ascii="黑体"/>
                <w:sz w:val="20"/>
              </w:rPr>
            </w:pPr>
          </w:p>
          <w:p>
            <w:pPr>
              <w:pStyle w:val="TableParagraph"/>
              <w:rPr>
                <w:rFonts w:ascii="黑体"/>
                <w:sz w:val="18"/>
              </w:rPr>
            </w:pPr>
          </w:p>
          <w:p>
            <w:pPr>
              <w:pStyle w:val="TableParagraph"/>
              <w:spacing w:before="1"/>
              <w:ind w:left="134"/>
              <w:rPr>
                <w:sz w:val="20"/>
              </w:rPr>
            </w:pPr>
            <w:r>
              <w:rPr>
                <w:sz w:val="20"/>
              </w:rPr>
              <w:t>42</w:t>
            </w:r>
          </w:p>
        </w:tc>
        <w:tc>
          <w:tcPr>
            <w:tcW w:w="2267" w:type="dxa"/>
          </w:tcPr>
          <w:p>
            <w:pPr>
              <w:pStyle w:val="TableParagraph"/>
              <w:spacing w:before="6"/>
              <w:rPr>
                <w:rFonts w:ascii="黑体"/>
                <w:sz w:val="18"/>
              </w:rPr>
            </w:pPr>
          </w:p>
          <w:p>
            <w:pPr>
              <w:pStyle w:val="TableParagraph"/>
              <w:spacing w:line="237" w:lineRule="auto"/>
              <w:ind w:left="128" w:right="124" w:hanging="1"/>
              <w:jc w:val="center"/>
              <w:rPr>
                <w:sz w:val="20"/>
              </w:rPr>
            </w:pPr>
            <w:r>
              <w:rPr>
                <w:spacing w:val="-19"/>
                <w:sz w:val="20"/>
              </w:rPr>
              <w:t>银邦 </w:t>
            </w:r>
            <w:r>
              <w:rPr>
                <w:sz w:val="20"/>
              </w:rPr>
              <w:t>7000</w:t>
            </w:r>
            <w:r>
              <w:rPr>
                <w:spacing w:val="-27"/>
                <w:sz w:val="20"/>
              </w:rPr>
              <w:t> 吨</w:t>
            </w:r>
            <w:r>
              <w:rPr>
                <w:sz w:val="20"/>
              </w:rPr>
              <w:t>/年多晶硅</w:t>
            </w:r>
            <w:r>
              <w:rPr>
                <w:spacing w:val="-1"/>
                <w:sz w:val="20"/>
              </w:rPr>
              <w:t>副产物制备高纯烷氧基硅烷项目</w:t>
            </w:r>
          </w:p>
        </w:tc>
        <w:tc>
          <w:tcPr>
            <w:tcW w:w="1116" w:type="dxa"/>
          </w:tcPr>
          <w:p>
            <w:pPr>
              <w:pStyle w:val="TableParagraph"/>
              <w:rPr>
                <w:rFonts w:ascii="黑体"/>
                <w:sz w:val="20"/>
              </w:rPr>
            </w:pPr>
          </w:p>
          <w:p>
            <w:pPr>
              <w:pStyle w:val="TableParagraph"/>
              <w:rPr>
                <w:rFonts w:ascii="黑体"/>
                <w:sz w:val="18"/>
              </w:rPr>
            </w:pPr>
          </w:p>
          <w:p>
            <w:pPr>
              <w:pStyle w:val="TableParagraph"/>
              <w:spacing w:before="1"/>
              <w:ind w:left="103"/>
              <w:rPr>
                <w:sz w:val="20"/>
              </w:rPr>
            </w:pPr>
            <w:r>
              <w:rPr>
                <w:sz w:val="20"/>
              </w:rPr>
              <w:t>2016-2017</w:t>
            </w:r>
          </w:p>
        </w:tc>
        <w:tc>
          <w:tcPr>
            <w:tcW w:w="3818" w:type="dxa"/>
          </w:tcPr>
          <w:p>
            <w:pPr>
              <w:pStyle w:val="TableParagraph"/>
              <w:rPr>
                <w:rFonts w:ascii="黑体"/>
                <w:sz w:val="20"/>
              </w:rPr>
            </w:pPr>
          </w:p>
          <w:p>
            <w:pPr>
              <w:pStyle w:val="TableParagraph"/>
              <w:rPr>
                <w:rFonts w:ascii="黑体"/>
                <w:sz w:val="18"/>
              </w:rPr>
            </w:pPr>
          </w:p>
          <w:p>
            <w:pPr>
              <w:pStyle w:val="TableParagraph"/>
              <w:spacing w:before="1"/>
              <w:ind w:right="451"/>
              <w:jc w:val="right"/>
              <w:rPr>
                <w:sz w:val="20"/>
              </w:rPr>
            </w:pPr>
            <w:r>
              <w:rPr>
                <w:sz w:val="20"/>
              </w:rPr>
              <w:t>年产 7000 吨烷氧基硅烷项目建设</w:t>
            </w:r>
          </w:p>
        </w:tc>
        <w:tc>
          <w:tcPr>
            <w:tcW w:w="977" w:type="dxa"/>
          </w:tcPr>
          <w:p>
            <w:pPr>
              <w:pStyle w:val="TableParagraph"/>
              <w:rPr>
                <w:rFonts w:ascii="黑体"/>
                <w:sz w:val="20"/>
              </w:rPr>
            </w:pPr>
          </w:p>
          <w:p>
            <w:pPr>
              <w:pStyle w:val="TableParagraph"/>
              <w:rPr>
                <w:rFonts w:ascii="黑体"/>
                <w:sz w:val="18"/>
              </w:rPr>
            </w:pPr>
          </w:p>
          <w:p>
            <w:pPr>
              <w:pStyle w:val="TableParagraph"/>
              <w:spacing w:before="1"/>
              <w:ind w:left="282"/>
              <w:rPr>
                <w:sz w:val="20"/>
              </w:rPr>
            </w:pPr>
            <w:r>
              <w:rPr>
                <w:sz w:val="20"/>
              </w:rPr>
              <w:t>4000</w:t>
            </w:r>
          </w:p>
        </w:tc>
        <w:tc>
          <w:tcPr>
            <w:tcW w:w="1080" w:type="dxa"/>
          </w:tcPr>
          <w:p>
            <w:pPr>
              <w:pStyle w:val="TableParagraph"/>
              <w:rPr>
                <w:rFonts w:ascii="黑体"/>
                <w:sz w:val="20"/>
              </w:rPr>
            </w:pPr>
          </w:p>
          <w:p>
            <w:pPr>
              <w:pStyle w:val="TableParagraph"/>
              <w:rPr>
                <w:rFonts w:ascii="黑体"/>
                <w:sz w:val="18"/>
              </w:rPr>
            </w:pPr>
          </w:p>
          <w:p>
            <w:pPr>
              <w:pStyle w:val="TableParagraph"/>
              <w:spacing w:before="1"/>
              <w:ind w:left="114" w:right="114"/>
              <w:jc w:val="center"/>
              <w:rPr>
                <w:sz w:val="20"/>
              </w:rPr>
            </w:pPr>
            <w:r>
              <w:rPr>
                <w:sz w:val="20"/>
              </w:rPr>
              <w:t>银邦硅业</w:t>
            </w:r>
          </w:p>
        </w:tc>
      </w:tr>
      <w:tr>
        <w:trPr>
          <w:trHeight w:val="720" w:hRule="atLeast"/>
        </w:trPr>
        <w:tc>
          <w:tcPr>
            <w:tcW w:w="481" w:type="dxa"/>
          </w:tcPr>
          <w:p>
            <w:pPr>
              <w:pStyle w:val="TableParagraph"/>
              <w:spacing w:before="1"/>
              <w:rPr>
                <w:rFonts w:ascii="黑体"/>
                <w:sz w:val="15"/>
              </w:rPr>
            </w:pPr>
          </w:p>
          <w:p>
            <w:pPr>
              <w:pStyle w:val="TableParagraph"/>
              <w:spacing w:before="1"/>
              <w:ind w:left="134"/>
              <w:rPr>
                <w:sz w:val="20"/>
              </w:rPr>
            </w:pPr>
            <w:r>
              <w:rPr>
                <w:sz w:val="20"/>
              </w:rPr>
              <w:t>43</w:t>
            </w:r>
          </w:p>
        </w:tc>
        <w:tc>
          <w:tcPr>
            <w:tcW w:w="2267" w:type="dxa"/>
          </w:tcPr>
          <w:p>
            <w:pPr>
              <w:pStyle w:val="TableParagraph"/>
              <w:spacing w:line="237" w:lineRule="auto" w:before="71"/>
              <w:ind w:left="527" w:right="109" w:hanging="400"/>
              <w:rPr>
                <w:sz w:val="20"/>
              </w:rPr>
            </w:pPr>
            <w:r>
              <w:rPr>
                <w:sz w:val="20"/>
              </w:rPr>
              <w:t>亚西废旧轮胎再生利用自动化生产线</w:t>
            </w:r>
          </w:p>
        </w:tc>
        <w:tc>
          <w:tcPr>
            <w:tcW w:w="1116" w:type="dxa"/>
          </w:tcPr>
          <w:p>
            <w:pPr>
              <w:pStyle w:val="TableParagraph"/>
              <w:spacing w:before="1"/>
              <w:rPr>
                <w:rFonts w:ascii="黑体"/>
                <w:sz w:val="15"/>
              </w:rPr>
            </w:pPr>
          </w:p>
          <w:p>
            <w:pPr>
              <w:pStyle w:val="TableParagraph"/>
              <w:spacing w:before="1"/>
              <w:ind w:left="103"/>
              <w:rPr>
                <w:sz w:val="20"/>
              </w:rPr>
            </w:pPr>
            <w:r>
              <w:rPr>
                <w:sz w:val="20"/>
              </w:rPr>
              <w:t>2017-2018</w:t>
            </w:r>
          </w:p>
        </w:tc>
        <w:tc>
          <w:tcPr>
            <w:tcW w:w="3818" w:type="dxa"/>
          </w:tcPr>
          <w:p>
            <w:pPr>
              <w:pStyle w:val="TableParagraph"/>
              <w:spacing w:before="1"/>
              <w:rPr>
                <w:rFonts w:ascii="黑体"/>
                <w:sz w:val="15"/>
              </w:rPr>
            </w:pPr>
          </w:p>
          <w:p>
            <w:pPr>
              <w:pStyle w:val="TableParagraph"/>
              <w:spacing w:before="1"/>
              <w:ind w:right="401"/>
              <w:jc w:val="right"/>
              <w:rPr>
                <w:sz w:val="20"/>
              </w:rPr>
            </w:pPr>
            <w:r>
              <w:rPr>
                <w:sz w:val="20"/>
              </w:rPr>
              <w:t>异地建设废旧轮胎再生利用生产线</w:t>
            </w:r>
          </w:p>
        </w:tc>
        <w:tc>
          <w:tcPr>
            <w:tcW w:w="977" w:type="dxa"/>
          </w:tcPr>
          <w:p>
            <w:pPr>
              <w:pStyle w:val="TableParagraph"/>
              <w:spacing w:before="1"/>
              <w:rPr>
                <w:rFonts w:ascii="黑体"/>
                <w:sz w:val="15"/>
              </w:rPr>
            </w:pPr>
          </w:p>
          <w:p>
            <w:pPr>
              <w:pStyle w:val="TableParagraph"/>
              <w:spacing w:before="1"/>
              <w:ind w:left="233"/>
              <w:rPr>
                <w:sz w:val="20"/>
              </w:rPr>
            </w:pPr>
            <w:r>
              <w:rPr>
                <w:sz w:val="20"/>
              </w:rPr>
              <w:t>13000</w:t>
            </w:r>
          </w:p>
        </w:tc>
        <w:tc>
          <w:tcPr>
            <w:tcW w:w="1080" w:type="dxa"/>
          </w:tcPr>
          <w:p>
            <w:pPr>
              <w:pStyle w:val="TableParagraph"/>
              <w:spacing w:before="1"/>
              <w:rPr>
                <w:rFonts w:ascii="黑体"/>
                <w:sz w:val="15"/>
              </w:rPr>
            </w:pPr>
          </w:p>
          <w:p>
            <w:pPr>
              <w:pStyle w:val="TableParagraph"/>
              <w:spacing w:before="1"/>
              <w:ind w:left="114" w:right="114"/>
              <w:jc w:val="center"/>
              <w:rPr>
                <w:sz w:val="20"/>
              </w:rPr>
            </w:pPr>
            <w:r>
              <w:rPr>
                <w:sz w:val="20"/>
              </w:rPr>
              <w:t>亚西橡塑</w:t>
            </w:r>
          </w:p>
        </w:tc>
      </w:tr>
      <w:tr>
        <w:trPr>
          <w:trHeight w:val="700" w:hRule="atLeast"/>
        </w:trPr>
        <w:tc>
          <w:tcPr>
            <w:tcW w:w="481" w:type="dxa"/>
          </w:tcPr>
          <w:p>
            <w:pPr>
              <w:pStyle w:val="TableParagraph"/>
              <w:spacing w:before="1"/>
              <w:rPr>
                <w:rFonts w:ascii="黑体"/>
                <w:sz w:val="15"/>
              </w:rPr>
            </w:pPr>
          </w:p>
          <w:p>
            <w:pPr>
              <w:pStyle w:val="TableParagraph"/>
              <w:spacing w:before="1"/>
              <w:ind w:left="134"/>
              <w:rPr>
                <w:sz w:val="20"/>
              </w:rPr>
            </w:pPr>
            <w:r>
              <w:rPr>
                <w:sz w:val="20"/>
              </w:rPr>
              <w:t>44</w:t>
            </w:r>
          </w:p>
        </w:tc>
        <w:tc>
          <w:tcPr>
            <w:tcW w:w="2267" w:type="dxa"/>
          </w:tcPr>
          <w:p>
            <w:pPr>
              <w:pStyle w:val="TableParagraph"/>
              <w:spacing w:line="237" w:lineRule="auto" w:before="71"/>
              <w:ind w:left="927" w:right="109" w:hanging="800"/>
              <w:rPr>
                <w:sz w:val="20"/>
              </w:rPr>
            </w:pPr>
            <w:r>
              <w:rPr>
                <w:sz w:val="20"/>
              </w:rPr>
              <w:t>泰吉水力发电设备扩建工程</w:t>
            </w:r>
          </w:p>
        </w:tc>
        <w:tc>
          <w:tcPr>
            <w:tcW w:w="1116" w:type="dxa"/>
          </w:tcPr>
          <w:p>
            <w:pPr>
              <w:pStyle w:val="TableParagraph"/>
              <w:spacing w:before="1"/>
              <w:rPr>
                <w:rFonts w:ascii="黑体"/>
                <w:sz w:val="15"/>
              </w:rPr>
            </w:pPr>
          </w:p>
          <w:p>
            <w:pPr>
              <w:pStyle w:val="TableParagraph"/>
              <w:spacing w:before="1"/>
              <w:ind w:left="103"/>
              <w:rPr>
                <w:sz w:val="20"/>
              </w:rPr>
            </w:pPr>
            <w:r>
              <w:rPr>
                <w:sz w:val="20"/>
              </w:rPr>
              <w:t>2017-2018</w:t>
            </w:r>
          </w:p>
        </w:tc>
        <w:tc>
          <w:tcPr>
            <w:tcW w:w="3818" w:type="dxa"/>
          </w:tcPr>
          <w:p>
            <w:pPr>
              <w:pStyle w:val="TableParagraph"/>
              <w:spacing w:before="1"/>
              <w:rPr>
                <w:rFonts w:ascii="黑体"/>
                <w:sz w:val="15"/>
              </w:rPr>
            </w:pPr>
          </w:p>
          <w:p>
            <w:pPr>
              <w:pStyle w:val="TableParagraph"/>
              <w:spacing w:before="1"/>
              <w:ind w:left="804"/>
              <w:rPr>
                <w:sz w:val="20"/>
              </w:rPr>
            </w:pPr>
            <w:r>
              <w:rPr>
                <w:sz w:val="20"/>
              </w:rPr>
              <w:t>扩建水力发电设备生产线</w:t>
            </w:r>
          </w:p>
        </w:tc>
        <w:tc>
          <w:tcPr>
            <w:tcW w:w="977" w:type="dxa"/>
          </w:tcPr>
          <w:p>
            <w:pPr>
              <w:pStyle w:val="TableParagraph"/>
              <w:spacing w:before="1"/>
              <w:rPr>
                <w:rFonts w:ascii="黑体"/>
                <w:sz w:val="15"/>
              </w:rPr>
            </w:pPr>
          </w:p>
          <w:p>
            <w:pPr>
              <w:pStyle w:val="TableParagraph"/>
              <w:spacing w:before="1"/>
              <w:ind w:left="283"/>
              <w:rPr>
                <w:sz w:val="20"/>
              </w:rPr>
            </w:pPr>
            <w:r>
              <w:rPr>
                <w:sz w:val="20"/>
              </w:rPr>
              <w:t>7920</w:t>
            </w:r>
          </w:p>
        </w:tc>
        <w:tc>
          <w:tcPr>
            <w:tcW w:w="1080" w:type="dxa"/>
          </w:tcPr>
          <w:p>
            <w:pPr>
              <w:pStyle w:val="TableParagraph"/>
              <w:spacing w:before="1"/>
              <w:rPr>
                <w:rFonts w:ascii="黑体"/>
                <w:sz w:val="15"/>
              </w:rPr>
            </w:pPr>
          </w:p>
          <w:p>
            <w:pPr>
              <w:pStyle w:val="TableParagraph"/>
              <w:spacing w:before="1"/>
              <w:ind w:left="114" w:right="114"/>
              <w:jc w:val="center"/>
              <w:rPr>
                <w:sz w:val="20"/>
              </w:rPr>
            </w:pPr>
            <w:r>
              <w:rPr>
                <w:sz w:val="20"/>
              </w:rPr>
              <w:t>泰吉机电</w:t>
            </w:r>
          </w:p>
        </w:tc>
      </w:tr>
      <w:tr>
        <w:trPr>
          <w:trHeight w:val="700" w:hRule="atLeast"/>
        </w:trPr>
        <w:tc>
          <w:tcPr>
            <w:tcW w:w="481" w:type="dxa"/>
          </w:tcPr>
          <w:p>
            <w:pPr>
              <w:pStyle w:val="TableParagraph"/>
              <w:spacing w:before="1"/>
              <w:rPr>
                <w:rFonts w:ascii="黑体"/>
                <w:sz w:val="15"/>
              </w:rPr>
            </w:pPr>
          </w:p>
          <w:p>
            <w:pPr>
              <w:pStyle w:val="TableParagraph"/>
              <w:spacing w:before="1"/>
              <w:ind w:left="134"/>
              <w:rPr>
                <w:sz w:val="20"/>
              </w:rPr>
            </w:pPr>
            <w:r>
              <w:rPr>
                <w:sz w:val="20"/>
              </w:rPr>
              <w:t>45</w:t>
            </w:r>
          </w:p>
        </w:tc>
        <w:tc>
          <w:tcPr>
            <w:tcW w:w="2267" w:type="dxa"/>
          </w:tcPr>
          <w:p>
            <w:pPr>
              <w:pStyle w:val="TableParagraph"/>
              <w:spacing w:line="237" w:lineRule="auto" w:before="71"/>
              <w:ind w:left="827" w:right="109" w:hanging="700"/>
              <w:rPr>
                <w:sz w:val="20"/>
              </w:rPr>
            </w:pPr>
            <w:r>
              <w:rPr>
                <w:sz w:val="20"/>
              </w:rPr>
              <w:t>大洋汽车轴承技改和扩能项目</w:t>
            </w:r>
          </w:p>
        </w:tc>
        <w:tc>
          <w:tcPr>
            <w:tcW w:w="1116" w:type="dxa"/>
          </w:tcPr>
          <w:p>
            <w:pPr>
              <w:pStyle w:val="TableParagraph"/>
              <w:spacing w:before="1"/>
              <w:rPr>
                <w:rFonts w:ascii="黑体"/>
                <w:sz w:val="15"/>
              </w:rPr>
            </w:pPr>
          </w:p>
          <w:p>
            <w:pPr>
              <w:pStyle w:val="TableParagraph"/>
              <w:spacing w:before="1"/>
              <w:ind w:left="103"/>
              <w:rPr>
                <w:sz w:val="20"/>
              </w:rPr>
            </w:pPr>
            <w:r>
              <w:rPr>
                <w:sz w:val="20"/>
              </w:rPr>
              <w:t>2017-2018</w:t>
            </w:r>
          </w:p>
        </w:tc>
        <w:tc>
          <w:tcPr>
            <w:tcW w:w="3818" w:type="dxa"/>
          </w:tcPr>
          <w:p>
            <w:pPr>
              <w:pStyle w:val="TableParagraph"/>
              <w:spacing w:before="1"/>
              <w:rPr>
                <w:rFonts w:ascii="黑体"/>
                <w:sz w:val="15"/>
              </w:rPr>
            </w:pPr>
          </w:p>
          <w:p>
            <w:pPr>
              <w:pStyle w:val="TableParagraph"/>
              <w:spacing w:before="1"/>
              <w:ind w:left="805"/>
              <w:rPr>
                <w:sz w:val="20"/>
              </w:rPr>
            </w:pPr>
            <w:r>
              <w:rPr>
                <w:sz w:val="20"/>
              </w:rPr>
              <w:t>异地建设汽车轴承生产线</w:t>
            </w:r>
          </w:p>
        </w:tc>
        <w:tc>
          <w:tcPr>
            <w:tcW w:w="977" w:type="dxa"/>
          </w:tcPr>
          <w:p>
            <w:pPr>
              <w:pStyle w:val="TableParagraph"/>
              <w:spacing w:before="1"/>
              <w:rPr>
                <w:rFonts w:ascii="黑体"/>
                <w:sz w:val="15"/>
              </w:rPr>
            </w:pPr>
          </w:p>
          <w:p>
            <w:pPr>
              <w:pStyle w:val="TableParagraph"/>
              <w:spacing w:before="1"/>
              <w:ind w:left="233"/>
              <w:rPr>
                <w:sz w:val="20"/>
              </w:rPr>
            </w:pPr>
            <w:r>
              <w:rPr>
                <w:sz w:val="20"/>
              </w:rPr>
              <w:t>12000</w:t>
            </w:r>
          </w:p>
        </w:tc>
        <w:tc>
          <w:tcPr>
            <w:tcW w:w="1080" w:type="dxa"/>
          </w:tcPr>
          <w:p>
            <w:pPr>
              <w:pStyle w:val="TableParagraph"/>
              <w:spacing w:before="1"/>
              <w:rPr>
                <w:rFonts w:ascii="黑体"/>
                <w:sz w:val="15"/>
              </w:rPr>
            </w:pPr>
          </w:p>
          <w:p>
            <w:pPr>
              <w:pStyle w:val="TableParagraph"/>
              <w:spacing w:before="1"/>
              <w:ind w:left="114" w:right="114"/>
              <w:jc w:val="center"/>
              <w:rPr>
                <w:sz w:val="20"/>
              </w:rPr>
            </w:pPr>
            <w:r>
              <w:rPr>
                <w:sz w:val="20"/>
              </w:rPr>
              <w:t>大洋轴承</w:t>
            </w:r>
          </w:p>
        </w:tc>
      </w:tr>
      <w:tr>
        <w:trPr>
          <w:trHeight w:val="720" w:hRule="atLeast"/>
        </w:trPr>
        <w:tc>
          <w:tcPr>
            <w:tcW w:w="481" w:type="dxa"/>
          </w:tcPr>
          <w:p>
            <w:pPr>
              <w:pStyle w:val="TableParagraph"/>
              <w:spacing w:before="1"/>
              <w:rPr>
                <w:rFonts w:ascii="黑体"/>
                <w:sz w:val="15"/>
              </w:rPr>
            </w:pPr>
          </w:p>
          <w:p>
            <w:pPr>
              <w:pStyle w:val="TableParagraph"/>
              <w:spacing w:before="1"/>
              <w:ind w:left="134"/>
              <w:rPr>
                <w:sz w:val="20"/>
              </w:rPr>
            </w:pPr>
            <w:r>
              <w:rPr>
                <w:sz w:val="20"/>
              </w:rPr>
              <w:t>46</w:t>
            </w:r>
          </w:p>
        </w:tc>
        <w:tc>
          <w:tcPr>
            <w:tcW w:w="2267" w:type="dxa"/>
          </w:tcPr>
          <w:p>
            <w:pPr>
              <w:pStyle w:val="TableParagraph"/>
              <w:spacing w:line="237" w:lineRule="auto" w:before="71"/>
              <w:ind w:left="727" w:right="34" w:hanging="625"/>
              <w:rPr>
                <w:sz w:val="20"/>
              </w:rPr>
            </w:pPr>
            <w:r>
              <w:rPr>
                <w:sz w:val="20"/>
              </w:rPr>
              <w:t>川本电器11 万台稀土永磁电动机</w:t>
            </w:r>
          </w:p>
        </w:tc>
        <w:tc>
          <w:tcPr>
            <w:tcW w:w="1116" w:type="dxa"/>
          </w:tcPr>
          <w:p>
            <w:pPr>
              <w:pStyle w:val="TableParagraph"/>
              <w:spacing w:before="1"/>
              <w:rPr>
                <w:rFonts w:ascii="黑体"/>
                <w:sz w:val="15"/>
              </w:rPr>
            </w:pPr>
          </w:p>
          <w:p>
            <w:pPr>
              <w:pStyle w:val="TableParagraph"/>
              <w:spacing w:before="1"/>
              <w:ind w:left="103"/>
              <w:rPr>
                <w:sz w:val="20"/>
              </w:rPr>
            </w:pPr>
            <w:r>
              <w:rPr>
                <w:sz w:val="20"/>
              </w:rPr>
              <w:t>2018-2019</w:t>
            </w:r>
          </w:p>
        </w:tc>
        <w:tc>
          <w:tcPr>
            <w:tcW w:w="3818" w:type="dxa"/>
          </w:tcPr>
          <w:p>
            <w:pPr>
              <w:pStyle w:val="TableParagraph"/>
              <w:spacing w:before="1"/>
              <w:rPr>
                <w:rFonts w:ascii="黑体"/>
                <w:sz w:val="15"/>
              </w:rPr>
            </w:pPr>
          </w:p>
          <w:p>
            <w:pPr>
              <w:pStyle w:val="TableParagraph"/>
              <w:spacing w:before="1"/>
              <w:ind w:left="654"/>
              <w:rPr>
                <w:sz w:val="20"/>
              </w:rPr>
            </w:pPr>
            <w:r>
              <w:rPr>
                <w:sz w:val="20"/>
              </w:rPr>
              <w:t>年产 11 万台永磁电动机建设</w:t>
            </w:r>
          </w:p>
        </w:tc>
        <w:tc>
          <w:tcPr>
            <w:tcW w:w="977" w:type="dxa"/>
          </w:tcPr>
          <w:p>
            <w:pPr>
              <w:pStyle w:val="TableParagraph"/>
              <w:spacing w:before="1"/>
              <w:rPr>
                <w:rFonts w:ascii="黑体"/>
                <w:sz w:val="15"/>
              </w:rPr>
            </w:pPr>
          </w:p>
          <w:p>
            <w:pPr>
              <w:pStyle w:val="TableParagraph"/>
              <w:spacing w:before="1"/>
              <w:ind w:left="233"/>
              <w:rPr>
                <w:sz w:val="20"/>
              </w:rPr>
            </w:pPr>
            <w:r>
              <w:rPr>
                <w:sz w:val="20"/>
              </w:rPr>
              <w:t>35000</w:t>
            </w:r>
          </w:p>
        </w:tc>
        <w:tc>
          <w:tcPr>
            <w:tcW w:w="1080" w:type="dxa"/>
          </w:tcPr>
          <w:p>
            <w:pPr>
              <w:pStyle w:val="TableParagraph"/>
              <w:spacing w:before="1"/>
              <w:rPr>
                <w:rFonts w:ascii="黑体"/>
                <w:sz w:val="15"/>
              </w:rPr>
            </w:pPr>
          </w:p>
          <w:p>
            <w:pPr>
              <w:pStyle w:val="TableParagraph"/>
              <w:spacing w:before="1"/>
              <w:ind w:left="114" w:right="114"/>
              <w:jc w:val="center"/>
              <w:rPr>
                <w:sz w:val="20"/>
              </w:rPr>
            </w:pPr>
            <w:r>
              <w:rPr>
                <w:sz w:val="20"/>
              </w:rPr>
              <w:t>川本电器</w:t>
            </w:r>
          </w:p>
        </w:tc>
      </w:tr>
      <w:tr>
        <w:trPr>
          <w:trHeight w:val="700" w:hRule="atLeast"/>
        </w:trPr>
        <w:tc>
          <w:tcPr>
            <w:tcW w:w="481" w:type="dxa"/>
          </w:tcPr>
          <w:p>
            <w:pPr>
              <w:pStyle w:val="TableParagraph"/>
              <w:spacing w:before="1"/>
              <w:rPr>
                <w:rFonts w:ascii="黑体"/>
                <w:sz w:val="15"/>
              </w:rPr>
            </w:pPr>
          </w:p>
          <w:p>
            <w:pPr>
              <w:pStyle w:val="TableParagraph"/>
              <w:spacing w:before="1"/>
              <w:ind w:left="134"/>
              <w:rPr>
                <w:sz w:val="20"/>
              </w:rPr>
            </w:pPr>
            <w:r>
              <w:rPr>
                <w:sz w:val="20"/>
              </w:rPr>
              <w:t>47</w:t>
            </w:r>
          </w:p>
        </w:tc>
        <w:tc>
          <w:tcPr>
            <w:tcW w:w="2267" w:type="dxa"/>
          </w:tcPr>
          <w:p>
            <w:pPr>
              <w:pStyle w:val="TableParagraph"/>
              <w:spacing w:line="237" w:lineRule="auto" w:before="71"/>
              <w:ind w:left="927" w:right="109" w:hanging="800"/>
              <w:rPr>
                <w:sz w:val="20"/>
              </w:rPr>
            </w:pPr>
            <w:r>
              <w:rPr>
                <w:sz w:val="20"/>
              </w:rPr>
              <w:t>飞龙机电异地搬迁扩能技改</w:t>
            </w:r>
          </w:p>
        </w:tc>
        <w:tc>
          <w:tcPr>
            <w:tcW w:w="1116" w:type="dxa"/>
          </w:tcPr>
          <w:p>
            <w:pPr>
              <w:pStyle w:val="TableParagraph"/>
              <w:spacing w:before="1"/>
              <w:rPr>
                <w:rFonts w:ascii="黑体"/>
                <w:sz w:val="15"/>
              </w:rPr>
            </w:pPr>
          </w:p>
          <w:p>
            <w:pPr>
              <w:pStyle w:val="TableParagraph"/>
              <w:spacing w:before="1"/>
              <w:ind w:left="103"/>
              <w:rPr>
                <w:sz w:val="20"/>
              </w:rPr>
            </w:pPr>
            <w:r>
              <w:rPr>
                <w:sz w:val="20"/>
              </w:rPr>
              <w:t>2017-2019</w:t>
            </w:r>
          </w:p>
        </w:tc>
        <w:tc>
          <w:tcPr>
            <w:tcW w:w="3818" w:type="dxa"/>
          </w:tcPr>
          <w:p>
            <w:pPr>
              <w:pStyle w:val="TableParagraph"/>
              <w:spacing w:before="1"/>
              <w:rPr>
                <w:rFonts w:ascii="黑体"/>
                <w:sz w:val="15"/>
              </w:rPr>
            </w:pPr>
          </w:p>
          <w:p>
            <w:pPr>
              <w:pStyle w:val="TableParagraph"/>
              <w:spacing w:before="1"/>
              <w:ind w:left="5" w:right="4"/>
              <w:jc w:val="center"/>
              <w:rPr>
                <w:sz w:val="20"/>
              </w:rPr>
            </w:pPr>
            <w:r>
              <w:rPr>
                <w:sz w:val="20"/>
              </w:rPr>
              <w:t>环保设备</w:t>
            </w:r>
          </w:p>
        </w:tc>
        <w:tc>
          <w:tcPr>
            <w:tcW w:w="977" w:type="dxa"/>
          </w:tcPr>
          <w:p>
            <w:pPr>
              <w:pStyle w:val="TableParagraph"/>
              <w:spacing w:before="1"/>
              <w:rPr>
                <w:rFonts w:ascii="黑体"/>
                <w:sz w:val="15"/>
              </w:rPr>
            </w:pPr>
          </w:p>
          <w:p>
            <w:pPr>
              <w:pStyle w:val="TableParagraph"/>
              <w:spacing w:before="1"/>
              <w:ind w:left="283"/>
              <w:rPr>
                <w:sz w:val="20"/>
              </w:rPr>
            </w:pPr>
            <w:r>
              <w:rPr>
                <w:sz w:val="20"/>
              </w:rPr>
              <w:t>5000</w:t>
            </w:r>
          </w:p>
        </w:tc>
        <w:tc>
          <w:tcPr>
            <w:tcW w:w="1080" w:type="dxa"/>
          </w:tcPr>
          <w:p>
            <w:pPr>
              <w:pStyle w:val="TableParagraph"/>
              <w:spacing w:before="1"/>
              <w:rPr>
                <w:rFonts w:ascii="黑体"/>
                <w:sz w:val="15"/>
              </w:rPr>
            </w:pPr>
          </w:p>
          <w:p>
            <w:pPr>
              <w:pStyle w:val="TableParagraph"/>
              <w:spacing w:before="1"/>
              <w:ind w:left="114" w:right="114"/>
              <w:jc w:val="center"/>
              <w:rPr>
                <w:sz w:val="20"/>
              </w:rPr>
            </w:pPr>
            <w:r>
              <w:rPr>
                <w:sz w:val="20"/>
              </w:rPr>
              <w:t>飞龙机电</w:t>
            </w:r>
          </w:p>
        </w:tc>
      </w:tr>
      <w:tr>
        <w:trPr>
          <w:trHeight w:val="700" w:hRule="atLeast"/>
        </w:trPr>
        <w:tc>
          <w:tcPr>
            <w:tcW w:w="481" w:type="dxa"/>
          </w:tcPr>
          <w:p>
            <w:pPr>
              <w:pStyle w:val="TableParagraph"/>
              <w:spacing w:before="1"/>
              <w:rPr>
                <w:rFonts w:ascii="黑体"/>
                <w:sz w:val="15"/>
              </w:rPr>
            </w:pPr>
          </w:p>
          <w:p>
            <w:pPr>
              <w:pStyle w:val="TableParagraph"/>
              <w:spacing w:before="1"/>
              <w:ind w:left="134"/>
              <w:rPr>
                <w:sz w:val="20"/>
              </w:rPr>
            </w:pPr>
            <w:r>
              <w:rPr>
                <w:sz w:val="20"/>
              </w:rPr>
              <w:t>48</w:t>
            </w:r>
          </w:p>
        </w:tc>
        <w:tc>
          <w:tcPr>
            <w:tcW w:w="2267" w:type="dxa"/>
          </w:tcPr>
          <w:p>
            <w:pPr>
              <w:pStyle w:val="TableParagraph"/>
              <w:spacing w:line="237" w:lineRule="auto" w:before="71"/>
              <w:ind w:left="927" w:right="109" w:hanging="800"/>
              <w:rPr>
                <w:sz w:val="20"/>
              </w:rPr>
            </w:pPr>
            <w:r>
              <w:rPr>
                <w:sz w:val="20"/>
              </w:rPr>
              <w:t>乐锅锅炉异地搬迁扩能技改</w:t>
            </w:r>
          </w:p>
        </w:tc>
        <w:tc>
          <w:tcPr>
            <w:tcW w:w="1116" w:type="dxa"/>
          </w:tcPr>
          <w:p>
            <w:pPr>
              <w:pStyle w:val="TableParagraph"/>
              <w:spacing w:before="1"/>
              <w:rPr>
                <w:rFonts w:ascii="黑体"/>
                <w:sz w:val="15"/>
              </w:rPr>
            </w:pPr>
          </w:p>
          <w:p>
            <w:pPr>
              <w:pStyle w:val="TableParagraph"/>
              <w:spacing w:before="1"/>
              <w:ind w:left="103"/>
              <w:rPr>
                <w:sz w:val="20"/>
              </w:rPr>
            </w:pPr>
            <w:r>
              <w:rPr>
                <w:sz w:val="20"/>
              </w:rPr>
              <w:t>2017-2019</w:t>
            </w:r>
          </w:p>
        </w:tc>
        <w:tc>
          <w:tcPr>
            <w:tcW w:w="3818" w:type="dxa"/>
          </w:tcPr>
          <w:p>
            <w:pPr>
              <w:pStyle w:val="TableParagraph"/>
              <w:spacing w:before="1"/>
              <w:rPr>
                <w:rFonts w:ascii="黑体"/>
                <w:sz w:val="15"/>
              </w:rPr>
            </w:pPr>
          </w:p>
          <w:p>
            <w:pPr>
              <w:pStyle w:val="TableParagraph"/>
              <w:spacing w:before="1"/>
              <w:ind w:left="1204"/>
              <w:rPr>
                <w:sz w:val="20"/>
              </w:rPr>
            </w:pPr>
            <w:r>
              <w:rPr>
                <w:sz w:val="20"/>
              </w:rPr>
              <w:t>环保型工业锅炉</w:t>
            </w:r>
          </w:p>
        </w:tc>
        <w:tc>
          <w:tcPr>
            <w:tcW w:w="977" w:type="dxa"/>
          </w:tcPr>
          <w:p>
            <w:pPr>
              <w:pStyle w:val="TableParagraph"/>
              <w:spacing w:before="1"/>
              <w:rPr>
                <w:rFonts w:ascii="黑体"/>
                <w:sz w:val="15"/>
              </w:rPr>
            </w:pPr>
          </w:p>
          <w:p>
            <w:pPr>
              <w:pStyle w:val="TableParagraph"/>
              <w:spacing w:before="1"/>
              <w:ind w:left="283"/>
              <w:rPr>
                <w:sz w:val="20"/>
              </w:rPr>
            </w:pPr>
            <w:r>
              <w:rPr>
                <w:sz w:val="20"/>
              </w:rPr>
              <w:t>5000</w:t>
            </w:r>
          </w:p>
        </w:tc>
        <w:tc>
          <w:tcPr>
            <w:tcW w:w="1080" w:type="dxa"/>
          </w:tcPr>
          <w:p>
            <w:pPr>
              <w:pStyle w:val="TableParagraph"/>
              <w:spacing w:before="1"/>
              <w:rPr>
                <w:rFonts w:ascii="黑体"/>
                <w:sz w:val="15"/>
              </w:rPr>
            </w:pPr>
          </w:p>
          <w:p>
            <w:pPr>
              <w:pStyle w:val="TableParagraph"/>
              <w:spacing w:before="1"/>
              <w:ind w:left="114" w:right="114"/>
              <w:jc w:val="center"/>
              <w:rPr>
                <w:sz w:val="20"/>
              </w:rPr>
            </w:pPr>
            <w:r>
              <w:rPr>
                <w:sz w:val="20"/>
              </w:rPr>
              <w:t>乐锅锅炉</w:t>
            </w:r>
          </w:p>
        </w:tc>
      </w:tr>
      <w:tr>
        <w:trPr>
          <w:trHeight w:val="720" w:hRule="atLeast"/>
        </w:trPr>
        <w:tc>
          <w:tcPr>
            <w:tcW w:w="481" w:type="dxa"/>
          </w:tcPr>
          <w:p>
            <w:pPr>
              <w:pStyle w:val="TableParagraph"/>
              <w:spacing w:before="1"/>
              <w:rPr>
                <w:rFonts w:ascii="黑体"/>
                <w:sz w:val="15"/>
              </w:rPr>
            </w:pPr>
          </w:p>
          <w:p>
            <w:pPr>
              <w:pStyle w:val="TableParagraph"/>
              <w:spacing w:before="1"/>
              <w:ind w:left="134"/>
              <w:rPr>
                <w:sz w:val="20"/>
              </w:rPr>
            </w:pPr>
            <w:r>
              <w:rPr>
                <w:sz w:val="20"/>
              </w:rPr>
              <w:t>49</w:t>
            </w:r>
          </w:p>
        </w:tc>
        <w:tc>
          <w:tcPr>
            <w:tcW w:w="2267" w:type="dxa"/>
          </w:tcPr>
          <w:p>
            <w:pPr>
              <w:pStyle w:val="TableParagraph"/>
              <w:spacing w:line="237" w:lineRule="auto" w:before="71"/>
              <w:ind w:left="927" w:right="109" w:hanging="800"/>
              <w:rPr>
                <w:sz w:val="20"/>
              </w:rPr>
            </w:pPr>
            <w:r>
              <w:rPr>
                <w:sz w:val="20"/>
              </w:rPr>
              <w:t>东工机电异地搬迁扩能技改</w:t>
            </w:r>
          </w:p>
        </w:tc>
        <w:tc>
          <w:tcPr>
            <w:tcW w:w="1116" w:type="dxa"/>
          </w:tcPr>
          <w:p>
            <w:pPr>
              <w:pStyle w:val="TableParagraph"/>
              <w:spacing w:before="1"/>
              <w:rPr>
                <w:rFonts w:ascii="黑体"/>
                <w:sz w:val="15"/>
              </w:rPr>
            </w:pPr>
          </w:p>
          <w:p>
            <w:pPr>
              <w:pStyle w:val="TableParagraph"/>
              <w:spacing w:before="1"/>
              <w:ind w:left="103"/>
              <w:rPr>
                <w:sz w:val="20"/>
              </w:rPr>
            </w:pPr>
            <w:r>
              <w:rPr>
                <w:sz w:val="20"/>
              </w:rPr>
              <w:t>2017-2019</w:t>
            </w:r>
          </w:p>
        </w:tc>
        <w:tc>
          <w:tcPr>
            <w:tcW w:w="3818" w:type="dxa"/>
          </w:tcPr>
          <w:p>
            <w:pPr>
              <w:pStyle w:val="TableParagraph"/>
              <w:spacing w:before="1"/>
              <w:rPr>
                <w:rFonts w:ascii="黑体"/>
                <w:sz w:val="15"/>
              </w:rPr>
            </w:pPr>
          </w:p>
          <w:p>
            <w:pPr>
              <w:pStyle w:val="TableParagraph"/>
              <w:spacing w:before="1"/>
              <w:ind w:left="6" w:right="4"/>
              <w:jc w:val="center"/>
              <w:rPr>
                <w:sz w:val="20"/>
              </w:rPr>
            </w:pPr>
            <w:r>
              <w:rPr>
                <w:sz w:val="20"/>
              </w:rPr>
              <w:t>高效节能电机</w:t>
            </w:r>
          </w:p>
        </w:tc>
        <w:tc>
          <w:tcPr>
            <w:tcW w:w="977" w:type="dxa"/>
          </w:tcPr>
          <w:p>
            <w:pPr>
              <w:pStyle w:val="TableParagraph"/>
              <w:spacing w:before="1"/>
              <w:rPr>
                <w:rFonts w:ascii="黑体"/>
                <w:sz w:val="15"/>
              </w:rPr>
            </w:pPr>
          </w:p>
          <w:p>
            <w:pPr>
              <w:pStyle w:val="TableParagraph"/>
              <w:spacing w:before="1"/>
              <w:ind w:left="233"/>
              <w:rPr>
                <w:sz w:val="20"/>
              </w:rPr>
            </w:pPr>
            <w:r>
              <w:rPr>
                <w:sz w:val="20"/>
              </w:rPr>
              <w:t>12000</w:t>
            </w:r>
          </w:p>
        </w:tc>
        <w:tc>
          <w:tcPr>
            <w:tcW w:w="1080" w:type="dxa"/>
          </w:tcPr>
          <w:p>
            <w:pPr>
              <w:pStyle w:val="TableParagraph"/>
              <w:spacing w:before="1"/>
              <w:rPr>
                <w:rFonts w:ascii="黑体"/>
                <w:sz w:val="15"/>
              </w:rPr>
            </w:pPr>
          </w:p>
          <w:p>
            <w:pPr>
              <w:pStyle w:val="TableParagraph"/>
              <w:spacing w:before="1"/>
              <w:ind w:left="114" w:right="114"/>
              <w:jc w:val="center"/>
              <w:rPr>
                <w:sz w:val="20"/>
              </w:rPr>
            </w:pPr>
            <w:r>
              <w:rPr>
                <w:sz w:val="20"/>
              </w:rPr>
              <w:t>东工机电</w:t>
            </w:r>
          </w:p>
        </w:tc>
      </w:tr>
      <w:tr>
        <w:trPr>
          <w:trHeight w:val="700" w:hRule="atLeast"/>
        </w:trPr>
        <w:tc>
          <w:tcPr>
            <w:tcW w:w="481" w:type="dxa"/>
          </w:tcPr>
          <w:p>
            <w:pPr>
              <w:pStyle w:val="TableParagraph"/>
              <w:spacing w:before="1"/>
              <w:rPr>
                <w:rFonts w:ascii="黑体"/>
                <w:sz w:val="15"/>
              </w:rPr>
            </w:pPr>
          </w:p>
          <w:p>
            <w:pPr>
              <w:pStyle w:val="TableParagraph"/>
              <w:spacing w:before="1"/>
              <w:ind w:left="134"/>
              <w:rPr>
                <w:sz w:val="20"/>
              </w:rPr>
            </w:pPr>
            <w:r>
              <w:rPr>
                <w:sz w:val="20"/>
              </w:rPr>
              <w:t>50</w:t>
            </w:r>
          </w:p>
        </w:tc>
        <w:tc>
          <w:tcPr>
            <w:tcW w:w="2267" w:type="dxa"/>
          </w:tcPr>
          <w:p>
            <w:pPr>
              <w:pStyle w:val="TableParagraph"/>
              <w:spacing w:line="237" w:lineRule="auto" w:before="71"/>
              <w:ind w:left="927" w:right="109" w:hanging="800"/>
              <w:rPr>
                <w:sz w:val="20"/>
              </w:rPr>
            </w:pPr>
            <w:r>
              <w:rPr>
                <w:sz w:val="20"/>
              </w:rPr>
              <w:t>富丽包装异地搬迁扩能技改</w:t>
            </w:r>
          </w:p>
        </w:tc>
        <w:tc>
          <w:tcPr>
            <w:tcW w:w="1116" w:type="dxa"/>
          </w:tcPr>
          <w:p>
            <w:pPr>
              <w:pStyle w:val="TableParagraph"/>
              <w:spacing w:before="1"/>
              <w:rPr>
                <w:rFonts w:ascii="黑体"/>
                <w:sz w:val="15"/>
              </w:rPr>
            </w:pPr>
          </w:p>
          <w:p>
            <w:pPr>
              <w:pStyle w:val="TableParagraph"/>
              <w:spacing w:before="1"/>
              <w:ind w:left="103"/>
              <w:rPr>
                <w:sz w:val="20"/>
              </w:rPr>
            </w:pPr>
            <w:r>
              <w:rPr>
                <w:sz w:val="20"/>
              </w:rPr>
              <w:t>2017-2019</w:t>
            </w:r>
          </w:p>
        </w:tc>
        <w:tc>
          <w:tcPr>
            <w:tcW w:w="3818" w:type="dxa"/>
          </w:tcPr>
          <w:p>
            <w:pPr>
              <w:pStyle w:val="TableParagraph"/>
              <w:spacing w:before="1"/>
              <w:rPr>
                <w:rFonts w:ascii="黑体"/>
                <w:sz w:val="15"/>
              </w:rPr>
            </w:pPr>
          </w:p>
          <w:p>
            <w:pPr>
              <w:pStyle w:val="TableParagraph"/>
              <w:spacing w:before="1"/>
              <w:ind w:left="1104"/>
              <w:rPr>
                <w:sz w:val="20"/>
              </w:rPr>
            </w:pPr>
            <w:r>
              <w:rPr>
                <w:sz w:val="20"/>
              </w:rPr>
              <w:t>富丽包装异地搬迁</w:t>
            </w:r>
          </w:p>
        </w:tc>
        <w:tc>
          <w:tcPr>
            <w:tcW w:w="977" w:type="dxa"/>
          </w:tcPr>
          <w:p>
            <w:pPr>
              <w:pStyle w:val="TableParagraph"/>
              <w:spacing w:before="1"/>
              <w:rPr>
                <w:rFonts w:ascii="黑体"/>
                <w:sz w:val="15"/>
              </w:rPr>
            </w:pPr>
          </w:p>
          <w:p>
            <w:pPr>
              <w:pStyle w:val="TableParagraph"/>
              <w:spacing w:before="1"/>
              <w:ind w:left="283"/>
              <w:rPr>
                <w:sz w:val="20"/>
              </w:rPr>
            </w:pPr>
            <w:r>
              <w:rPr>
                <w:sz w:val="20"/>
              </w:rPr>
              <w:t>3000</w:t>
            </w:r>
          </w:p>
        </w:tc>
        <w:tc>
          <w:tcPr>
            <w:tcW w:w="1080" w:type="dxa"/>
          </w:tcPr>
          <w:p>
            <w:pPr>
              <w:pStyle w:val="TableParagraph"/>
              <w:spacing w:before="1"/>
              <w:rPr>
                <w:rFonts w:ascii="黑体"/>
                <w:sz w:val="15"/>
              </w:rPr>
            </w:pPr>
          </w:p>
          <w:p>
            <w:pPr>
              <w:pStyle w:val="TableParagraph"/>
              <w:spacing w:before="1"/>
              <w:ind w:left="114" w:right="114"/>
              <w:jc w:val="center"/>
              <w:rPr>
                <w:sz w:val="20"/>
              </w:rPr>
            </w:pPr>
            <w:r>
              <w:rPr>
                <w:sz w:val="20"/>
              </w:rPr>
              <w:t>富丽包装</w:t>
            </w:r>
          </w:p>
        </w:tc>
      </w:tr>
      <w:tr>
        <w:trPr>
          <w:trHeight w:val="700" w:hRule="atLeast"/>
        </w:trPr>
        <w:tc>
          <w:tcPr>
            <w:tcW w:w="481" w:type="dxa"/>
          </w:tcPr>
          <w:p>
            <w:pPr>
              <w:pStyle w:val="TableParagraph"/>
              <w:spacing w:before="1"/>
              <w:rPr>
                <w:rFonts w:ascii="黑体"/>
                <w:sz w:val="15"/>
              </w:rPr>
            </w:pPr>
          </w:p>
          <w:p>
            <w:pPr>
              <w:pStyle w:val="TableParagraph"/>
              <w:spacing w:before="1"/>
              <w:ind w:left="134"/>
              <w:rPr>
                <w:sz w:val="20"/>
              </w:rPr>
            </w:pPr>
            <w:r>
              <w:rPr>
                <w:sz w:val="20"/>
              </w:rPr>
              <w:t>51</w:t>
            </w:r>
          </w:p>
        </w:tc>
        <w:tc>
          <w:tcPr>
            <w:tcW w:w="2267" w:type="dxa"/>
          </w:tcPr>
          <w:p>
            <w:pPr>
              <w:pStyle w:val="TableParagraph"/>
              <w:spacing w:before="1"/>
              <w:rPr>
                <w:rFonts w:ascii="黑体"/>
                <w:sz w:val="15"/>
              </w:rPr>
            </w:pPr>
          </w:p>
          <w:p>
            <w:pPr>
              <w:pStyle w:val="TableParagraph"/>
              <w:spacing w:before="1"/>
              <w:ind w:left="98" w:right="99"/>
              <w:jc w:val="center"/>
              <w:rPr>
                <w:sz w:val="20"/>
              </w:rPr>
            </w:pPr>
            <w:r>
              <w:rPr>
                <w:sz w:val="20"/>
              </w:rPr>
              <w:t>川康二厂整体搬迁</w:t>
            </w:r>
          </w:p>
        </w:tc>
        <w:tc>
          <w:tcPr>
            <w:tcW w:w="1116" w:type="dxa"/>
          </w:tcPr>
          <w:p>
            <w:pPr>
              <w:pStyle w:val="TableParagraph"/>
              <w:spacing w:before="1"/>
              <w:rPr>
                <w:rFonts w:ascii="黑体"/>
                <w:sz w:val="15"/>
              </w:rPr>
            </w:pPr>
          </w:p>
          <w:p>
            <w:pPr>
              <w:pStyle w:val="TableParagraph"/>
              <w:spacing w:before="1"/>
              <w:ind w:left="101"/>
              <w:rPr>
                <w:sz w:val="20"/>
              </w:rPr>
            </w:pPr>
            <w:r>
              <w:rPr>
                <w:sz w:val="20"/>
              </w:rPr>
              <w:t>2016-2018</w:t>
            </w:r>
          </w:p>
        </w:tc>
        <w:tc>
          <w:tcPr>
            <w:tcW w:w="3818" w:type="dxa"/>
          </w:tcPr>
          <w:p>
            <w:pPr>
              <w:pStyle w:val="TableParagraph"/>
              <w:spacing w:before="1"/>
              <w:rPr>
                <w:rFonts w:ascii="黑体"/>
                <w:sz w:val="15"/>
              </w:rPr>
            </w:pPr>
          </w:p>
          <w:p>
            <w:pPr>
              <w:pStyle w:val="TableParagraph"/>
              <w:spacing w:before="1"/>
              <w:ind w:left="704"/>
              <w:rPr>
                <w:sz w:val="20"/>
              </w:rPr>
            </w:pPr>
            <w:r>
              <w:rPr>
                <w:sz w:val="20"/>
              </w:rPr>
              <w:t>老工业区川康二厂整体搬迁</w:t>
            </w:r>
          </w:p>
        </w:tc>
        <w:tc>
          <w:tcPr>
            <w:tcW w:w="977" w:type="dxa"/>
          </w:tcPr>
          <w:p>
            <w:pPr>
              <w:pStyle w:val="TableParagraph"/>
              <w:spacing w:before="1"/>
              <w:rPr>
                <w:rFonts w:ascii="黑体"/>
                <w:sz w:val="15"/>
              </w:rPr>
            </w:pPr>
          </w:p>
          <w:p>
            <w:pPr>
              <w:pStyle w:val="TableParagraph"/>
              <w:spacing w:before="1"/>
              <w:ind w:left="233"/>
              <w:rPr>
                <w:sz w:val="20"/>
              </w:rPr>
            </w:pPr>
            <w:r>
              <w:rPr>
                <w:sz w:val="20"/>
              </w:rPr>
              <w:t>30000</w:t>
            </w:r>
          </w:p>
        </w:tc>
        <w:tc>
          <w:tcPr>
            <w:tcW w:w="1080" w:type="dxa"/>
          </w:tcPr>
          <w:p>
            <w:pPr>
              <w:pStyle w:val="TableParagraph"/>
              <w:spacing w:before="1"/>
              <w:rPr>
                <w:rFonts w:ascii="黑体"/>
                <w:sz w:val="15"/>
              </w:rPr>
            </w:pPr>
          </w:p>
          <w:p>
            <w:pPr>
              <w:pStyle w:val="TableParagraph"/>
              <w:spacing w:before="1"/>
              <w:ind w:left="114" w:right="114"/>
              <w:jc w:val="center"/>
              <w:rPr>
                <w:sz w:val="20"/>
              </w:rPr>
            </w:pPr>
            <w:r>
              <w:rPr>
                <w:sz w:val="20"/>
              </w:rPr>
              <w:t>川康厂</w:t>
            </w:r>
          </w:p>
        </w:tc>
      </w:tr>
      <w:tr>
        <w:trPr>
          <w:trHeight w:val="720" w:hRule="atLeast"/>
        </w:trPr>
        <w:tc>
          <w:tcPr>
            <w:tcW w:w="481" w:type="dxa"/>
          </w:tcPr>
          <w:p>
            <w:pPr>
              <w:pStyle w:val="TableParagraph"/>
              <w:spacing w:before="1"/>
              <w:rPr>
                <w:rFonts w:ascii="黑体"/>
                <w:sz w:val="15"/>
              </w:rPr>
            </w:pPr>
          </w:p>
          <w:p>
            <w:pPr>
              <w:pStyle w:val="TableParagraph"/>
              <w:spacing w:before="1"/>
              <w:ind w:left="134"/>
              <w:rPr>
                <w:sz w:val="20"/>
              </w:rPr>
            </w:pPr>
            <w:r>
              <w:rPr>
                <w:sz w:val="20"/>
              </w:rPr>
              <w:t>52</w:t>
            </w:r>
          </w:p>
        </w:tc>
        <w:tc>
          <w:tcPr>
            <w:tcW w:w="2267" w:type="dxa"/>
          </w:tcPr>
          <w:p>
            <w:pPr>
              <w:pStyle w:val="TableParagraph"/>
              <w:spacing w:before="1"/>
              <w:rPr>
                <w:rFonts w:ascii="黑体"/>
                <w:sz w:val="15"/>
              </w:rPr>
            </w:pPr>
          </w:p>
          <w:p>
            <w:pPr>
              <w:pStyle w:val="TableParagraph"/>
              <w:spacing w:before="1"/>
              <w:ind w:left="98" w:right="99"/>
              <w:jc w:val="center"/>
              <w:rPr>
                <w:sz w:val="20"/>
              </w:rPr>
            </w:pPr>
            <w:r>
              <w:rPr>
                <w:sz w:val="20"/>
              </w:rPr>
              <w:t>给排水厂整体搬迁</w:t>
            </w:r>
          </w:p>
        </w:tc>
        <w:tc>
          <w:tcPr>
            <w:tcW w:w="1116" w:type="dxa"/>
          </w:tcPr>
          <w:p>
            <w:pPr>
              <w:pStyle w:val="TableParagraph"/>
              <w:spacing w:before="1"/>
              <w:rPr>
                <w:rFonts w:ascii="黑体"/>
                <w:sz w:val="15"/>
              </w:rPr>
            </w:pPr>
          </w:p>
          <w:p>
            <w:pPr>
              <w:pStyle w:val="TableParagraph"/>
              <w:spacing w:before="1"/>
              <w:ind w:left="101"/>
              <w:rPr>
                <w:sz w:val="20"/>
              </w:rPr>
            </w:pPr>
            <w:r>
              <w:rPr>
                <w:sz w:val="20"/>
              </w:rPr>
              <w:t>2016-2018</w:t>
            </w:r>
          </w:p>
        </w:tc>
        <w:tc>
          <w:tcPr>
            <w:tcW w:w="3818" w:type="dxa"/>
          </w:tcPr>
          <w:p>
            <w:pPr>
              <w:pStyle w:val="TableParagraph"/>
              <w:spacing w:before="1"/>
              <w:rPr>
                <w:rFonts w:ascii="黑体"/>
                <w:sz w:val="15"/>
              </w:rPr>
            </w:pPr>
          </w:p>
          <w:p>
            <w:pPr>
              <w:pStyle w:val="TableParagraph"/>
              <w:spacing w:before="1"/>
              <w:ind w:left="704"/>
              <w:rPr>
                <w:sz w:val="20"/>
              </w:rPr>
            </w:pPr>
            <w:r>
              <w:rPr>
                <w:sz w:val="20"/>
              </w:rPr>
              <w:t>老工业区给排水厂整体搬迁</w:t>
            </w:r>
          </w:p>
        </w:tc>
        <w:tc>
          <w:tcPr>
            <w:tcW w:w="977" w:type="dxa"/>
          </w:tcPr>
          <w:p>
            <w:pPr>
              <w:pStyle w:val="TableParagraph"/>
              <w:spacing w:before="1"/>
              <w:rPr>
                <w:rFonts w:ascii="黑体"/>
                <w:sz w:val="15"/>
              </w:rPr>
            </w:pPr>
          </w:p>
          <w:p>
            <w:pPr>
              <w:pStyle w:val="TableParagraph"/>
              <w:spacing w:before="1"/>
              <w:ind w:left="233"/>
              <w:rPr>
                <w:sz w:val="20"/>
              </w:rPr>
            </w:pPr>
            <w:r>
              <w:rPr>
                <w:sz w:val="20"/>
              </w:rPr>
              <w:t>10000</w:t>
            </w:r>
          </w:p>
        </w:tc>
        <w:tc>
          <w:tcPr>
            <w:tcW w:w="1080" w:type="dxa"/>
          </w:tcPr>
          <w:p>
            <w:pPr>
              <w:pStyle w:val="TableParagraph"/>
              <w:spacing w:before="1"/>
              <w:rPr>
                <w:rFonts w:ascii="黑体"/>
                <w:sz w:val="15"/>
              </w:rPr>
            </w:pPr>
          </w:p>
          <w:p>
            <w:pPr>
              <w:pStyle w:val="TableParagraph"/>
              <w:spacing w:before="1"/>
              <w:ind w:left="114" w:right="114"/>
              <w:jc w:val="center"/>
              <w:rPr>
                <w:sz w:val="20"/>
              </w:rPr>
            </w:pPr>
            <w:r>
              <w:rPr>
                <w:sz w:val="20"/>
              </w:rPr>
              <w:t>川康厂</w:t>
            </w:r>
          </w:p>
        </w:tc>
      </w:tr>
      <w:tr>
        <w:trPr>
          <w:trHeight w:val="700" w:hRule="atLeast"/>
        </w:trPr>
        <w:tc>
          <w:tcPr>
            <w:tcW w:w="481" w:type="dxa"/>
          </w:tcPr>
          <w:p>
            <w:pPr>
              <w:pStyle w:val="TableParagraph"/>
              <w:spacing w:before="1"/>
              <w:rPr>
                <w:rFonts w:ascii="黑体"/>
                <w:sz w:val="15"/>
              </w:rPr>
            </w:pPr>
          </w:p>
          <w:p>
            <w:pPr>
              <w:pStyle w:val="TableParagraph"/>
              <w:spacing w:before="1"/>
              <w:ind w:left="134"/>
              <w:rPr>
                <w:sz w:val="20"/>
              </w:rPr>
            </w:pPr>
            <w:r>
              <w:rPr>
                <w:sz w:val="20"/>
              </w:rPr>
              <w:t>53</w:t>
            </w:r>
          </w:p>
        </w:tc>
        <w:tc>
          <w:tcPr>
            <w:tcW w:w="2267" w:type="dxa"/>
          </w:tcPr>
          <w:p>
            <w:pPr>
              <w:pStyle w:val="TableParagraph"/>
              <w:spacing w:before="1"/>
              <w:rPr>
                <w:rFonts w:ascii="黑体"/>
                <w:sz w:val="15"/>
              </w:rPr>
            </w:pPr>
          </w:p>
          <w:p>
            <w:pPr>
              <w:pStyle w:val="TableParagraph"/>
              <w:spacing w:before="1"/>
              <w:ind w:left="98" w:right="99"/>
              <w:jc w:val="center"/>
              <w:rPr>
                <w:sz w:val="20"/>
              </w:rPr>
            </w:pPr>
            <w:r>
              <w:rPr>
                <w:sz w:val="20"/>
              </w:rPr>
              <w:t>林江锅炉整体搬迁</w:t>
            </w:r>
          </w:p>
        </w:tc>
        <w:tc>
          <w:tcPr>
            <w:tcW w:w="1116" w:type="dxa"/>
          </w:tcPr>
          <w:p>
            <w:pPr>
              <w:pStyle w:val="TableParagraph"/>
              <w:spacing w:before="1"/>
              <w:rPr>
                <w:rFonts w:ascii="黑体"/>
                <w:sz w:val="15"/>
              </w:rPr>
            </w:pPr>
          </w:p>
          <w:p>
            <w:pPr>
              <w:pStyle w:val="TableParagraph"/>
              <w:spacing w:before="1"/>
              <w:ind w:left="101"/>
              <w:rPr>
                <w:sz w:val="20"/>
              </w:rPr>
            </w:pPr>
            <w:r>
              <w:rPr>
                <w:sz w:val="20"/>
              </w:rPr>
              <w:t>2016-2018</w:t>
            </w:r>
          </w:p>
        </w:tc>
        <w:tc>
          <w:tcPr>
            <w:tcW w:w="3818" w:type="dxa"/>
          </w:tcPr>
          <w:p>
            <w:pPr>
              <w:pStyle w:val="TableParagraph"/>
              <w:spacing w:before="1"/>
              <w:rPr>
                <w:rFonts w:ascii="黑体"/>
                <w:sz w:val="15"/>
              </w:rPr>
            </w:pPr>
          </w:p>
          <w:p>
            <w:pPr>
              <w:pStyle w:val="TableParagraph"/>
              <w:spacing w:before="1"/>
              <w:ind w:left="704"/>
              <w:rPr>
                <w:sz w:val="20"/>
              </w:rPr>
            </w:pPr>
            <w:r>
              <w:rPr>
                <w:sz w:val="20"/>
              </w:rPr>
              <w:t>老工业区林江锅炉整体搬迁</w:t>
            </w:r>
          </w:p>
        </w:tc>
        <w:tc>
          <w:tcPr>
            <w:tcW w:w="977" w:type="dxa"/>
          </w:tcPr>
          <w:p>
            <w:pPr>
              <w:pStyle w:val="TableParagraph"/>
              <w:spacing w:before="1"/>
              <w:rPr>
                <w:rFonts w:ascii="黑体"/>
                <w:sz w:val="15"/>
              </w:rPr>
            </w:pPr>
          </w:p>
          <w:p>
            <w:pPr>
              <w:pStyle w:val="TableParagraph"/>
              <w:spacing w:before="1"/>
              <w:ind w:left="283"/>
              <w:rPr>
                <w:sz w:val="20"/>
              </w:rPr>
            </w:pPr>
            <w:r>
              <w:rPr>
                <w:sz w:val="20"/>
              </w:rPr>
              <w:t>8000</w:t>
            </w:r>
          </w:p>
        </w:tc>
        <w:tc>
          <w:tcPr>
            <w:tcW w:w="1080" w:type="dxa"/>
          </w:tcPr>
          <w:p>
            <w:pPr>
              <w:pStyle w:val="TableParagraph"/>
              <w:spacing w:before="1"/>
              <w:rPr>
                <w:rFonts w:ascii="黑体"/>
                <w:sz w:val="15"/>
              </w:rPr>
            </w:pPr>
          </w:p>
          <w:p>
            <w:pPr>
              <w:pStyle w:val="TableParagraph"/>
              <w:spacing w:before="1"/>
              <w:ind w:left="115" w:right="114"/>
              <w:jc w:val="center"/>
              <w:rPr>
                <w:sz w:val="20"/>
              </w:rPr>
            </w:pPr>
            <w:r>
              <w:rPr>
                <w:sz w:val="20"/>
              </w:rPr>
              <w:t>林江锅炉</w:t>
            </w:r>
          </w:p>
        </w:tc>
      </w:tr>
      <w:tr>
        <w:trPr>
          <w:trHeight w:val="700" w:hRule="atLeast"/>
        </w:trPr>
        <w:tc>
          <w:tcPr>
            <w:tcW w:w="481" w:type="dxa"/>
          </w:tcPr>
          <w:p>
            <w:pPr>
              <w:pStyle w:val="TableParagraph"/>
              <w:spacing w:before="1"/>
              <w:rPr>
                <w:rFonts w:ascii="黑体"/>
                <w:sz w:val="15"/>
              </w:rPr>
            </w:pPr>
          </w:p>
          <w:p>
            <w:pPr>
              <w:pStyle w:val="TableParagraph"/>
              <w:spacing w:before="1"/>
              <w:ind w:left="134"/>
              <w:rPr>
                <w:sz w:val="20"/>
              </w:rPr>
            </w:pPr>
            <w:r>
              <w:rPr>
                <w:sz w:val="20"/>
              </w:rPr>
              <w:t>54</w:t>
            </w:r>
          </w:p>
        </w:tc>
        <w:tc>
          <w:tcPr>
            <w:tcW w:w="2267" w:type="dxa"/>
          </w:tcPr>
          <w:p>
            <w:pPr>
              <w:pStyle w:val="TableParagraph"/>
              <w:spacing w:line="237" w:lineRule="auto" w:before="71"/>
              <w:ind w:left="727" w:right="408" w:hanging="299"/>
              <w:rPr>
                <w:sz w:val="20"/>
              </w:rPr>
            </w:pPr>
            <w:r>
              <w:rPr>
                <w:sz w:val="20"/>
              </w:rPr>
              <w:t>东风电机厂改制衍生项目</w:t>
            </w:r>
          </w:p>
        </w:tc>
        <w:tc>
          <w:tcPr>
            <w:tcW w:w="1116" w:type="dxa"/>
          </w:tcPr>
          <w:p>
            <w:pPr>
              <w:pStyle w:val="TableParagraph"/>
              <w:spacing w:before="1"/>
              <w:rPr>
                <w:rFonts w:ascii="黑体"/>
                <w:sz w:val="15"/>
              </w:rPr>
            </w:pPr>
          </w:p>
          <w:p>
            <w:pPr>
              <w:pStyle w:val="TableParagraph"/>
              <w:spacing w:before="1"/>
              <w:ind w:left="103"/>
              <w:rPr>
                <w:sz w:val="20"/>
              </w:rPr>
            </w:pPr>
            <w:r>
              <w:rPr>
                <w:sz w:val="20"/>
              </w:rPr>
              <w:t>2017-2019</w:t>
            </w:r>
          </w:p>
        </w:tc>
        <w:tc>
          <w:tcPr>
            <w:tcW w:w="3818" w:type="dxa"/>
          </w:tcPr>
          <w:p>
            <w:pPr>
              <w:pStyle w:val="TableParagraph"/>
              <w:spacing w:before="1"/>
              <w:rPr>
                <w:rFonts w:ascii="黑体"/>
                <w:sz w:val="15"/>
              </w:rPr>
            </w:pPr>
          </w:p>
          <w:p>
            <w:pPr>
              <w:pStyle w:val="TableParagraph"/>
              <w:spacing w:before="1"/>
              <w:ind w:left="805"/>
              <w:rPr>
                <w:sz w:val="20"/>
              </w:rPr>
            </w:pPr>
            <w:r>
              <w:rPr>
                <w:sz w:val="20"/>
              </w:rPr>
              <w:t>东风电机厂改制衍生项目</w:t>
            </w:r>
          </w:p>
        </w:tc>
        <w:tc>
          <w:tcPr>
            <w:tcW w:w="977" w:type="dxa"/>
          </w:tcPr>
          <w:p>
            <w:pPr>
              <w:pStyle w:val="TableParagraph"/>
              <w:spacing w:before="1"/>
              <w:rPr>
                <w:rFonts w:ascii="黑体"/>
                <w:sz w:val="15"/>
              </w:rPr>
            </w:pPr>
          </w:p>
          <w:p>
            <w:pPr>
              <w:pStyle w:val="TableParagraph"/>
              <w:spacing w:before="1"/>
              <w:ind w:left="233"/>
              <w:rPr>
                <w:sz w:val="20"/>
              </w:rPr>
            </w:pPr>
            <w:r>
              <w:rPr>
                <w:sz w:val="20"/>
              </w:rPr>
              <w:t>50000</w:t>
            </w:r>
          </w:p>
        </w:tc>
        <w:tc>
          <w:tcPr>
            <w:tcW w:w="1080" w:type="dxa"/>
          </w:tcPr>
          <w:p>
            <w:pPr>
              <w:pStyle w:val="TableParagraph"/>
              <w:spacing w:before="1"/>
              <w:rPr>
                <w:rFonts w:ascii="黑体"/>
                <w:sz w:val="15"/>
              </w:rPr>
            </w:pPr>
          </w:p>
          <w:p>
            <w:pPr>
              <w:pStyle w:val="TableParagraph"/>
              <w:spacing w:before="1"/>
              <w:ind w:left="114" w:right="114"/>
              <w:jc w:val="center"/>
              <w:rPr>
                <w:sz w:val="20"/>
              </w:rPr>
            </w:pPr>
            <w:r>
              <w:rPr>
                <w:sz w:val="20"/>
              </w:rPr>
              <w:t>东风电机</w:t>
            </w:r>
          </w:p>
        </w:tc>
      </w:tr>
      <w:tr>
        <w:trPr>
          <w:trHeight w:val="720" w:hRule="atLeast"/>
        </w:trPr>
        <w:tc>
          <w:tcPr>
            <w:tcW w:w="481" w:type="dxa"/>
          </w:tcPr>
          <w:p>
            <w:pPr>
              <w:pStyle w:val="TableParagraph"/>
              <w:spacing w:before="1"/>
              <w:rPr>
                <w:rFonts w:ascii="黑体"/>
                <w:sz w:val="15"/>
              </w:rPr>
            </w:pPr>
          </w:p>
          <w:p>
            <w:pPr>
              <w:pStyle w:val="TableParagraph"/>
              <w:spacing w:before="1"/>
              <w:ind w:left="134"/>
              <w:rPr>
                <w:sz w:val="20"/>
              </w:rPr>
            </w:pPr>
            <w:r>
              <w:rPr>
                <w:sz w:val="20"/>
              </w:rPr>
              <w:t>55</w:t>
            </w:r>
          </w:p>
        </w:tc>
        <w:tc>
          <w:tcPr>
            <w:tcW w:w="2267" w:type="dxa"/>
          </w:tcPr>
          <w:p>
            <w:pPr>
              <w:pStyle w:val="TableParagraph"/>
              <w:spacing w:line="237" w:lineRule="auto" w:before="71"/>
              <w:ind w:left="927" w:right="109" w:hanging="800"/>
              <w:rPr>
                <w:sz w:val="20"/>
              </w:rPr>
            </w:pPr>
            <w:r>
              <w:rPr>
                <w:sz w:val="20"/>
              </w:rPr>
              <w:t>东川机械异地搬迁扩能技改</w:t>
            </w:r>
          </w:p>
        </w:tc>
        <w:tc>
          <w:tcPr>
            <w:tcW w:w="1116" w:type="dxa"/>
          </w:tcPr>
          <w:p>
            <w:pPr>
              <w:pStyle w:val="TableParagraph"/>
              <w:spacing w:before="1"/>
              <w:rPr>
                <w:rFonts w:ascii="黑体"/>
                <w:sz w:val="15"/>
              </w:rPr>
            </w:pPr>
          </w:p>
          <w:p>
            <w:pPr>
              <w:pStyle w:val="TableParagraph"/>
              <w:spacing w:before="1"/>
              <w:ind w:left="103"/>
              <w:rPr>
                <w:sz w:val="20"/>
              </w:rPr>
            </w:pPr>
            <w:r>
              <w:rPr>
                <w:sz w:val="20"/>
              </w:rPr>
              <w:t>2017-2019</w:t>
            </w:r>
          </w:p>
        </w:tc>
        <w:tc>
          <w:tcPr>
            <w:tcW w:w="3818" w:type="dxa"/>
          </w:tcPr>
          <w:p>
            <w:pPr>
              <w:pStyle w:val="TableParagraph"/>
              <w:spacing w:before="1"/>
              <w:rPr>
                <w:rFonts w:ascii="黑体"/>
                <w:sz w:val="15"/>
              </w:rPr>
            </w:pPr>
          </w:p>
          <w:p>
            <w:pPr>
              <w:pStyle w:val="TableParagraph"/>
              <w:spacing w:before="1"/>
              <w:ind w:left="1104"/>
              <w:rPr>
                <w:sz w:val="20"/>
              </w:rPr>
            </w:pPr>
            <w:r>
              <w:rPr>
                <w:sz w:val="20"/>
              </w:rPr>
              <w:t>东川机械异地搬迁</w:t>
            </w:r>
          </w:p>
        </w:tc>
        <w:tc>
          <w:tcPr>
            <w:tcW w:w="977" w:type="dxa"/>
          </w:tcPr>
          <w:p>
            <w:pPr>
              <w:pStyle w:val="TableParagraph"/>
              <w:spacing w:before="1"/>
              <w:rPr>
                <w:rFonts w:ascii="黑体"/>
                <w:sz w:val="15"/>
              </w:rPr>
            </w:pPr>
          </w:p>
          <w:p>
            <w:pPr>
              <w:pStyle w:val="TableParagraph"/>
              <w:spacing w:before="1"/>
              <w:ind w:left="283"/>
              <w:rPr>
                <w:sz w:val="20"/>
              </w:rPr>
            </w:pPr>
            <w:r>
              <w:rPr>
                <w:sz w:val="20"/>
              </w:rPr>
              <w:t>3000</w:t>
            </w:r>
          </w:p>
        </w:tc>
        <w:tc>
          <w:tcPr>
            <w:tcW w:w="1080" w:type="dxa"/>
          </w:tcPr>
          <w:p>
            <w:pPr>
              <w:pStyle w:val="TableParagraph"/>
              <w:spacing w:before="1"/>
              <w:rPr>
                <w:rFonts w:ascii="黑体"/>
                <w:sz w:val="15"/>
              </w:rPr>
            </w:pPr>
          </w:p>
          <w:p>
            <w:pPr>
              <w:pStyle w:val="TableParagraph"/>
              <w:spacing w:before="1"/>
              <w:ind w:left="114" w:right="114"/>
              <w:jc w:val="center"/>
              <w:rPr>
                <w:sz w:val="20"/>
              </w:rPr>
            </w:pPr>
            <w:r>
              <w:rPr>
                <w:sz w:val="20"/>
              </w:rPr>
              <w:t>东川机械</w:t>
            </w:r>
          </w:p>
        </w:tc>
      </w:tr>
      <w:tr>
        <w:trPr>
          <w:trHeight w:val="700" w:hRule="atLeast"/>
        </w:trPr>
        <w:tc>
          <w:tcPr>
            <w:tcW w:w="481" w:type="dxa"/>
          </w:tcPr>
          <w:p>
            <w:pPr>
              <w:pStyle w:val="TableParagraph"/>
              <w:spacing w:before="1"/>
              <w:rPr>
                <w:rFonts w:ascii="黑体"/>
                <w:sz w:val="15"/>
              </w:rPr>
            </w:pPr>
          </w:p>
          <w:p>
            <w:pPr>
              <w:pStyle w:val="TableParagraph"/>
              <w:spacing w:before="1"/>
              <w:ind w:left="134"/>
              <w:rPr>
                <w:sz w:val="20"/>
              </w:rPr>
            </w:pPr>
            <w:r>
              <w:rPr>
                <w:sz w:val="20"/>
              </w:rPr>
              <w:t>56</w:t>
            </w:r>
          </w:p>
        </w:tc>
        <w:tc>
          <w:tcPr>
            <w:tcW w:w="2267" w:type="dxa"/>
          </w:tcPr>
          <w:p>
            <w:pPr>
              <w:pStyle w:val="TableParagraph"/>
              <w:spacing w:line="237" w:lineRule="auto" w:before="71"/>
              <w:ind w:left="827" w:right="34" w:hanging="725"/>
              <w:rPr>
                <w:sz w:val="20"/>
              </w:rPr>
            </w:pPr>
            <w:r>
              <w:rPr>
                <w:sz w:val="20"/>
              </w:rPr>
              <w:t>东川年产30 万套现代农业装备</w:t>
            </w:r>
          </w:p>
        </w:tc>
        <w:tc>
          <w:tcPr>
            <w:tcW w:w="1116" w:type="dxa"/>
          </w:tcPr>
          <w:p>
            <w:pPr>
              <w:pStyle w:val="TableParagraph"/>
              <w:spacing w:before="1"/>
              <w:rPr>
                <w:rFonts w:ascii="黑体"/>
                <w:sz w:val="15"/>
              </w:rPr>
            </w:pPr>
          </w:p>
          <w:p>
            <w:pPr>
              <w:pStyle w:val="TableParagraph"/>
              <w:spacing w:before="1"/>
              <w:ind w:left="103"/>
              <w:rPr>
                <w:sz w:val="20"/>
              </w:rPr>
            </w:pPr>
            <w:r>
              <w:rPr>
                <w:sz w:val="20"/>
              </w:rPr>
              <w:t>2018-2020</w:t>
            </w:r>
          </w:p>
        </w:tc>
        <w:tc>
          <w:tcPr>
            <w:tcW w:w="3818" w:type="dxa"/>
          </w:tcPr>
          <w:p>
            <w:pPr>
              <w:pStyle w:val="TableParagraph"/>
              <w:spacing w:before="1"/>
              <w:rPr>
                <w:rFonts w:ascii="黑体"/>
                <w:sz w:val="15"/>
              </w:rPr>
            </w:pPr>
          </w:p>
          <w:p>
            <w:pPr>
              <w:pStyle w:val="TableParagraph"/>
              <w:spacing w:before="1"/>
              <w:ind w:right="450"/>
              <w:jc w:val="right"/>
              <w:rPr>
                <w:sz w:val="20"/>
              </w:rPr>
            </w:pPr>
            <w:r>
              <w:rPr>
                <w:sz w:val="20"/>
              </w:rPr>
              <w:t>新建年产 30 万套农业装备生产线</w:t>
            </w:r>
          </w:p>
        </w:tc>
        <w:tc>
          <w:tcPr>
            <w:tcW w:w="977" w:type="dxa"/>
          </w:tcPr>
          <w:p>
            <w:pPr>
              <w:pStyle w:val="TableParagraph"/>
              <w:spacing w:before="1"/>
              <w:rPr>
                <w:rFonts w:ascii="黑体"/>
                <w:sz w:val="15"/>
              </w:rPr>
            </w:pPr>
          </w:p>
          <w:p>
            <w:pPr>
              <w:pStyle w:val="TableParagraph"/>
              <w:spacing w:before="1"/>
              <w:ind w:left="233"/>
              <w:rPr>
                <w:sz w:val="20"/>
              </w:rPr>
            </w:pPr>
            <w:r>
              <w:rPr>
                <w:sz w:val="20"/>
              </w:rPr>
              <w:t>37000</w:t>
            </w:r>
          </w:p>
        </w:tc>
        <w:tc>
          <w:tcPr>
            <w:tcW w:w="1080" w:type="dxa"/>
          </w:tcPr>
          <w:p>
            <w:pPr>
              <w:pStyle w:val="TableParagraph"/>
              <w:spacing w:before="1"/>
              <w:rPr>
                <w:rFonts w:ascii="黑体"/>
                <w:sz w:val="15"/>
              </w:rPr>
            </w:pPr>
          </w:p>
          <w:p>
            <w:pPr>
              <w:pStyle w:val="TableParagraph"/>
              <w:spacing w:before="1"/>
              <w:ind w:left="114" w:right="114"/>
              <w:jc w:val="center"/>
              <w:rPr>
                <w:sz w:val="20"/>
              </w:rPr>
            </w:pPr>
            <w:r>
              <w:rPr>
                <w:sz w:val="20"/>
              </w:rPr>
              <w:t>东川机械</w:t>
            </w:r>
          </w:p>
        </w:tc>
      </w:tr>
      <w:tr>
        <w:trPr>
          <w:trHeight w:val="760" w:hRule="atLeast"/>
        </w:trPr>
        <w:tc>
          <w:tcPr>
            <w:tcW w:w="481" w:type="dxa"/>
          </w:tcPr>
          <w:p>
            <w:pPr>
              <w:pStyle w:val="TableParagraph"/>
              <w:spacing w:before="4"/>
              <w:rPr>
                <w:rFonts w:ascii="黑体"/>
                <w:sz w:val="17"/>
              </w:rPr>
            </w:pPr>
          </w:p>
          <w:p>
            <w:pPr>
              <w:pStyle w:val="TableParagraph"/>
              <w:ind w:left="134"/>
              <w:rPr>
                <w:sz w:val="20"/>
              </w:rPr>
            </w:pPr>
            <w:r>
              <w:rPr>
                <w:sz w:val="20"/>
              </w:rPr>
              <w:t>57</w:t>
            </w:r>
          </w:p>
        </w:tc>
        <w:tc>
          <w:tcPr>
            <w:tcW w:w="2267" w:type="dxa"/>
          </w:tcPr>
          <w:p>
            <w:pPr>
              <w:pStyle w:val="TableParagraph"/>
              <w:spacing w:line="237" w:lineRule="auto" w:before="100"/>
              <w:ind w:left="428" w:right="108" w:hanging="300"/>
              <w:rPr>
                <w:sz w:val="20"/>
              </w:rPr>
            </w:pPr>
            <w:r>
              <w:rPr>
                <w:sz w:val="20"/>
              </w:rPr>
              <w:t>五通桥区宝坤机动车安全技术检测中心</w:t>
            </w:r>
          </w:p>
        </w:tc>
        <w:tc>
          <w:tcPr>
            <w:tcW w:w="1116" w:type="dxa"/>
          </w:tcPr>
          <w:p>
            <w:pPr>
              <w:pStyle w:val="TableParagraph"/>
              <w:spacing w:before="4"/>
              <w:rPr>
                <w:rFonts w:ascii="黑体"/>
                <w:sz w:val="17"/>
              </w:rPr>
            </w:pPr>
          </w:p>
          <w:p>
            <w:pPr>
              <w:pStyle w:val="TableParagraph"/>
              <w:ind w:left="103"/>
              <w:rPr>
                <w:sz w:val="20"/>
              </w:rPr>
            </w:pPr>
            <w:r>
              <w:rPr>
                <w:sz w:val="20"/>
              </w:rPr>
              <w:t>2017-2019</w:t>
            </w:r>
          </w:p>
        </w:tc>
        <w:tc>
          <w:tcPr>
            <w:tcW w:w="3818" w:type="dxa"/>
          </w:tcPr>
          <w:p>
            <w:pPr>
              <w:pStyle w:val="TableParagraph"/>
              <w:spacing w:line="228" w:lineRule="exact"/>
              <w:ind w:left="104" w:hanging="2"/>
              <w:rPr>
                <w:sz w:val="20"/>
              </w:rPr>
            </w:pPr>
            <w:r>
              <w:rPr>
                <w:spacing w:val="-14"/>
                <w:sz w:val="20"/>
              </w:rPr>
              <w:t>占地约 </w:t>
            </w:r>
            <w:r>
              <w:rPr>
                <w:sz w:val="20"/>
              </w:rPr>
              <w:t>50</w:t>
            </w:r>
            <w:r>
              <w:rPr>
                <w:spacing w:val="-14"/>
                <w:sz w:val="20"/>
              </w:rPr>
              <w:t> 亩，新建车间约 </w:t>
            </w:r>
            <w:r>
              <w:rPr>
                <w:sz w:val="20"/>
              </w:rPr>
              <w:t>15000</w:t>
            </w:r>
            <w:r>
              <w:rPr>
                <w:spacing w:val="-12"/>
                <w:sz w:val="20"/>
              </w:rPr>
              <w:t> 平方米，</w:t>
            </w:r>
          </w:p>
          <w:p>
            <w:pPr>
              <w:pStyle w:val="TableParagraph"/>
              <w:spacing w:line="237" w:lineRule="auto" w:before="1"/>
              <w:ind w:left="1203" w:right="85" w:hanging="1100"/>
              <w:rPr>
                <w:sz w:val="20"/>
              </w:rPr>
            </w:pPr>
            <w:r>
              <w:rPr>
                <w:sz w:val="20"/>
              </w:rPr>
              <w:t>安装检测线三条，办公、服务及配套设施约 10000 平方米</w:t>
            </w:r>
          </w:p>
        </w:tc>
        <w:tc>
          <w:tcPr>
            <w:tcW w:w="977" w:type="dxa"/>
          </w:tcPr>
          <w:p>
            <w:pPr>
              <w:pStyle w:val="TableParagraph"/>
              <w:spacing w:before="4"/>
              <w:rPr>
                <w:rFonts w:ascii="黑体"/>
                <w:sz w:val="17"/>
              </w:rPr>
            </w:pPr>
          </w:p>
          <w:p>
            <w:pPr>
              <w:pStyle w:val="TableParagraph"/>
              <w:ind w:left="283"/>
              <w:rPr>
                <w:sz w:val="20"/>
              </w:rPr>
            </w:pPr>
            <w:r>
              <w:rPr>
                <w:sz w:val="20"/>
              </w:rPr>
              <w:t>7150</w:t>
            </w:r>
          </w:p>
        </w:tc>
        <w:tc>
          <w:tcPr>
            <w:tcW w:w="1080" w:type="dxa"/>
          </w:tcPr>
          <w:p>
            <w:pPr>
              <w:pStyle w:val="TableParagraph"/>
              <w:spacing w:before="4"/>
              <w:rPr>
                <w:rFonts w:ascii="黑体"/>
                <w:sz w:val="17"/>
              </w:rPr>
            </w:pPr>
          </w:p>
          <w:p>
            <w:pPr>
              <w:pStyle w:val="TableParagraph"/>
              <w:ind w:left="114" w:right="114"/>
              <w:jc w:val="center"/>
              <w:rPr>
                <w:sz w:val="20"/>
              </w:rPr>
            </w:pPr>
            <w:r>
              <w:rPr>
                <w:sz w:val="20"/>
              </w:rPr>
              <w:t>宝坤车检</w:t>
            </w:r>
          </w:p>
        </w:tc>
      </w:tr>
      <w:tr>
        <w:trPr>
          <w:trHeight w:val="700" w:hRule="atLeast"/>
        </w:trPr>
        <w:tc>
          <w:tcPr>
            <w:tcW w:w="481" w:type="dxa"/>
          </w:tcPr>
          <w:p>
            <w:pPr>
              <w:pStyle w:val="TableParagraph"/>
              <w:spacing w:before="1"/>
              <w:rPr>
                <w:rFonts w:ascii="黑体"/>
                <w:sz w:val="15"/>
              </w:rPr>
            </w:pPr>
          </w:p>
          <w:p>
            <w:pPr>
              <w:pStyle w:val="TableParagraph"/>
              <w:spacing w:before="1"/>
              <w:ind w:left="134"/>
              <w:rPr>
                <w:sz w:val="20"/>
              </w:rPr>
            </w:pPr>
            <w:r>
              <w:rPr>
                <w:sz w:val="20"/>
              </w:rPr>
              <w:t>58</w:t>
            </w:r>
          </w:p>
        </w:tc>
        <w:tc>
          <w:tcPr>
            <w:tcW w:w="2267" w:type="dxa"/>
          </w:tcPr>
          <w:p>
            <w:pPr>
              <w:pStyle w:val="TableParagraph"/>
              <w:spacing w:line="260" w:lineRule="exact" w:before="68"/>
              <w:ind w:left="100" w:right="99"/>
              <w:jc w:val="center"/>
              <w:rPr>
                <w:sz w:val="20"/>
              </w:rPr>
            </w:pPr>
            <w:r>
              <w:rPr>
                <w:sz w:val="20"/>
              </w:rPr>
              <w:t>四川吉地煤业龙坝煤矿</w:t>
            </w:r>
          </w:p>
          <w:p>
            <w:pPr>
              <w:pStyle w:val="TableParagraph"/>
              <w:spacing w:line="260" w:lineRule="exact"/>
              <w:ind w:left="99" w:right="99"/>
              <w:jc w:val="center"/>
              <w:rPr>
                <w:sz w:val="20"/>
              </w:rPr>
            </w:pPr>
            <w:r>
              <w:rPr>
                <w:sz w:val="20"/>
              </w:rPr>
              <w:t>60 万吨/年项目</w:t>
            </w:r>
          </w:p>
        </w:tc>
        <w:tc>
          <w:tcPr>
            <w:tcW w:w="1116" w:type="dxa"/>
          </w:tcPr>
          <w:p>
            <w:pPr>
              <w:pStyle w:val="TableParagraph"/>
              <w:spacing w:before="1"/>
              <w:rPr>
                <w:rFonts w:ascii="黑体"/>
                <w:sz w:val="15"/>
              </w:rPr>
            </w:pPr>
          </w:p>
          <w:p>
            <w:pPr>
              <w:pStyle w:val="TableParagraph"/>
              <w:spacing w:before="1"/>
              <w:ind w:left="103"/>
              <w:rPr>
                <w:sz w:val="20"/>
              </w:rPr>
            </w:pPr>
            <w:r>
              <w:rPr>
                <w:sz w:val="20"/>
              </w:rPr>
              <w:t>2012-2018</w:t>
            </w:r>
          </w:p>
        </w:tc>
        <w:tc>
          <w:tcPr>
            <w:tcW w:w="3818" w:type="dxa"/>
          </w:tcPr>
          <w:p>
            <w:pPr>
              <w:pStyle w:val="TableParagraph"/>
              <w:spacing w:line="237" w:lineRule="auto" w:before="71"/>
              <w:ind w:left="104" w:right="84"/>
              <w:rPr>
                <w:sz w:val="20"/>
              </w:rPr>
            </w:pPr>
            <w:r>
              <w:rPr>
                <w:sz w:val="20"/>
              </w:rPr>
              <w:t>新建厂房、职工食堂、新掘进巷道、购置主要通风机、新建地面配电房、水池等。</w:t>
            </w:r>
          </w:p>
        </w:tc>
        <w:tc>
          <w:tcPr>
            <w:tcW w:w="977" w:type="dxa"/>
          </w:tcPr>
          <w:p>
            <w:pPr>
              <w:pStyle w:val="TableParagraph"/>
              <w:spacing w:before="1"/>
              <w:rPr>
                <w:rFonts w:ascii="黑体"/>
                <w:sz w:val="15"/>
              </w:rPr>
            </w:pPr>
          </w:p>
          <w:p>
            <w:pPr>
              <w:pStyle w:val="TableParagraph"/>
              <w:spacing w:before="1"/>
              <w:ind w:left="232"/>
              <w:rPr>
                <w:sz w:val="20"/>
              </w:rPr>
            </w:pPr>
            <w:r>
              <w:rPr>
                <w:sz w:val="20"/>
              </w:rPr>
              <w:t>72000</w:t>
            </w:r>
          </w:p>
        </w:tc>
        <w:tc>
          <w:tcPr>
            <w:tcW w:w="1080" w:type="dxa"/>
          </w:tcPr>
          <w:p>
            <w:pPr>
              <w:pStyle w:val="TableParagraph"/>
              <w:spacing w:before="1"/>
              <w:rPr>
                <w:rFonts w:ascii="黑体"/>
                <w:sz w:val="15"/>
              </w:rPr>
            </w:pPr>
          </w:p>
          <w:p>
            <w:pPr>
              <w:pStyle w:val="TableParagraph"/>
              <w:spacing w:before="1"/>
              <w:ind w:left="114" w:right="114"/>
              <w:jc w:val="center"/>
              <w:rPr>
                <w:sz w:val="20"/>
              </w:rPr>
            </w:pPr>
            <w:r>
              <w:rPr>
                <w:sz w:val="20"/>
              </w:rPr>
              <w:t>吉地煤业</w:t>
            </w:r>
          </w:p>
        </w:tc>
      </w:tr>
      <w:tr>
        <w:trPr>
          <w:trHeight w:val="720" w:hRule="atLeast"/>
        </w:trPr>
        <w:tc>
          <w:tcPr>
            <w:tcW w:w="481" w:type="dxa"/>
          </w:tcPr>
          <w:p>
            <w:pPr>
              <w:pStyle w:val="TableParagraph"/>
              <w:spacing w:before="1"/>
              <w:rPr>
                <w:rFonts w:ascii="黑体"/>
                <w:sz w:val="15"/>
              </w:rPr>
            </w:pPr>
          </w:p>
          <w:p>
            <w:pPr>
              <w:pStyle w:val="TableParagraph"/>
              <w:spacing w:before="1"/>
              <w:ind w:left="134"/>
              <w:rPr>
                <w:sz w:val="20"/>
              </w:rPr>
            </w:pPr>
            <w:r>
              <w:rPr>
                <w:sz w:val="20"/>
              </w:rPr>
              <w:t>59</w:t>
            </w:r>
          </w:p>
        </w:tc>
        <w:tc>
          <w:tcPr>
            <w:tcW w:w="2267" w:type="dxa"/>
          </w:tcPr>
          <w:p>
            <w:pPr>
              <w:pStyle w:val="TableParagraph"/>
              <w:spacing w:line="237" w:lineRule="auto" w:before="71"/>
              <w:ind w:left="827" w:right="122" w:hanging="700"/>
              <w:rPr>
                <w:sz w:val="20"/>
              </w:rPr>
            </w:pPr>
            <w:r>
              <w:rPr>
                <w:spacing w:val="-8"/>
                <w:sz w:val="20"/>
              </w:rPr>
              <w:t>癸金煤矿新建 </w:t>
            </w:r>
            <w:r>
              <w:rPr>
                <w:sz w:val="20"/>
              </w:rPr>
              <w:t>30</w:t>
            </w:r>
            <w:r>
              <w:rPr>
                <w:spacing w:val="-19"/>
                <w:sz w:val="20"/>
              </w:rPr>
              <w:t> 万吨</w:t>
            </w:r>
            <w:r>
              <w:rPr>
                <w:sz w:val="20"/>
              </w:rPr>
              <w:t>/ 年项目</w:t>
            </w:r>
          </w:p>
        </w:tc>
        <w:tc>
          <w:tcPr>
            <w:tcW w:w="1116" w:type="dxa"/>
          </w:tcPr>
          <w:p>
            <w:pPr>
              <w:pStyle w:val="TableParagraph"/>
              <w:spacing w:before="1"/>
              <w:rPr>
                <w:rFonts w:ascii="黑体"/>
                <w:sz w:val="15"/>
              </w:rPr>
            </w:pPr>
          </w:p>
          <w:p>
            <w:pPr>
              <w:pStyle w:val="TableParagraph"/>
              <w:spacing w:before="1"/>
              <w:ind w:left="103"/>
              <w:rPr>
                <w:sz w:val="20"/>
              </w:rPr>
            </w:pPr>
            <w:r>
              <w:rPr>
                <w:sz w:val="20"/>
              </w:rPr>
              <w:t>2013-2019</w:t>
            </w:r>
          </w:p>
        </w:tc>
        <w:tc>
          <w:tcPr>
            <w:tcW w:w="3818" w:type="dxa"/>
          </w:tcPr>
          <w:p>
            <w:pPr>
              <w:pStyle w:val="TableParagraph"/>
              <w:spacing w:line="237" w:lineRule="auto" w:before="71"/>
              <w:ind w:left="104" w:right="84"/>
              <w:rPr>
                <w:sz w:val="20"/>
              </w:rPr>
            </w:pPr>
            <w:r>
              <w:rPr>
                <w:sz w:val="20"/>
              </w:rPr>
              <w:t>新建厂房、职工食堂、新掘进巷道、购置主要通风机、新建地面配电房、水池等。</w:t>
            </w:r>
          </w:p>
        </w:tc>
        <w:tc>
          <w:tcPr>
            <w:tcW w:w="977" w:type="dxa"/>
          </w:tcPr>
          <w:p>
            <w:pPr>
              <w:pStyle w:val="TableParagraph"/>
              <w:spacing w:before="1"/>
              <w:rPr>
                <w:rFonts w:ascii="黑体"/>
                <w:sz w:val="15"/>
              </w:rPr>
            </w:pPr>
          </w:p>
          <w:p>
            <w:pPr>
              <w:pStyle w:val="TableParagraph"/>
              <w:spacing w:before="1"/>
              <w:ind w:left="232"/>
              <w:rPr>
                <w:sz w:val="20"/>
              </w:rPr>
            </w:pPr>
            <w:r>
              <w:rPr>
                <w:sz w:val="20"/>
              </w:rPr>
              <w:t>45000</w:t>
            </w:r>
          </w:p>
        </w:tc>
        <w:tc>
          <w:tcPr>
            <w:tcW w:w="1080" w:type="dxa"/>
          </w:tcPr>
          <w:p>
            <w:pPr>
              <w:pStyle w:val="TableParagraph"/>
              <w:spacing w:before="1"/>
              <w:rPr>
                <w:rFonts w:ascii="黑体"/>
                <w:sz w:val="15"/>
              </w:rPr>
            </w:pPr>
          </w:p>
          <w:p>
            <w:pPr>
              <w:pStyle w:val="TableParagraph"/>
              <w:spacing w:before="1"/>
              <w:ind w:left="114" w:right="114"/>
              <w:jc w:val="center"/>
              <w:rPr>
                <w:sz w:val="20"/>
              </w:rPr>
            </w:pPr>
            <w:r>
              <w:rPr>
                <w:sz w:val="20"/>
              </w:rPr>
              <w:t>癸金煤矿</w:t>
            </w:r>
          </w:p>
        </w:tc>
      </w:tr>
    </w:tbl>
    <w:p>
      <w:pPr>
        <w:spacing w:after="0"/>
        <w:jc w:val="center"/>
        <w:rPr>
          <w:sz w:val="20"/>
        </w:rPr>
        <w:sectPr>
          <w:pgSz w:w="11910" w:h="16840"/>
          <w:pgMar w:header="0" w:footer="938" w:top="1440" w:bottom="1120" w:left="960" w:right="960"/>
        </w:sectPr>
      </w:pPr>
    </w:p>
    <w:tbl>
      <w:tblPr>
        <w:tblW w:w="0" w:type="auto"/>
        <w:jc w:val="left"/>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81"/>
        <w:gridCol w:w="2267"/>
        <w:gridCol w:w="1116"/>
        <w:gridCol w:w="1611"/>
        <w:gridCol w:w="2207"/>
        <w:gridCol w:w="977"/>
        <w:gridCol w:w="1080"/>
      </w:tblGrid>
      <w:tr>
        <w:trPr>
          <w:trHeight w:val="700" w:hRule="atLeast"/>
        </w:trPr>
        <w:tc>
          <w:tcPr>
            <w:tcW w:w="481" w:type="dxa"/>
          </w:tcPr>
          <w:p>
            <w:pPr>
              <w:pStyle w:val="TableParagraph"/>
              <w:spacing w:before="1"/>
              <w:rPr>
                <w:rFonts w:ascii="黑体"/>
                <w:sz w:val="15"/>
              </w:rPr>
            </w:pPr>
          </w:p>
          <w:p>
            <w:pPr>
              <w:pStyle w:val="TableParagraph"/>
              <w:spacing w:before="1"/>
              <w:ind w:left="134"/>
              <w:rPr>
                <w:sz w:val="20"/>
              </w:rPr>
            </w:pPr>
            <w:r>
              <w:rPr>
                <w:sz w:val="20"/>
              </w:rPr>
              <w:t>60</w:t>
            </w:r>
          </w:p>
        </w:tc>
        <w:tc>
          <w:tcPr>
            <w:tcW w:w="2267" w:type="dxa"/>
          </w:tcPr>
          <w:p>
            <w:pPr>
              <w:pStyle w:val="TableParagraph"/>
              <w:spacing w:line="237" w:lineRule="auto" w:before="71"/>
              <w:ind w:left="428" w:right="108" w:hanging="300"/>
              <w:rPr>
                <w:sz w:val="20"/>
              </w:rPr>
            </w:pPr>
            <w:r>
              <w:rPr>
                <w:sz w:val="20"/>
              </w:rPr>
              <w:t>四川省乐山凤来煤业有限公司扩能项目</w:t>
            </w:r>
          </w:p>
        </w:tc>
        <w:tc>
          <w:tcPr>
            <w:tcW w:w="1116" w:type="dxa"/>
          </w:tcPr>
          <w:p>
            <w:pPr>
              <w:pStyle w:val="TableParagraph"/>
              <w:spacing w:before="1"/>
              <w:rPr>
                <w:rFonts w:ascii="黑体"/>
                <w:sz w:val="15"/>
              </w:rPr>
            </w:pPr>
          </w:p>
          <w:p>
            <w:pPr>
              <w:pStyle w:val="TableParagraph"/>
              <w:spacing w:before="1"/>
              <w:ind w:left="103"/>
              <w:rPr>
                <w:sz w:val="20"/>
              </w:rPr>
            </w:pPr>
            <w:r>
              <w:rPr>
                <w:sz w:val="20"/>
              </w:rPr>
              <w:t>2018-2020</w:t>
            </w:r>
          </w:p>
        </w:tc>
        <w:tc>
          <w:tcPr>
            <w:tcW w:w="1611" w:type="dxa"/>
            <w:tcBorders>
              <w:right w:val="nil"/>
            </w:tcBorders>
          </w:tcPr>
          <w:p>
            <w:pPr>
              <w:pStyle w:val="TableParagraph"/>
              <w:spacing w:before="1"/>
              <w:rPr>
                <w:rFonts w:ascii="黑体"/>
                <w:sz w:val="15"/>
              </w:rPr>
            </w:pPr>
          </w:p>
          <w:p>
            <w:pPr>
              <w:pStyle w:val="TableParagraph"/>
              <w:spacing w:before="1"/>
              <w:ind w:right="97"/>
              <w:jc w:val="right"/>
              <w:rPr>
                <w:sz w:val="20"/>
              </w:rPr>
            </w:pPr>
            <w:r>
              <w:rPr>
                <w:sz w:val="20"/>
              </w:rPr>
              <w:t>技改扩能</w:t>
            </w:r>
          </w:p>
        </w:tc>
        <w:tc>
          <w:tcPr>
            <w:tcW w:w="2207" w:type="dxa"/>
            <w:tcBorders>
              <w:left w:val="nil"/>
            </w:tcBorders>
          </w:tcPr>
          <w:p>
            <w:pPr>
              <w:pStyle w:val="TableParagraph"/>
              <w:spacing w:before="1"/>
              <w:rPr>
                <w:rFonts w:ascii="黑体"/>
                <w:sz w:val="15"/>
              </w:rPr>
            </w:pPr>
          </w:p>
          <w:p>
            <w:pPr>
              <w:pStyle w:val="TableParagraph"/>
              <w:spacing w:before="1"/>
              <w:ind w:left="99"/>
              <w:rPr>
                <w:sz w:val="20"/>
              </w:rPr>
            </w:pPr>
            <w:r>
              <w:rPr>
                <w:sz w:val="20"/>
              </w:rPr>
              <w:t>规模 15 万吨/年</w:t>
            </w:r>
          </w:p>
        </w:tc>
        <w:tc>
          <w:tcPr>
            <w:tcW w:w="977" w:type="dxa"/>
          </w:tcPr>
          <w:p>
            <w:pPr>
              <w:pStyle w:val="TableParagraph"/>
              <w:spacing w:before="1"/>
              <w:rPr>
                <w:rFonts w:ascii="黑体"/>
                <w:sz w:val="15"/>
              </w:rPr>
            </w:pPr>
          </w:p>
          <w:p>
            <w:pPr>
              <w:pStyle w:val="TableParagraph"/>
              <w:spacing w:before="1"/>
              <w:ind w:left="283"/>
              <w:rPr>
                <w:sz w:val="20"/>
              </w:rPr>
            </w:pPr>
            <w:r>
              <w:rPr>
                <w:sz w:val="20"/>
              </w:rPr>
              <w:t>8000</w:t>
            </w:r>
          </w:p>
        </w:tc>
        <w:tc>
          <w:tcPr>
            <w:tcW w:w="1080" w:type="dxa"/>
          </w:tcPr>
          <w:p>
            <w:pPr>
              <w:pStyle w:val="TableParagraph"/>
              <w:spacing w:before="1"/>
              <w:rPr>
                <w:rFonts w:ascii="黑体"/>
                <w:sz w:val="15"/>
              </w:rPr>
            </w:pPr>
          </w:p>
          <w:p>
            <w:pPr>
              <w:pStyle w:val="TableParagraph"/>
              <w:spacing w:before="1"/>
              <w:ind w:left="114" w:right="114"/>
              <w:jc w:val="center"/>
              <w:rPr>
                <w:sz w:val="20"/>
              </w:rPr>
            </w:pPr>
            <w:r>
              <w:rPr>
                <w:sz w:val="20"/>
              </w:rPr>
              <w:t>凤来煤业</w:t>
            </w:r>
          </w:p>
        </w:tc>
      </w:tr>
      <w:tr>
        <w:trPr>
          <w:trHeight w:val="720" w:hRule="atLeast"/>
        </w:trPr>
        <w:tc>
          <w:tcPr>
            <w:tcW w:w="481" w:type="dxa"/>
          </w:tcPr>
          <w:p>
            <w:pPr>
              <w:pStyle w:val="TableParagraph"/>
              <w:spacing w:before="1"/>
              <w:rPr>
                <w:rFonts w:ascii="黑体"/>
                <w:sz w:val="15"/>
              </w:rPr>
            </w:pPr>
          </w:p>
          <w:p>
            <w:pPr>
              <w:pStyle w:val="TableParagraph"/>
              <w:spacing w:before="1"/>
              <w:ind w:left="134"/>
              <w:rPr>
                <w:sz w:val="20"/>
              </w:rPr>
            </w:pPr>
            <w:r>
              <w:rPr>
                <w:sz w:val="20"/>
              </w:rPr>
              <w:t>61</w:t>
            </w:r>
          </w:p>
        </w:tc>
        <w:tc>
          <w:tcPr>
            <w:tcW w:w="2267" w:type="dxa"/>
          </w:tcPr>
          <w:p>
            <w:pPr>
              <w:pStyle w:val="TableParagraph"/>
              <w:spacing w:line="237" w:lineRule="auto" w:before="71"/>
              <w:ind w:left="127" w:right="108" w:firstLine="1"/>
              <w:rPr>
                <w:sz w:val="20"/>
              </w:rPr>
            </w:pPr>
            <w:r>
              <w:rPr>
                <w:sz w:val="20"/>
              </w:rPr>
              <w:t>乐山市五通桥区庙儿山煤业有限公司扩能项目</w:t>
            </w:r>
          </w:p>
        </w:tc>
        <w:tc>
          <w:tcPr>
            <w:tcW w:w="1116" w:type="dxa"/>
          </w:tcPr>
          <w:p>
            <w:pPr>
              <w:pStyle w:val="TableParagraph"/>
              <w:spacing w:before="1"/>
              <w:rPr>
                <w:rFonts w:ascii="黑体"/>
                <w:sz w:val="15"/>
              </w:rPr>
            </w:pPr>
          </w:p>
          <w:p>
            <w:pPr>
              <w:pStyle w:val="TableParagraph"/>
              <w:spacing w:before="1"/>
              <w:ind w:left="103"/>
              <w:rPr>
                <w:sz w:val="20"/>
              </w:rPr>
            </w:pPr>
            <w:r>
              <w:rPr>
                <w:sz w:val="20"/>
              </w:rPr>
              <w:t>2017-2019</w:t>
            </w:r>
          </w:p>
        </w:tc>
        <w:tc>
          <w:tcPr>
            <w:tcW w:w="1611" w:type="dxa"/>
            <w:tcBorders>
              <w:right w:val="nil"/>
            </w:tcBorders>
          </w:tcPr>
          <w:p>
            <w:pPr>
              <w:pStyle w:val="TableParagraph"/>
              <w:spacing w:before="1"/>
              <w:rPr>
                <w:rFonts w:ascii="黑体"/>
                <w:sz w:val="15"/>
              </w:rPr>
            </w:pPr>
          </w:p>
          <w:p>
            <w:pPr>
              <w:pStyle w:val="TableParagraph"/>
              <w:spacing w:before="1"/>
              <w:ind w:right="97"/>
              <w:jc w:val="right"/>
              <w:rPr>
                <w:sz w:val="20"/>
              </w:rPr>
            </w:pPr>
            <w:r>
              <w:rPr>
                <w:sz w:val="20"/>
              </w:rPr>
              <w:t>技改扩能</w:t>
            </w:r>
          </w:p>
        </w:tc>
        <w:tc>
          <w:tcPr>
            <w:tcW w:w="2207" w:type="dxa"/>
            <w:tcBorders>
              <w:left w:val="nil"/>
            </w:tcBorders>
          </w:tcPr>
          <w:p>
            <w:pPr>
              <w:pStyle w:val="TableParagraph"/>
              <w:spacing w:before="1"/>
              <w:rPr>
                <w:rFonts w:ascii="黑体"/>
                <w:sz w:val="15"/>
              </w:rPr>
            </w:pPr>
          </w:p>
          <w:p>
            <w:pPr>
              <w:pStyle w:val="TableParagraph"/>
              <w:spacing w:before="1"/>
              <w:ind w:left="99"/>
              <w:rPr>
                <w:sz w:val="20"/>
              </w:rPr>
            </w:pPr>
            <w:r>
              <w:rPr>
                <w:sz w:val="20"/>
              </w:rPr>
              <w:t>规模 21 万吨/年</w:t>
            </w:r>
          </w:p>
        </w:tc>
        <w:tc>
          <w:tcPr>
            <w:tcW w:w="977" w:type="dxa"/>
          </w:tcPr>
          <w:p>
            <w:pPr>
              <w:pStyle w:val="TableParagraph"/>
              <w:spacing w:before="1"/>
              <w:rPr>
                <w:rFonts w:ascii="黑体"/>
                <w:sz w:val="15"/>
              </w:rPr>
            </w:pPr>
          </w:p>
          <w:p>
            <w:pPr>
              <w:pStyle w:val="TableParagraph"/>
              <w:spacing w:before="1"/>
              <w:ind w:left="233"/>
              <w:rPr>
                <w:sz w:val="20"/>
              </w:rPr>
            </w:pPr>
            <w:r>
              <w:rPr>
                <w:sz w:val="20"/>
              </w:rPr>
              <w:t>15000</w:t>
            </w:r>
          </w:p>
        </w:tc>
        <w:tc>
          <w:tcPr>
            <w:tcW w:w="1080" w:type="dxa"/>
          </w:tcPr>
          <w:p>
            <w:pPr>
              <w:pStyle w:val="TableParagraph"/>
              <w:spacing w:line="237" w:lineRule="auto" w:before="71"/>
              <w:ind w:left="434" w:right="116" w:hanging="300"/>
              <w:rPr>
                <w:sz w:val="20"/>
              </w:rPr>
            </w:pPr>
            <w:r>
              <w:rPr>
                <w:sz w:val="20"/>
              </w:rPr>
              <w:t>庙儿山煤业</w:t>
            </w:r>
          </w:p>
        </w:tc>
      </w:tr>
      <w:tr>
        <w:trPr>
          <w:trHeight w:val="600" w:hRule="atLeast"/>
        </w:trPr>
        <w:tc>
          <w:tcPr>
            <w:tcW w:w="481" w:type="dxa"/>
          </w:tcPr>
          <w:p>
            <w:pPr>
              <w:pStyle w:val="TableParagraph"/>
              <w:spacing w:before="144"/>
              <w:ind w:left="134"/>
              <w:rPr>
                <w:sz w:val="20"/>
              </w:rPr>
            </w:pPr>
            <w:r>
              <w:rPr>
                <w:sz w:val="20"/>
              </w:rPr>
              <w:t>62</w:t>
            </w:r>
          </w:p>
        </w:tc>
        <w:tc>
          <w:tcPr>
            <w:tcW w:w="2267" w:type="dxa"/>
          </w:tcPr>
          <w:p>
            <w:pPr>
              <w:pStyle w:val="TableParagraph"/>
              <w:spacing w:line="237" w:lineRule="auto" w:before="17"/>
              <w:ind w:left="627" w:right="109" w:hanging="500"/>
              <w:rPr>
                <w:sz w:val="20"/>
              </w:rPr>
            </w:pPr>
            <w:r>
              <w:rPr>
                <w:sz w:val="20"/>
              </w:rPr>
              <w:t>乐山市五通桥区牛沟煤业有限公司</w:t>
            </w:r>
          </w:p>
        </w:tc>
        <w:tc>
          <w:tcPr>
            <w:tcW w:w="1116" w:type="dxa"/>
          </w:tcPr>
          <w:p>
            <w:pPr>
              <w:pStyle w:val="TableParagraph"/>
              <w:spacing w:before="144"/>
              <w:ind w:left="103"/>
              <w:rPr>
                <w:sz w:val="20"/>
              </w:rPr>
            </w:pPr>
            <w:r>
              <w:rPr>
                <w:sz w:val="20"/>
              </w:rPr>
              <w:t>2019-2020</w:t>
            </w:r>
          </w:p>
        </w:tc>
        <w:tc>
          <w:tcPr>
            <w:tcW w:w="1611" w:type="dxa"/>
            <w:tcBorders>
              <w:right w:val="nil"/>
            </w:tcBorders>
          </w:tcPr>
          <w:p>
            <w:pPr>
              <w:pStyle w:val="TableParagraph"/>
              <w:spacing w:before="144"/>
              <w:ind w:right="97"/>
              <w:jc w:val="right"/>
              <w:rPr>
                <w:sz w:val="20"/>
              </w:rPr>
            </w:pPr>
            <w:r>
              <w:rPr>
                <w:sz w:val="20"/>
              </w:rPr>
              <w:t>技改扩能</w:t>
            </w:r>
          </w:p>
        </w:tc>
        <w:tc>
          <w:tcPr>
            <w:tcW w:w="2207" w:type="dxa"/>
            <w:tcBorders>
              <w:left w:val="nil"/>
            </w:tcBorders>
          </w:tcPr>
          <w:p>
            <w:pPr>
              <w:pStyle w:val="TableParagraph"/>
              <w:spacing w:before="144"/>
              <w:ind w:left="99"/>
              <w:rPr>
                <w:sz w:val="20"/>
              </w:rPr>
            </w:pPr>
            <w:r>
              <w:rPr>
                <w:sz w:val="20"/>
              </w:rPr>
              <w:t>规模 15 万吨/年</w:t>
            </w:r>
          </w:p>
        </w:tc>
        <w:tc>
          <w:tcPr>
            <w:tcW w:w="977" w:type="dxa"/>
          </w:tcPr>
          <w:p>
            <w:pPr>
              <w:pStyle w:val="TableParagraph"/>
              <w:spacing w:before="144"/>
              <w:ind w:left="283"/>
              <w:rPr>
                <w:sz w:val="20"/>
              </w:rPr>
            </w:pPr>
            <w:r>
              <w:rPr>
                <w:sz w:val="20"/>
              </w:rPr>
              <w:t>5000</w:t>
            </w:r>
          </w:p>
        </w:tc>
        <w:tc>
          <w:tcPr>
            <w:tcW w:w="1080" w:type="dxa"/>
          </w:tcPr>
          <w:p>
            <w:pPr>
              <w:pStyle w:val="TableParagraph"/>
              <w:spacing w:before="144"/>
              <w:ind w:left="114" w:right="114"/>
              <w:jc w:val="center"/>
              <w:rPr>
                <w:sz w:val="20"/>
              </w:rPr>
            </w:pPr>
            <w:r>
              <w:rPr>
                <w:sz w:val="20"/>
              </w:rPr>
              <w:t>牛沟煤业</w:t>
            </w:r>
          </w:p>
        </w:tc>
      </w:tr>
      <w:tr>
        <w:trPr>
          <w:trHeight w:val="600" w:hRule="atLeast"/>
        </w:trPr>
        <w:tc>
          <w:tcPr>
            <w:tcW w:w="481" w:type="dxa"/>
          </w:tcPr>
          <w:p>
            <w:pPr>
              <w:pStyle w:val="TableParagraph"/>
              <w:spacing w:before="144"/>
              <w:ind w:left="134"/>
              <w:rPr>
                <w:sz w:val="20"/>
              </w:rPr>
            </w:pPr>
            <w:r>
              <w:rPr>
                <w:sz w:val="20"/>
              </w:rPr>
              <w:t>63</w:t>
            </w:r>
          </w:p>
        </w:tc>
        <w:tc>
          <w:tcPr>
            <w:tcW w:w="2267" w:type="dxa"/>
          </w:tcPr>
          <w:p>
            <w:pPr>
              <w:pStyle w:val="TableParagraph"/>
              <w:spacing w:line="237" w:lineRule="auto" w:before="17"/>
              <w:ind w:left="127" w:right="108" w:firstLine="1"/>
              <w:rPr>
                <w:sz w:val="20"/>
              </w:rPr>
            </w:pPr>
            <w:r>
              <w:rPr>
                <w:sz w:val="20"/>
              </w:rPr>
              <w:t>乐山市五通桥区福光煤业有限公司庙子沟煤矿</w:t>
            </w:r>
          </w:p>
        </w:tc>
        <w:tc>
          <w:tcPr>
            <w:tcW w:w="1116" w:type="dxa"/>
          </w:tcPr>
          <w:p>
            <w:pPr>
              <w:pStyle w:val="TableParagraph"/>
              <w:spacing w:before="144"/>
              <w:ind w:left="103"/>
              <w:rPr>
                <w:sz w:val="20"/>
              </w:rPr>
            </w:pPr>
            <w:r>
              <w:rPr>
                <w:sz w:val="20"/>
              </w:rPr>
              <w:t>2018-2020</w:t>
            </w:r>
          </w:p>
        </w:tc>
        <w:tc>
          <w:tcPr>
            <w:tcW w:w="1611" w:type="dxa"/>
            <w:tcBorders>
              <w:right w:val="nil"/>
            </w:tcBorders>
          </w:tcPr>
          <w:p>
            <w:pPr>
              <w:pStyle w:val="TableParagraph"/>
              <w:spacing w:before="144"/>
              <w:ind w:right="97"/>
              <w:jc w:val="right"/>
              <w:rPr>
                <w:sz w:val="20"/>
              </w:rPr>
            </w:pPr>
            <w:r>
              <w:rPr>
                <w:sz w:val="20"/>
              </w:rPr>
              <w:t>技改扩能</w:t>
            </w:r>
          </w:p>
        </w:tc>
        <w:tc>
          <w:tcPr>
            <w:tcW w:w="2207" w:type="dxa"/>
            <w:tcBorders>
              <w:left w:val="nil"/>
            </w:tcBorders>
          </w:tcPr>
          <w:p>
            <w:pPr>
              <w:pStyle w:val="TableParagraph"/>
              <w:spacing w:before="144"/>
              <w:ind w:left="99"/>
              <w:rPr>
                <w:sz w:val="20"/>
              </w:rPr>
            </w:pPr>
            <w:r>
              <w:rPr>
                <w:sz w:val="20"/>
              </w:rPr>
              <w:t>规模 30 万吨/年</w:t>
            </w:r>
          </w:p>
        </w:tc>
        <w:tc>
          <w:tcPr>
            <w:tcW w:w="977" w:type="dxa"/>
          </w:tcPr>
          <w:p>
            <w:pPr>
              <w:pStyle w:val="TableParagraph"/>
              <w:spacing w:before="144"/>
              <w:ind w:left="233"/>
              <w:rPr>
                <w:sz w:val="20"/>
              </w:rPr>
            </w:pPr>
            <w:r>
              <w:rPr>
                <w:sz w:val="20"/>
              </w:rPr>
              <w:t>20000</w:t>
            </w:r>
          </w:p>
        </w:tc>
        <w:tc>
          <w:tcPr>
            <w:tcW w:w="1080" w:type="dxa"/>
          </w:tcPr>
          <w:p>
            <w:pPr>
              <w:pStyle w:val="TableParagraph"/>
              <w:spacing w:before="144"/>
              <w:ind w:left="114" w:right="114"/>
              <w:jc w:val="center"/>
              <w:rPr>
                <w:sz w:val="20"/>
              </w:rPr>
            </w:pPr>
            <w:r>
              <w:rPr>
                <w:sz w:val="20"/>
              </w:rPr>
              <w:t>福光煤业</w:t>
            </w:r>
          </w:p>
        </w:tc>
      </w:tr>
      <w:tr>
        <w:trPr>
          <w:trHeight w:val="460" w:hRule="atLeast"/>
        </w:trPr>
        <w:tc>
          <w:tcPr>
            <w:tcW w:w="481" w:type="dxa"/>
          </w:tcPr>
          <w:p>
            <w:pPr>
              <w:pStyle w:val="TableParagraph"/>
              <w:spacing w:before="71"/>
              <w:ind w:left="134"/>
              <w:rPr>
                <w:sz w:val="20"/>
              </w:rPr>
            </w:pPr>
            <w:r>
              <w:rPr>
                <w:sz w:val="20"/>
              </w:rPr>
              <w:t>64</w:t>
            </w:r>
          </w:p>
        </w:tc>
        <w:tc>
          <w:tcPr>
            <w:tcW w:w="2267" w:type="dxa"/>
          </w:tcPr>
          <w:p>
            <w:pPr>
              <w:pStyle w:val="TableParagraph"/>
              <w:spacing w:before="71"/>
              <w:ind w:left="98" w:right="99"/>
              <w:jc w:val="center"/>
              <w:rPr>
                <w:sz w:val="20"/>
              </w:rPr>
            </w:pPr>
            <w:r>
              <w:rPr>
                <w:sz w:val="20"/>
              </w:rPr>
              <w:t>桫莲煤业有限公司</w:t>
            </w:r>
          </w:p>
        </w:tc>
        <w:tc>
          <w:tcPr>
            <w:tcW w:w="1116" w:type="dxa"/>
          </w:tcPr>
          <w:p>
            <w:pPr>
              <w:pStyle w:val="TableParagraph"/>
              <w:spacing w:before="71"/>
              <w:ind w:left="101"/>
              <w:rPr>
                <w:sz w:val="20"/>
              </w:rPr>
            </w:pPr>
            <w:r>
              <w:rPr>
                <w:sz w:val="20"/>
              </w:rPr>
              <w:t>2018-2020</w:t>
            </w:r>
          </w:p>
        </w:tc>
        <w:tc>
          <w:tcPr>
            <w:tcW w:w="1611" w:type="dxa"/>
            <w:tcBorders>
              <w:right w:val="nil"/>
            </w:tcBorders>
          </w:tcPr>
          <w:p>
            <w:pPr>
              <w:pStyle w:val="TableParagraph"/>
              <w:spacing w:before="71"/>
              <w:ind w:right="98"/>
              <w:jc w:val="right"/>
              <w:rPr>
                <w:sz w:val="20"/>
              </w:rPr>
            </w:pPr>
            <w:r>
              <w:rPr>
                <w:sz w:val="20"/>
              </w:rPr>
              <w:t>技改扩能</w:t>
            </w:r>
          </w:p>
        </w:tc>
        <w:tc>
          <w:tcPr>
            <w:tcW w:w="2207" w:type="dxa"/>
            <w:tcBorders>
              <w:left w:val="nil"/>
            </w:tcBorders>
          </w:tcPr>
          <w:p>
            <w:pPr>
              <w:pStyle w:val="TableParagraph"/>
              <w:spacing w:before="71"/>
              <w:ind w:left="99"/>
              <w:rPr>
                <w:sz w:val="20"/>
              </w:rPr>
            </w:pPr>
            <w:r>
              <w:rPr>
                <w:sz w:val="20"/>
              </w:rPr>
              <w:t>规模 15 万吨/年</w:t>
            </w:r>
          </w:p>
        </w:tc>
        <w:tc>
          <w:tcPr>
            <w:tcW w:w="977" w:type="dxa"/>
          </w:tcPr>
          <w:p>
            <w:pPr>
              <w:pStyle w:val="TableParagraph"/>
              <w:spacing w:before="71"/>
              <w:ind w:left="283"/>
              <w:rPr>
                <w:sz w:val="20"/>
              </w:rPr>
            </w:pPr>
            <w:r>
              <w:rPr>
                <w:sz w:val="20"/>
              </w:rPr>
              <w:t>8000</w:t>
            </w:r>
          </w:p>
        </w:tc>
        <w:tc>
          <w:tcPr>
            <w:tcW w:w="1080" w:type="dxa"/>
          </w:tcPr>
          <w:p>
            <w:pPr>
              <w:pStyle w:val="TableParagraph"/>
              <w:spacing w:before="71"/>
              <w:ind w:left="115" w:right="114"/>
              <w:jc w:val="center"/>
              <w:rPr>
                <w:sz w:val="20"/>
              </w:rPr>
            </w:pPr>
            <w:r>
              <w:rPr>
                <w:sz w:val="20"/>
              </w:rPr>
              <w:t>桫莲煤业</w:t>
            </w:r>
          </w:p>
        </w:tc>
      </w:tr>
      <w:tr>
        <w:trPr>
          <w:trHeight w:val="580" w:hRule="atLeast"/>
        </w:trPr>
        <w:tc>
          <w:tcPr>
            <w:tcW w:w="481" w:type="dxa"/>
          </w:tcPr>
          <w:p>
            <w:pPr>
              <w:pStyle w:val="TableParagraph"/>
              <w:spacing w:before="138"/>
              <w:ind w:left="134"/>
              <w:rPr>
                <w:sz w:val="20"/>
              </w:rPr>
            </w:pPr>
            <w:r>
              <w:rPr>
                <w:sz w:val="20"/>
              </w:rPr>
              <w:t>65</w:t>
            </w:r>
          </w:p>
        </w:tc>
        <w:tc>
          <w:tcPr>
            <w:tcW w:w="2267" w:type="dxa"/>
          </w:tcPr>
          <w:p>
            <w:pPr>
              <w:pStyle w:val="TableParagraph"/>
              <w:spacing w:line="237" w:lineRule="auto" w:before="11"/>
              <w:ind w:left="627" w:right="511" w:hanging="100"/>
              <w:rPr>
                <w:sz w:val="20"/>
              </w:rPr>
            </w:pPr>
            <w:r>
              <w:rPr>
                <w:spacing w:val="-17"/>
                <w:sz w:val="20"/>
              </w:rPr>
              <w:t>大兴 </w:t>
            </w:r>
            <w:r>
              <w:rPr>
                <w:sz w:val="20"/>
              </w:rPr>
              <w:t>110</w:t>
            </w:r>
            <w:r>
              <w:rPr>
                <w:spacing w:val="-17"/>
                <w:sz w:val="20"/>
              </w:rPr>
              <w:t> 千伏</w:t>
            </w:r>
            <w:r>
              <w:rPr>
                <w:spacing w:val="-1"/>
                <w:sz w:val="20"/>
              </w:rPr>
              <w:t>输变电工程</w:t>
            </w:r>
          </w:p>
        </w:tc>
        <w:tc>
          <w:tcPr>
            <w:tcW w:w="1116" w:type="dxa"/>
          </w:tcPr>
          <w:p>
            <w:pPr>
              <w:pStyle w:val="TableParagraph"/>
              <w:spacing w:before="138"/>
              <w:ind w:left="103"/>
              <w:rPr>
                <w:sz w:val="20"/>
              </w:rPr>
            </w:pPr>
            <w:r>
              <w:rPr>
                <w:sz w:val="20"/>
              </w:rPr>
              <w:t>2016-2017</w:t>
            </w:r>
          </w:p>
        </w:tc>
        <w:tc>
          <w:tcPr>
            <w:tcW w:w="3818" w:type="dxa"/>
            <w:gridSpan w:val="2"/>
          </w:tcPr>
          <w:p>
            <w:pPr>
              <w:pStyle w:val="TableParagraph"/>
              <w:spacing w:before="138"/>
              <w:ind w:left="804"/>
              <w:rPr>
                <w:sz w:val="20"/>
              </w:rPr>
            </w:pPr>
            <w:r>
              <w:rPr>
                <w:sz w:val="20"/>
              </w:rPr>
              <w:t>大兴 110 千伏输变电工程</w:t>
            </w:r>
          </w:p>
        </w:tc>
        <w:tc>
          <w:tcPr>
            <w:tcW w:w="977" w:type="dxa"/>
          </w:tcPr>
          <w:p>
            <w:pPr>
              <w:pStyle w:val="TableParagraph"/>
              <w:spacing w:before="138"/>
              <w:ind w:left="283"/>
              <w:rPr>
                <w:sz w:val="20"/>
              </w:rPr>
            </w:pPr>
            <w:r>
              <w:rPr>
                <w:sz w:val="20"/>
              </w:rPr>
              <w:t>7139</w:t>
            </w:r>
          </w:p>
        </w:tc>
        <w:tc>
          <w:tcPr>
            <w:tcW w:w="1080" w:type="dxa"/>
          </w:tcPr>
          <w:p>
            <w:pPr>
              <w:pStyle w:val="TableParagraph"/>
              <w:spacing w:line="237" w:lineRule="auto" w:before="11"/>
              <w:ind w:left="334" w:right="117" w:hanging="201"/>
              <w:rPr>
                <w:sz w:val="20"/>
              </w:rPr>
            </w:pPr>
            <w:r>
              <w:rPr>
                <w:sz w:val="20"/>
              </w:rPr>
              <w:t>五通供电公司</w:t>
            </w:r>
          </w:p>
        </w:tc>
      </w:tr>
      <w:tr>
        <w:trPr>
          <w:trHeight w:val="620" w:hRule="atLeast"/>
        </w:trPr>
        <w:tc>
          <w:tcPr>
            <w:tcW w:w="481" w:type="dxa"/>
          </w:tcPr>
          <w:p>
            <w:pPr>
              <w:pStyle w:val="TableParagraph"/>
              <w:spacing w:before="148"/>
              <w:ind w:left="134"/>
              <w:rPr>
                <w:sz w:val="20"/>
              </w:rPr>
            </w:pPr>
            <w:r>
              <w:rPr>
                <w:sz w:val="20"/>
              </w:rPr>
              <w:t>66</w:t>
            </w:r>
          </w:p>
        </w:tc>
        <w:tc>
          <w:tcPr>
            <w:tcW w:w="2267" w:type="dxa"/>
          </w:tcPr>
          <w:p>
            <w:pPr>
              <w:pStyle w:val="TableParagraph"/>
              <w:spacing w:line="237" w:lineRule="auto" w:before="21"/>
              <w:ind w:left="428" w:right="116" w:hanging="300"/>
              <w:rPr>
                <w:sz w:val="20"/>
              </w:rPr>
            </w:pPr>
            <w:r>
              <w:rPr>
                <w:spacing w:val="-7"/>
                <w:sz w:val="20"/>
              </w:rPr>
              <w:t>乐山老木孔电站 </w:t>
            </w:r>
            <w:r>
              <w:rPr>
                <w:sz w:val="20"/>
              </w:rPr>
              <w:t>220</w:t>
            </w:r>
            <w:r>
              <w:rPr>
                <w:spacing w:val="-26"/>
                <w:sz w:val="20"/>
              </w:rPr>
              <w:t> 千</w:t>
            </w:r>
            <w:r>
              <w:rPr>
                <w:spacing w:val="-1"/>
                <w:sz w:val="20"/>
              </w:rPr>
              <w:t>伏送出线路工程</w:t>
            </w:r>
          </w:p>
        </w:tc>
        <w:tc>
          <w:tcPr>
            <w:tcW w:w="1116" w:type="dxa"/>
          </w:tcPr>
          <w:p>
            <w:pPr>
              <w:pStyle w:val="TableParagraph"/>
              <w:spacing w:before="148"/>
              <w:ind w:left="103"/>
              <w:rPr>
                <w:sz w:val="20"/>
              </w:rPr>
            </w:pPr>
            <w:r>
              <w:rPr>
                <w:sz w:val="20"/>
              </w:rPr>
              <w:t>2017-2018</w:t>
            </w:r>
          </w:p>
        </w:tc>
        <w:tc>
          <w:tcPr>
            <w:tcW w:w="3818" w:type="dxa"/>
            <w:gridSpan w:val="2"/>
          </w:tcPr>
          <w:p>
            <w:pPr>
              <w:pStyle w:val="TableParagraph"/>
              <w:spacing w:before="148"/>
              <w:ind w:left="1153"/>
              <w:rPr>
                <w:sz w:val="20"/>
              </w:rPr>
            </w:pPr>
            <w:r>
              <w:rPr>
                <w:sz w:val="20"/>
              </w:rPr>
              <w:t>线路长度 16 公里</w:t>
            </w:r>
          </w:p>
        </w:tc>
        <w:tc>
          <w:tcPr>
            <w:tcW w:w="977" w:type="dxa"/>
          </w:tcPr>
          <w:p>
            <w:pPr>
              <w:pStyle w:val="TableParagraph"/>
              <w:spacing w:before="148"/>
              <w:ind w:left="282"/>
              <w:rPr>
                <w:sz w:val="20"/>
              </w:rPr>
            </w:pPr>
            <w:r>
              <w:rPr>
                <w:sz w:val="20"/>
              </w:rPr>
              <w:t>2560</w:t>
            </w:r>
          </w:p>
        </w:tc>
        <w:tc>
          <w:tcPr>
            <w:tcW w:w="1080" w:type="dxa"/>
          </w:tcPr>
          <w:p>
            <w:pPr>
              <w:pStyle w:val="TableParagraph"/>
              <w:spacing w:line="237" w:lineRule="auto" w:before="21"/>
              <w:ind w:left="334" w:right="117" w:hanging="201"/>
              <w:rPr>
                <w:sz w:val="20"/>
              </w:rPr>
            </w:pPr>
            <w:r>
              <w:rPr>
                <w:sz w:val="20"/>
              </w:rPr>
              <w:t>五通供电公司</w:t>
            </w:r>
          </w:p>
        </w:tc>
      </w:tr>
      <w:tr>
        <w:trPr>
          <w:trHeight w:val="580" w:hRule="atLeast"/>
        </w:trPr>
        <w:tc>
          <w:tcPr>
            <w:tcW w:w="481" w:type="dxa"/>
          </w:tcPr>
          <w:p>
            <w:pPr>
              <w:pStyle w:val="TableParagraph"/>
              <w:spacing w:before="138"/>
              <w:ind w:left="134"/>
              <w:rPr>
                <w:sz w:val="20"/>
              </w:rPr>
            </w:pPr>
            <w:r>
              <w:rPr>
                <w:sz w:val="20"/>
              </w:rPr>
              <w:t>67</w:t>
            </w:r>
          </w:p>
        </w:tc>
        <w:tc>
          <w:tcPr>
            <w:tcW w:w="2267" w:type="dxa"/>
          </w:tcPr>
          <w:p>
            <w:pPr>
              <w:pStyle w:val="TableParagraph"/>
              <w:spacing w:line="237" w:lineRule="auto" w:before="11"/>
              <w:ind w:left="627" w:right="117" w:hanging="500"/>
              <w:rPr>
                <w:sz w:val="20"/>
              </w:rPr>
            </w:pPr>
            <w:r>
              <w:rPr>
                <w:spacing w:val="-7"/>
                <w:sz w:val="20"/>
              </w:rPr>
              <w:t>乐山东风岩电站 </w:t>
            </w:r>
            <w:r>
              <w:rPr>
                <w:sz w:val="20"/>
              </w:rPr>
              <w:t>220</w:t>
            </w:r>
            <w:r>
              <w:rPr>
                <w:spacing w:val="-26"/>
                <w:sz w:val="20"/>
              </w:rPr>
              <w:t> 千</w:t>
            </w:r>
            <w:r>
              <w:rPr>
                <w:spacing w:val="-1"/>
                <w:sz w:val="20"/>
              </w:rPr>
              <w:t>伏送出工程</w:t>
            </w:r>
          </w:p>
        </w:tc>
        <w:tc>
          <w:tcPr>
            <w:tcW w:w="1116" w:type="dxa"/>
          </w:tcPr>
          <w:p>
            <w:pPr>
              <w:pStyle w:val="TableParagraph"/>
              <w:spacing w:before="138"/>
              <w:ind w:left="103"/>
              <w:rPr>
                <w:sz w:val="20"/>
              </w:rPr>
            </w:pPr>
            <w:r>
              <w:rPr>
                <w:sz w:val="20"/>
              </w:rPr>
              <w:t>2017-2019</w:t>
            </w:r>
          </w:p>
        </w:tc>
        <w:tc>
          <w:tcPr>
            <w:tcW w:w="3818" w:type="dxa"/>
            <w:gridSpan w:val="2"/>
          </w:tcPr>
          <w:p>
            <w:pPr>
              <w:pStyle w:val="TableParagraph"/>
              <w:spacing w:before="138"/>
              <w:ind w:left="1153"/>
              <w:rPr>
                <w:sz w:val="20"/>
              </w:rPr>
            </w:pPr>
            <w:r>
              <w:rPr>
                <w:sz w:val="20"/>
              </w:rPr>
              <w:t>线路长度 15 公里</w:t>
            </w:r>
          </w:p>
        </w:tc>
        <w:tc>
          <w:tcPr>
            <w:tcW w:w="977" w:type="dxa"/>
          </w:tcPr>
          <w:p>
            <w:pPr>
              <w:pStyle w:val="TableParagraph"/>
              <w:spacing w:before="138"/>
              <w:ind w:left="282"/>
              <w:rPr>
                <w:sz w:val="20"/>
              </w:rPr>
            </w:pPr>
            <w:r>
              <w:rPr>
                <w:sz w:val="20"/>
              </w:rPr>
              <w:t>2400</w:t>
            </w:r>
          </w:p>
        </w:tc>
        <w:tc>
          <w:tcPr>
            <w:tcW w:w="1080" w:type="dxa"/>
          </w:tcPr>
          <w:p>
            <w:pPr>
              <w:pStyle w:val="TableParagraph"/>
              <w:spacing w:line="237" w:lineRule="auto" w:before="11"/>
              <w:ind w:left="334" w:right="117" w:hanging="201"/>
              <w:rPr>
                <w:sz w:val="20"/>
              </w:rPr>
            </w:pPr>
            <w:r>
              <w:rPr>
                <w:sz w:val="20"/>
              </w:rPr>
              <w:t>五通供电公司</w:t>
            </w:r>
          </w:p>
        </w:tc>
      </w:tr>
      <w:tr>
        <w:trPr>
          <w:trHeight w:val="620" w:hRule="atLeast"/>
        </w:trPr>
        <w:tc>
          <w:tcPr>
            <w:tcW w:w="481" w:type="dxa"/>
          </w:tcPr>
          <w:p>
            <w:pPr>
              <w:pStyle w:val="TableParagraph"/>
              <w:spacing w:before="149"/>
              <w:ind w:left="134"/>
              <w:rPr>
                <w:sz w:val="20"/>
              </w:rPr>
            </w:pPr>
            <w:r>
              <w:rPr>
                <w:sz w:val="20"/>
              </w:rPr>
              <w:t>68</w:t>
            </w:r>
          </w:p>
        </w:tc>
        <w:tc>
          <w:tcPr>
            <w:tcW w:w="2267" w:type="dxa"/>
          </w:tcPr>
          <w:p>
            <w:pPr>
              <w:pStyle w:val="TableParagraph"/>
              <w:spacing w:line="237" w:lineRule="auto" w:before="22"/>
              <w:ind w:left="827" w:right="124" w:hanging="700"/>
              <w:rPr>
                <w:sz w:val="20"/>
              </w:rPr>
            </w:pPr>
            <w:r>
              <w:rPr>
                <w:spacing w:val="-11"/>
                <w:sz w:val="20"/>
              </w:rPr>
              <w:t>乐山塘叶 </w:t>
            </w:r>
            <w:r>
              <w:rPr>
                <w:sz w:val="20"/>
              </w:rPr>
              <w:t>220</w:t>
            </w:r>
            <w:r>
              <w:rPr>
                <w:spacing w:val="-12"/>
                <w:sz w:val="20"/>
              </w:rPr>
              <w:t> 千伏输变电工程</w:t>
            </w:r>
          </w:p>
        </w:tc>
        <w:tc>
          <w:tcPr>
            <w:tcW w:w="1116" w:type="dxa"/>
          </w:tcPr>
          <w:p>
            <w:pPr>
              <w:pStyle w:val="TableParagraph"/>
              <w:spacing w:before="149"/>
              <w:ind w:left="103"/>
              <w:rPr>
                <w:sz w:val="20"/>
              </w:rPr>
            </w:pPr>
            <w:r>
              <w:rPr>
                <w:sz w:val="20"/>
              </w:rPr>
              <w:t>2013-2016</w:t>
            </w:r>
          </w:p>
        </w:tc>
        <w:tc>
          <w:tcPr>
            <w:tcW w:w="3818" w:type="dxa"/>
            <w:gridSpan w:val="2"/>
          </w:tcPr>
          <w:p>
            <w:pPr>
              <w:pStyle w:val="TableParagraph"/>
              <w:spacing w:line="237" w:lineRule="auto" w:before="22"/>
              <w:ind w:left="1378" w:hanging="1275"/>
              <w:rPr>
                <w:sz w:val="20"/>
              </w:rPr>
            </w:pPr>
            <w:r>
              <w:rPr>
                <w:spacing w:val="-19"/>
                <w:sz w:val="20"/>
              </w:rPr>
              <w:t>主变 </w:t>
            </w:r>
            <w:r>
              <w:rPr>
                <w:sz w:val="20"/>
              </w:rPr>
              <w:t>2</w:t>
            </w:r>
            <w:r>
              <w:rPr>
                <w:spacing w:val="-19"/>
                <w:sz w:val="20"/>
              </w:rPr>
              <w:t> 台，容量 </w:t>
            </w:r>
            <w:r>
              <w:rPr>
                <w:sz w:val="20"/>
              </w:rPr>
              <w:t>360mva，6</w:t>
            </w:r>
            <w:r>
              <w:rPr>
                <w:spacing w:val="-9"/>
                <w:sz w:val="20"/>
              </w:rPr>
              <w:t> 条架空线路总</w:t>
            </w:r>
            <w:r>
              <w:rPr>
                <w:spacing w:val="-31"/>
                <w:sz w:val="20"/>
              </w:rPr>
              <w:t>长 </w:t>
            </w:r>
            <w:r>
              <w:rPr>
                <w:sz w:val="20"/>
              </w:rPr>
              <w:t>81.4km。</w:t>
            </w:r>
          </w:p>
        </w:tc>
        <w:tc>
          <w:tcPr>
            <w:tcW w:w="977" w:type="dxa"/>
          </w:tcPr>
          <w:p>
            <w:pPr>
              <w:pStyle w:val="TableParagraph"/>
              <w:spacing w:before="149"/>
              <w:ind w:left="232"/>
              <w:rPr>
                <w:sz w:val="20"/>
              </w:rPr>
            </w:pPr>
            <w:r>
              <w:rPr>
                <w:sz w:val="20"/>
              </w:rPr>
              <w:t>20885</w:t>
            </w:r>
          </w:p>
        </w:tc>
        <w:tc>
          <w:tcPr>
            <w:tcW w:w="1080" w:type="dxa"/>
          </w:tcPr>
          <w:p>
            <w:pPr>
              <w:pStyle w:val="TableParagraph"/>
              <w:spacing w:line="237" w:lineRule="auto" w:before="22"/>
              <w:ind w:left="334" w:right="117" w:hanging="201"/>
              <w:rPr>
                <w:sz w:val="20"/>
              </w:rPr>
            </w:pPr>
            <w:r>
              <w:rPr>
                <w:sz w:val="20"/>
              </w:rPr>
              <w:t>五通供电公司</w:t>
            </w:r>
          </w:p>
        </w:tc>
      </w:tr>
      <w:tr>
        <w:trPr>
          <w:trHeight w:val="600" w:hRule="atLeast"/>
        </w:trPr>
        <w:tc>
          <w:tcPr>
            <w:tcW w:w="481" w:type="dxa"/>
          </w:tcPr>
          <w:p>
            <w:pPr>
              <w:pStyle w:val="TableParagraph"/>
              <w:spacing w:before="146"/>
              <w:ind w:left="134"/>
              <w:rPr>
                <w:sz w:val="20"/>
              </w:rPr>
            </w:pPr>
            <w:r>
              <w:rPr>
                <w:sz w:val="20"/>
              </w:rPr>
              <w:t>69</w:t>
            </w:r>
          </w:p>
        </w:tc>
        <w:tc>
          <w:tcPr>
            <w:tcW w:w="2267" w:type="dxa"/>
          </w:tcPr>
          <w:p>
            <w:pPr>
              <w:pStyle w:val="TableParagraph"/>
              <w:spacing w:line="237" w:lineRule="auto" w:before="19"/>
              <w:ind w:left="927" w:hanging="825"/>
              <w:rPr>
                <w:sz w:val="20"/>
              </w:rPr>
            </w:pPr>
            <w:r>
              <w:rPr>
                <w:sz w:val="20"/>
              </w:rPr>
              <w:t>大兴变电站35 千伏配套工程</w:t>
            </w:r>
          </w:p>
        </w:tc>
        <w:tc>
          <w:tcPr>
            <w:tcW w:w="1116" w:type="dxa"/>
          </w:tcPr>
          <w:p>
            <w:pPr>
              <w:pStyle w:val="TableParagraph"/>
              <w:spacing w:before="146"/>
              <w:ind w:left="103"/>
              <w:rPr>
                <w:sz w:val="20"/>
              </w:rPr>
            </w:pPr>
            <w:r>
              <w:rPr>
                <w:sz w:val="20"/>
              </w:rPr>
              <w:t>2016-2020</w:t>
            </w:r>
          </w:p>
        </w:tc>
        <w:tc>
          <w:tcPr>
            <w:tcW w:w="3818" w:type="dxa"/>
            <w:gridSpan w:val="2"/>
          </w:tcPr>
          <w:p>
            <w:pPr>
              <w:pStyle w:val="TableParagraph"/>
              <w:spacing w:before="146"/>
              <w:ind w:left="654"/>
              <w:rPr>
                <w:sz w:val="20"/>
              </w:rPr>
            </w:pPr>
            <w:r>
              <w:rPr>
                <w:sz w:val="20"/>
              </w:rPr>
              <w:t>大兴变电站 35 千伏配套工程</w:t>
            </w:r>
          </w:p>
        </w:tc>
        <w:tc>
          <w:tcPr>
            <w:tcW w:w="977" w:type="dxa"/>
          </w:tcPr>
          <w:p>
            <w:pPr>
              <w:pStyle w:val="TableParagraph"/>
              <w:spacing w:before="146"/>
              <w:ind w:left="332"/>
              <w:rPr>
                <w:sz w:val="20"/>
              </w:rPr>
            </w:pPr>
            <w:r>
              <w:rPr>
                <w:sz w:val="20"/>
              </w:rPr>
              <w:t>600</w:t>
            </w:r>
          </w:p>
        </w:tc>
        <w:tc>
          <w:tcPr>
            <w:tcW w:w="1080" w:type="dxa"/>
          </w:tcPr>
          <w:p>
            <w:pPr>
              <w:pStyle w:val="TableParagraph"/>
              <w:spacing w:line="237" w:lineRule="auto" w:before="19"/>
              <w:ind w:left="334" w:right="117" w:hanging="201"/>
              <w:rPr>
                <w:sz w:val="20"/>
              </w:rPr>
            </w:pPr>
            <w:r>
              <w:rPr>
                <w:sz w:val="20"/>
              </w:rPr>
              <w:t>五通供电公司</w:t>
            </w:r>
          </w:p>
        </w:tc>
      </w:tr>
      <w:tr>
        <w:trPr>
          <w:trHeight w:val="600" w:hRule="atLeast"/>
        </w:trPr>
        <w:tc>
          <w:tcPr>
            <w:tcW w:w="481" w:type="dxa"/>
          </w:tcPr>
          <w:p>
            <w:pPr>
              <w:pStyle w:val="TableParagraph"/>
              <w:spacing w:before="143"/>
              <w:ind w:left="134"/>
              <w:rPr>
                <w:sz w:val="20"/>
              </w:rPr>
            </w:pPr>
            <w:r>
              <w:rPr>
                <w:sz w:val="20"/>
              </w:rPr>
              <w:t>70</w:t>
            </w:r>
          </w:p>
        </w:tc>
        <w:tc>
          <w:tcPr>
            <w:tcW w:w="2267" w:type="dxa"/>
          </w:tcPr>
          <w:p>
            <w:pPr>
              <w:pStyle w:val="TableParagraph"/>
              <w:spacing w:before="143"/>
              <w:ind w:left="58" w:right="58"/>
              <w:jc w:val="center"/>
              <w:rPr>
                <w:sz w:val="20"/>
              </w:rPr>
            </w:pPr>
            <w:r>
              <w:rPr>
                <w:sz w:val="20"/>
              </w:rPr>
              <w:t>新云35 千伏输变电工程</w:t>
            </w:r>
          </w:p>
        </w:tc>
        <w:tc>
          <w:tcPr>
            <w:tcW w:w="1116" w:type="dxa"/>
          </w:tcPr>
          <w:p>
            <w:pPr>
              <w:pStyle w:val="TableParagraph"/>
              <w:spacing w:before="143"/>
              <w:ind w:left="102"/>
              <w:rPr>
                <w:sz w:val="20"/>
              </w:rPr>
            </w:pPr>
            <w:r>
              <w:rPr>
                <w:sz w:val="20"/>
              </w:rPr>
              <w:t>2016-2018</w:t>
            </w:r>
          </w:p>
        </w:tc>
        <w:tc>
          <w:tcPr>
            <w:tcW w:w="3818" w:type="dxa"/>
            <w:gridSpan w:val="2"/>
          </w:tcPr>
          <w:p>
            <w:pPr>
              <w:pStyle w:val="TableParagraph"/>
              <w:spacing w:before="143"/>
              <w:ind w:left="827"/>
              <w:rPr>
                <w:sz w:val="20"/>
              </w:rPr>
            </w:pPr>
            <w:r>
              <w:rPr>
                <w:sz w:val="20"/>
              </w:rPr>
              <w:t>主变 2 台，容量 12.6MVA</w:t>
            </w:r>
          </w:p>
        </w:tc>
        <w:tc>
          <w:tcPr>
            <w:tcW w:w="977" w:type="dxa"/>
          </w:tcPr>
          <w:p>
            <w:pPr>
              <w:pStyle w:val="TableParagraph"/>
              <w:spacing w:before="143"/>
              <w:ind w:left="282"/>
              <w:rPr>
                <w:sz w:val="20"/>
              </w:rPr>
            </w:pPr>
            <w:r>
              <w:rPr>
                <w:sz w:val="20"/>
              </w:rPr>
              <w:t>1550</w:t>
            </w:r>
          </w:p>
        </w:tc>
        <w:tc>
          <w:tcPr>
            <w:tcW w:w="1080" w:type="dxa"/>
          </w:tcPr>
          <w:p>
            <w:pPr>
              <w:pStyle w:val="TableParagraph"/>
              <w:spacing w:line="237" w:lineRule="auto" w:before="16"/>
              <w:ind w:left="334" w:right="117" w:hanging="201"/>
              <w:rPr>
                <w:sz w:val="20"/>
              </w:rPr>
            </w:pPr>
            <w:r>
              <w:rPr>
                <w:sz w:val="20"/>
              </w:rPr>
              <w:t>五通供电公司</w:t>
            </w:r>
          </w:p>
        </w:tc>
      </w:tr>
      <w:tr>
        <w:trPr>
          <w:trHeight w:val="600" w:hRule="atLeast"/>
        </w:trPr>
        <w:tc>
          <w:tcPr>
            <w:tcW w:w="481" w:type="dxa"/>
          </w:tcPr>
          <w:p>
            <w:pPr>
              <w:pStyle w:val="TableParagraph"/>
              <w:spacing w:before="146"/>
              <w:ind w:left="134"/>
              <w:rPr>
                <w:sz w:val="20"/>
              </w:rPr>
            </w:pPr>
            <w:r>
              <w:rPr>
                <w:sz w:val="20"/>
              </w:rPr>
              <w:t>71</w:t>
            </w:r>
          </w:p>
        </w:tc>
        <w:tc>
          <w:tcPr>
            <w:tcW w:w="2267" w:type="dxa"/>
          </w:tcPr>
          <w:p>
            <w:pPr>
              <w:pStyle w:val="TableParagraph"/>
              <w:spacing w:line="237" w:lineRule="auto" w:before="19"/>
              <w:ind w:left="927" w:right="34" w:hanging="825"/>
              <w:rPr>
                <w:sz w:val="20"/>
              </w:rPr>
            </w:pPr>
            <w:r>
              <w:rPr>
                <w:sz w:val="20"/>
              </w:rPr>
              <w:t>中坝35 千伏变电站扩建工程</w:t>
            </w:r>
          </w:p>
        </w:tc>
        <w:tc>
          <w:tcPr>
            <w:tcW w:w="1116" w:type="dxa"/>
          </w:tcPr>
          <w:p>
            <w:pPr>
              <w:pStyle w:val="TableParagraph"/>
              <w:spacing w:before="146"/>
              <w:ind w:left="103"/>
              <w:rPr>
                <w:sz w:val="20"/>
              </w:rPr>
            </w:pPr>
            <w:r>
              <w:rPr>
                <w:sz w:val="20"/>
              </w:rPr>
              <w:t>2017-2019</w:t>
            </w:r>
          </w:p>
        </w:tc>
        <w:tc>
          <w:tcPr>
            <w:tcW w:w="3818" w:type="dxa"/>
            <w:gridSpan w:val="2"/>
          </w:tcPr>
          <w:p>
            <w:pPr>
              <w:pStyle w:val="TableParagraph"/>
              <w:spacing w:before="146"/>
              <w:ind w:left="153"/>
              <w:rPr>
                <w:sz w:val="20"/>
              </w:rPr>
            </w:pPr>
            <w:r>
              <w:rPr>
                <w:sz w:val="20"/>
              </w:rPr>
              <w:t>35</w:t>
            </w:r>
            <w:r>
              <w:rPr>
                <w:spacing w:val="-19"/>
                <w:sz w:val="20"/>
              </w:rPr>
              <w:t> 千伏电缆 </w:t>
            </w:r>
            <w:r>
              <w:rPr>
                <w:sz w:val="20"/>
              </w:rPr>
              <w:t>5</w:t>
            </w:r>
            <w:r>
              <w:rPr>
                <w:spacing w:val="-17"/>
                <w:sz w:val="20"/>
              </w:rPr>
              <w:t> 公里，主变 </w:t>
            </w:r>
            <w:r>
              <w:rPr>
                <w:sz w:val="20"/>
              </w:rPr>
              <w:t>1</w:t>
            </w:r>
            <w:r>
              <w:rPr>
                <w:spacing w:val="-22"/>
                <w:sz w:val="20"/>
              </w:rPr>
              <w:t> 台容量 </w:t>
            </w:r>
            <w:r>
              <w:rPr>
                <w:sz w:val="20"/>
              </w:rPr>
              <w:t>1MVA</w:t>
            </w:r>
          </w:p>
        </w:tc>
        <w:tc>
          <w:tcPr>
            <w:tcW w:w="977" w:type="dxa"/>
          </w:tcPr>
          <w:p>
            <w:pPr>
              <w:pStyle w:val="TableParagraph"/>
              <w:spacing w:before="146"/>
              <w:ind w:left="282"/>
              <w:rPr>
                <w:sz w:val="20"/>
              </w:rPr>
            </w:pPr>
            <w:r>
              <w:rPr>
                <w:sz w:val="20"/>
              </w:rPr>
              <w:t>1350</w:t>
            </w:r>
          </w:p>
        </w:tc>
        <w:tc>
          <w:tcPr>
            <w:tcW w:w="1080" w:type="dxa"/>
          </w:tcPr>
          <w:p>
            <w:pPr>
              <w:pStyle w:val="TableParagraph"/>
              <w:spacing w:line="237" w:lineRule="auto" w:before="19"/>
              <w:ind w:left="334" w:right="117" w:hanging="201"/>
              <w:rPr>
                <w:sz w:val="20"/>
              </w:rPr>
            </w:pPr>
            <w:r>
              <w:rPr>
                <w:sz w:val="20"/>
              </w:rPr>
              <w:t>五通供电公司</w:t>
            </w:r>
          </w:p>
        </w:tc>
      </w:tr>
      <w:tr>
        <w:trPr>
          <w:trHeight w:val="580" w:hRule="atLeast"/>
        </w:trPr>
        <w:tc>
          <w:tcPr>
            <w:tcW w:w="481" w:type="dxa"/>
          </w:tcPr>
          <w:p>
            <w:pPr>
              <w:pStyle w:val="TableParagraph"/>
              <w:spacing w:before="137"/>
              <w:ind w:left="134"/>
              <w:rPr>
                <w:sz w:val="20"/>
              </w:rPr>
            </w:pPr>
            <w:r>
              <w:rPr>
                <w:sz w:val="20"/>
              </w:rPr>
              <w:t>72</w:t>
            </w:r>
          </w:p>
        </w:tc>
        <w:tc>
          <w:tcPr>
            <w:tcW w:w="2267" w:type="dxa"/>
          </w:tcPr>
          <w:p>
            <w:pPr>
              <w:pStyle w:val="TableParagraph"/>
              <w:spacing w:before="137"/>
              <w:ind w:left="58" w:right="58"/>
              <w:jc w:val="center"/>
              <w:rPr>
                <w:sz w:val="20"/>
              </w:rPr>
            </w:pPr>
            <w:r>
              <w:rPr>
                <w:sz w:val="20"/>
              </w:rPr>
              <w:t>辉山35 千伏输变电工程</w:t>
            </w:r>
          </w:p>
        </w:tc>
        <w:tc>
          <w:tcPr>
            <w:tcW w:w="1116" w:type="dxa"/>
          </w:tcPr>
          <w:p>
            <w:pPr>
              <w:pStyle w:val="TableParagraph"/>
              <w:spacing w:before="137"/>
              <w:ind w:left="102"/>
              <w:rPr>
                <w:sz w:val="20"/>
              </w:rPr>
            </w:pPr>
            <w:r>
              <w:rPr>
                <w:sz w:val="20"/>
              </w:rPr>
              <w:t>2018-2020</w:t>
            </w:r>
          </w:p>
        </w:tc>
        <w:tc>
          <w:tcPr>
            <w:tcW w:w="3818" w:type="dxa"/>
            <w:gridSpan w:val="2"/>
          </w:tcPr>
          <w:p>
            <w:pPr>
              <w:pStyle w:val="TableParagraph"/>
              <w:spacing w:before="137"/>
              <w:ind w:left="827"/>
              <w:rPr>
                <w:sz w:val="20"/>
              </w:rPr>
            </w:pPr>
            <w:r>
              <w:rPr>
                <w:sz w:val="20"/>
              </w:rPr>
              <w:t>主变 2 台，容量 12.6MVA</w:t>
            </w:r>
          </w:p>
        </w:tc>
        <w:tc>
          <w:tcPr>
            <w:tcW w:w="977" w:type="dxa"/>
          </w:tcPr>
          <w:p>
            <w:pPr>
              <w:pStyle w:val="TableParagraph"/>
              <w:spacing w:before="137"/>
              <w:ind w:left="282"/>
              <w:rPr>
                <w:sz w:val="20"/>
              </w:rPr>
            </w:pPr>
            <w:r>
              <w:rPr>
                <w:sz w:val="20"/>
              </w:rPr>
              <w:t>1500</w:t>
            </w:r>
          </w:p>
        </w:tc>
        <w:tc>
          <w:tcPr>
            <w:tcW w:w="1080" w:type="dxa"/>
          </w:tcPr>
          <w:p>
            <w:pPr>
              <w:pStyle w:val="TableParagraph"/>
              <w:spacing w:line="237" w:lineRule="auto" w:before="10"/>
              <w:ind w:left="334" w:right="117" w:hanging="201"/>
              <w:rPr>
                <w:sz w:val="20"/>
              </w:rPr>
            </w:pPr>
            <w:r>
              <w:rPr>
                <w:sz w:val="20"/>
              </w:rPr>
              <w:t>五通供电公司</w:t>
            </w:r>
          </w:p>
        </w:tc>
      </w:tr>
      <w:tr>
        <w:trPr>
          <w:trHeight w:val="620" w:hRule="atLeast"/>
        </w:trPr>
        <w:tc>
          <w:tcPr>
            <w:tcW w:w="481" w:type="dxa"/>
          </w:tcPr>
          <w:p>
            <w:pPr>
              <w:pStyle w:val="TableParagraph"/>
              <w:spacing w:before="149"/>
              <w:ind w:left="134"/>
              <w:rPr>
                <w:sz w:val="20"/>
              </w:rPr>
            </w:pPr>
            <w:r>
              <w:rPr>
                <w:sz w:val="20"/>
              </w:rPr>
              <w:t>73</w:t>
            </w:r>
          </w:p>
        </w:tc>
        <w:tc>
          <w:tcPr>
            <w:tcW w:w="2267" w:type="dxa"/>
          </w:tcPr>
          <w:p>
            <w:pPr>
              <w:pStyle w:val="TableParagraph"/>
              <w:spacing w:before="149"/>
              <w:ind w:left="97" w:right="99"/>
              <w:jc w:val="center"/>
              <w:rPr>
                <w:sz w:val="20"/>
              </w:rPr>
            </w:pPr>
            <w:r>
              <w:rPr>
                <w:sz w:val="20"/>
              </w:rPr>
              <w:t>农配网项目</w:t>
            </w:r>
          </w:p>
        </w:tc>
        <w:tc>
          <w:tcPr>
            <w:tcW w:w="1116" w:type="dxa"/>
          </w:tcPr>
          <w:p>
            <w:pPr>
              <w:pStyle w:val="TableParagraph"/>
              <w:spacing w:before="149"/>
              <w:ind w:left="101"/>
              <w:rPr>
                <w:sz w:val="20"/>
              </w:rPr>
            </w:pPr>
            <w:r>
              <w:rPr>
                <w:sz w:val="20"/>
              </w:rPr>
              <w:t>2016-2020</w:t>
            </w:r>
          </w:p>
        </w:tc>
        <w:tc>
          <w:tcPr>
            <w:tcW w:w="3818" w:type="dxa"/>
            <w:gridSpan w:val="2"/>
          </w:tcPr>
          <w:p>
            <w:pPr>
              <w:pStyle w:val="TableParagraph"/>
              <w:spacing w:before="149"/>
              <w:ind w:left="877"/>
              <w:rPr>
                <w:sz w:val="20"/>
              </w:rPr>
            </w:pPr>
            <w:r>
              <w:rPr>
                <w:sz w:val="20"/>
              </w:rPr>
              <w:t>62 个农村电网改造项目</w:t>
            </w:r>
          </w:p>
        </w:tc>
        <w:tc>
          <w:tcPr>
            <w:tcW w:w="977" w:type="dxa"/>
          </w:tcPr>
          <w:p>
            <w:pPr>
              <w:pStyle w:val="TableParagraph"/>
              <w:spacing w:before="149"/>
              <w:ind w:left="282"/>
              <w:rPr>
                <w:sz w:val="20"/>
              </w:rPr>
            </w:pPr>
            <w:r>
              <w:rPr>
                <w:sz w:val="20"/>
              </w:rPr>
              <w:t>8000</w:t>
            </w:r>
          </w:p>
        </w:tc>
        <w:tc>
          <w:tcPr>
            <w:tcW w:w="1080" w:type="dxa"/>
          </w:tcPr>
          <w:p>
            <w:pPr>
              <w:pStyle w:val="TableParagraph"/>
              <w:spacing w:line="237" w:lineRule="auto" w:before="22"/>
              <w:ind w:left="334" w:right="117" w:hanging="201"/>
              <w:rPr>
                <w:sz w:val="20"/>
              </w:rPr>
            </w:pPr>
            <w:r>
              <w:rPr>
                <w:sz w:val="20"/>
              </w:rPr>
              <w:t>五通供电公司</w:t>
            </w:r>
          </w:p>
        </w:tc>
      </w:tr>
      <w:tr>
        <w:trPr>
          <w:trHeight w:val="760" w:hRule="atLeast"/>
        </w:trPr>
        <w:tc>
          <w:tcPr>
            <w:tcW w:w="481" w:type="dxa"/>
          </w:tcPr>
          <w:p>
            <w:pPr>
              <w:pStyle w:val="TableParagraph"/>
              <w:spacing w:before="4"/>
              <w:rPr>
                <w:rFonts w:ascii="黑体"/>
                <w:sz w:val="17"/>
              </w:rPr>
            </w:pPr>
          </w:p>
          <w:p>
            <w:pPr>
              <w:pStyle w:val="TableParagraph"/>
              <w:ind w:left="134"/>
              <w:rPr>
                <w:sz w:val="20"/>
              </w:rPr>
            </w:pPr>
            <w:r>
              <w:rPr>
                <w:sz w:val="20"/>
              </w:rPr>
              <w:t>74</w:t>
            </w:r>
          </w:p>
        </w:tc>
        <w:tc>
          <w:tcPr>
            <w:tcW w:w="2267" w:type="dxa"/>
          </w:tcPr>
          <w:p>
            <w:pPr>
              <w:pStyle w:val="TableParagraph"/>
              <w:spacing w:before="4"/>
              <w:rPr>
                <w:rFonts w:ascii="黑体"/>
                <w:sz w:val="17"/>
              </w:rPr>
            </w:pPr>
          </w:p>
          <w:p>
            <w:pPr>
              <w:pStyle w:val="TableParagraph"/>
              <w:ind w:left="98" w:right="99"/>
              <w:jc w:val="center"/>
              <w:rPr>
                <w:sz w:val="20"/>
              </w:rPr>
            </w:pPr>
            <w:r>
              <w:rPr>
                <w:sz w:val="20"/>
              </w:rPr>
              <w:t>中海油加气加油站</w:t>
            </w:r>
          </w:p>
        </w:tc>
        <w:tc>
          <w:tcPr>
            <w:tcW w:w="1116" w:type="dxa"/>
          </w:tcPr>
          <w:p>
            <w:pPr>
              <w:pStyle w:val="TableParagraph"/>
              <w:spacing w:before="4"/>
              <w:rPr>
                <w:rFonts w:ascii="黑体"/>
                <w:sz w:val="17"/>
              </w:rPr>
            </w:pPr>
          </w:p>
          <w:p>
            <w:pPr>
              <w:pStyle w:val="TableParagraph"/>
              <w:ind w:left="101"/>
              <w:rPr>
                <w:sz w:val="20"/>
              </w:rPr>
            </w:pPr>
            <w:r>
              <w:rPr>
                <w:sz w:val="20"/>
              </w:rPr>
              <w:t>2017-2019</w:t>
            </w:r>
          </w:p>
        </w:tc>
        <w:tc>
          <w:tcPr>
            <w:tcW w:w="3818" w:type="dxa"/>
            <w:gridSpan w:val="2"/>
          </w:tcPr>
          <w:p>
            <w:pPr>
              <w:pStyle w:val="TableParagraph"/>
              <w:spacing w:line="260" w:lineRule="exact" w:before="97"/>
              <w:ind w:left="98" w:right="3"/>
              <w:jc w:val="center"/>
              <w:rPr>
                <w:sz w:val="20"/>
              </w:rPr>
            </w:pPr>
            <w:r>
              <w:rPr>
                <w:spacing w:val="-11"/>
                <w:sz w:val="20"/>
              </w:rPr>
              <w:t>建筑面积 </w:t>
            </w:r>
            <w:r>
              <w:rPr>
                <w:sz w:val="20"/>
              </w:rPr>
              <w:t>5.58</w:t>
            </w:r>
            <w:r>
              <w:rPr>
                <w:spacing w:val="-14"/>
                <w:sz w:val="20"/>
              </w:rPr>
              <w:t> 万平方米，占地 </w:t>
            </w:r>
            <w:r>
              <w:rPr>
                <w:sz w:val="20"/>
              </w:rPr>
              <w:t>55.83</w:t>
            </w:r>
            <w:r>
              <w:rPr>
                <w:spacing w:val="-18"/>
                <w:sz w:val="20"/>
              </w:rPr>
              <w:t> 亩，</w:t>
            </w:r>
          </w:p>
          <w:p>
            <w:pPr>
              <w:pStyle w:val="TableParagraph"/>
              <w:spacing w:line="260" w:lineRule="exact"/>
              <w:jc w:val="center"/>
              <w:rPr>
                <w:sz w:val="20"/>
              </w:rPr>
            </w:pPr>
            <w:r>
              <w:rPr>
                <w:sz w:val="20"/>
              </w:rPr>
              <w:t>绿化 26.29 亩</w:t>
            </w:r>
          </w:p>
        </w:tc>
        <w:tc>
          <w:tcPr>
            <w:tcW w:w="977" w:type="dxa"/>
          </w:tcPr>
          <w:p>
            <w:pPr>
              <w:pStyle w:val="TableParagraph"/>
              <w:spacing w:before="4"/>
              <w:rPr>
                <w:rFonts w:ascii="黑体"/>
                <w:sz w:val="17"/>
              </w:rPr>
            </w:pPr>
          </w:p>
          <w:p>
            <w:pPr>
              <w:pStyle w:val="TableParagraph"/>
              <w:ind w:left="232"/>
              <w:rPr>
                <w:sz w:val="20"/>
              </w:rPr>
            </w:pPr>
            <w:r>
              <w:rPr>
                <w:sz w:val="20"/>
              </w:rPr>
              <w:t>13650</w:t>
            </w:r>
          </w:p>
        </w:tc>
        <w:tc>
          <w:tcPr>
            <w:tcW w:w="1080" w:type="dxa"/>
          </w:tcPr>
          <w:p>
            <w:pPr>
              <w:pStyle w:val="TableParagraph"/>
              <w:spacing w:line="228" w:lineRule="exact"/>
              <w:ind w:left="134"/>
              <w:rPr>
                <w:sz w:val="20"/>
              </w:rPr>
            </w:pPr>
            <w:r>
              <w:rPr>
                <w:sz w:val="20"/>
              </w:rPr>
              <w:t>乐山三江</w:t>
            </w:r>
          </w:p>
          <w:p>
            <w:pPr>
              <w:pStyle w:val="TableParagraph"/>
              <w:spacing w:line="237" w:lineRule="auto" w:before="1"/>
              <w:ind w:left="233" w:right="117" w:hanging="100"/>
              <w:rPr>
                <w:sz w:val="20"/>
              </w:rPr>
            </w:pPr>
            <w:r>
              <w:rPr>
                <w:sz w:val="20"/>
              </w:rPr>
              <w:t>临港经济开发区</w:t>
            </w:r>
          </w:p>
        </w:tc>
      </w:tr>
      <w:tr>
        <w:trPr>
          <w:trHeight w:val="1020" w:hRule="atLeast"/>
        </w:trPr>
        <w:tc>
          <w:tcPr>
            <w:tcW w:w="481" w:type="dxa"/>
          </w:tcPr>
          <w:p>
            <w:pPr>
              <w:pStyle w:val="TableParagraph"/>
              <w:spacing w:before="3"/>
              <w:rPr>
                <w:rFonts w:ascii="黑体"/>
                <w:sz w:val="27"/>
              </w:rPr>
            </w:pPr>
          </w:p>
          <w:p>
            <w:pPr>
              <w:pStyle w:val="TableParagraph"/>
              <w:ind w:left="134"/>
              <w:rPr>
                <w:sz w:val="20"/>
              </w:rPr>
            </w:pPr>
            <w:r>
              <w:rPr>
                <w:sz w:val="20"/>
              </w:rPr>
              <w:t>75</w:t>
            </w:r>
          </w:p>
        </w:tc>
        <w:tc>
          <w:tcPr>
            <w:tcW w:w="2267" w:type="dxa"/>
          </w:tcPr>
          <w:p>
            <w:pPr>
              <w:pStyle w:val="TableParagraph"/>
              <w:spacing w:line="237" w:lineRule="auto" w:before="100"/>
              <w:ind w:left="102" w:right="98"/>
              <w:jc w:val="center"/>
              <w:rPr>
                <w:sz w:val="20"/>
              </w:rPr>
            </w:pPr>
            <w:r>
              <w:rPr>
                <w:sz w:val="20"/>
              </w:rPr>
              <w:t>陕西西安西骏（乐山） 稀土冶炼分离异地升级改造项目</w:t>
            </w:r>
          </w:p>
        </w:tc>
        <w:tc>
          <w:tcPr>
            <w:tcW w:w="1116" w:type="dxa"/>
          </w:tcPr>
          <w:p>
            <w:pPr>
              <w:pStyle w:val="TableParagraph"/>
              <w:spacing w:before="3"/>
              <w:rPr>
                <w:rFonts w:ascii="黑体"/>
                <w:sz w:val="27"/>
              </w:rPr>
            </w:pPr>
          </w:p>
          <w:p>
            <w:pPr>
              <w:pStyle w:val="TableParagraph"/>
              <w:ind w:left="103"/>
              <w:rPr>
                <w:sz w:val="20"/>
              </w:rPr>
            </w:pPr>
            <w:r>
              <w:rPr>
                <w:sz w:val="20"/>
              </w:rPr>
              <w:t>2016-2017</w:t>
            </w:r>
          </w:p>
        </w:tc>
        <w:tc>
          <w:tcPr>
            <w:tcW w:w="3818" w:type="dxa"/>
            <w:gridSpan w:val="2"/>
          </w:tcPr>
          <w:p>
            <w:pPr>
              <w:pStyle w:val="TableParagraph"/>
              <w:spacing w:line="228" w:lineRule="exact"/>
              <w:ind w:left="1"/>
              <w:jc w:val="center"/>
              <w:rPr>
                <w:sz w:val="20"/>
              </w:rPr>
            </w:pPr>
            <w:r>
              <w:rPr>
                <w:sz w:val="20"/>
              </w:rPr>
              <w:t>主要投资建设内容稀土高效催化材料，近</w:t>
            </w:r>
          </w:p>
          <w:p>
            <w:pPr>
              <w:pStyle w:val="TableParagraph"/>
              <w:spacing w:line="259" w:lineRule="exact"/>
              <w:ind w:left="98"/>
              <w:jc w:val="center"/>
              <w:rPr>
                <w:sz w:val="20"/>
              </w:rPr>
            </w:pPr>
            <w:r>
              <w:rPr>
                <w:spacing w:val="-13"/>
                <w:sz w:val="20"/>
              </w:rPr>
              <w:t>期产能 </w:t>
            </w:r>
            <w:r>
              <w:rPr>
                <w:sz w:val="20"/>
              </w:rPr>
              <w:t>5</w:t>
            </w:r>
            <w:r>
              <w:rPr>
                <w:spacing w:val="-18"/>
                <w:sz w:val="20"/>
              </w:rPr>
              <w:t> 万吨</w:t>
            </w:r>
            <w:r>
              <w:rPr>
                <w:sz w:val="20"/>
              </w:rPr>
              <w:t>/</w:t>
            </w:r>
            <w:r>
              <w:rPr>
                <w:spacing w:val="-8"/>
                <w:sz w:val="20"/>
              </w:rPr>
              <w:t>年，远期产能 </w:t>
            </w:r>
            <w:r>
              <w:rPr>
                <w:sz w:val="20"/>
              </w:rPr>
              <w:t>20</w:t>
            </w:r>
            <w:r>
              <w:rPr>
                <w:spacing w:val="-18"/>
                <w:sz w:val="20"/>
              </w:rPr>
              <w:t> 万吨</w:t>
            </w:r>
            <w:r>
              <w:rPr>
                <w:sz w:val="20"/>
              </w:rPr>
              <w:t>/年，</w:t>
            </w:r>
          </w:p>
          <w:p>
            <w:pPr>
              <w:pStyle w:val="TableParagraph"/>
              <w:spacing w:line="259" w:lineRule="exact"/>
              <w:ind w:left="1"/>
              <w:jc w:val="center"/>
              <w:rPr>
                <w:sz w:val="20"/>
              </w:rPr>
            </w:pPr>
            <w:r>
              <w:rPr>
                <w:sz w:val="20"/>
              </w:rPr>
              <w:t>建设周期 5 年，项目达产后，年产值和销</w:t>
            </w:r>
          </w:p>
          <w:p>
            <w:pPr>
              <w:pStyle w:val="TableParagraph"/>
              <w:spacing w:line="260" w:lineRule="exact"/>
              <w:ind w:right="1"/>
              <w:jc w:val="center"/>
              <w:rPr>
                <w:sz w:val="20"/>
              </w:rPr>
            </w:pPr>
            <w:r>
              <w:rPr>
                <w:sz w:val="20"/>
              </w:rPr>
              <w:t>售收入可达 40 亿元</w:t>
            </w:r>
          </w:p>
        </w:tc>
        <w:tc>
          <w:tcPr>
            <w:tcW w:w="977" w:type="dxa"/>
          </w:tcPr>
          <w:p>
            <w:pPr>
              <w:pStyle w:val="TableParagraph"/>
              <w:spacing w:before="3"/>
              <w:rPr>
                <w:rFonts w:ascii="黑体"/>
                <w:sz w:val="27"/>
              </w:rPr>
            </w:pPr>
          </w:p>
          <w:p>
            <w:pPr>
              <w:pStyle w:val="TableParagraph"/>
              <w:ind w:left="232"/>
              <w:rPr>
                <w:sz w:val="20"/>
              </w:rPr>
            </w:pPr>
            <w:r>
              <w:rPr>
                <w:sz w:val="20"/>
              </w:rPr>
              <w:t>30000</w:t>
            </w:r>
          </w:p>
        </w:tc>
        <w:tc>
          <w:tcPr>
            <w:tcW w:w="1080" w:type="dxa"/>
          </w:tcPr>
          <w:p>
            <w:pPr>
              <w:pStyle w:val="TableParagraph"/>
              <w:spacing w:before="3"/>
              <w:rPr>
                <w:rFonts w:ascii="黑体"/>
                <w:sz w:val="27"/>
              </w:rPr>
            </w:pPr>
          </w:p>
          <w:p>
            <w:pPr>
              <w:pStyle w:val="TableParagraph"/>
              <w:ind w:left="114" w:right="114"/>
              <w:jc w:val="center"/>
              <w:rPr>
                <w:sz w:val="20"/>
              </w:rPr>
            </w:pPr>
            <w:r>
              <w:rPr>
                <w:sz w:val="20"/>
              </w:rPr>
              <w:t>商务局</w:t>
            </w:r>
          </w:p>
        </w:tc>
      </w:tr>
      <w:tr>
        <w:trPr>
          <w:trHeight w:val="700" w:hRule="atLeast"/>
        </w:trPr>
        <w:tc>
          <w:tcPr>
            <w:tcW w:w="481" w:type="dxa"/>
          </w:tcPr>
          <w:p>
            <w:pPr>
              <w:pStyle w:val="TableParagraph"/>
              <w:spacing w:before="1"/>
              <w:rPr>
                <w:rFonts w:ascii="黑体"/>
                <w:sz w:val="15"/>
              </w:rPr>
            </w:pPr>
          </w:p>
          <w:p>
            <w:pPr>
              <w:pStyle w:val="TableParagraph"/>
              <w:spacing w:before="1"/>
              <w:ind w:left="134"/>
              <w:rPr>
                <w:sz w:val="20"/>
              </w:rPr>
            </w:pPr>
            <w:r>
              <w:rPr>
                <w:sz w:val="20"/>
              </w:rPr>
              <w:t>76</w:t>
            </w:r>
          </w:p>
        </w:tc>
        <w:tc>
          <w:tcPr>
            <w:tcW w:w="2267" w:type="dxa"/>
          </w:tcPr>
          <w:p>
            <w:pPr>
              <w:pStyle w:val="TableParagraph"/>
              <w:spacing w:line="237" w:lineRule="auto" w:before="71"/>
              <w:ind w:left="927" w:right="109" w:hanging="800"/>
              <w:rPr>
                <w:sz w:val="20"/>
              </w:rPr>
            </w:pPr>
            <w:r>
              <w:rPr>
                <w:sz w:val="20"/>
              </w:rPr>
              <w:t>中小设备更新及数控化改造</w:t>
            </w:r>
          </w:p>
        </w:tc>
        <w:tc>
          <w:tcPr>
            <w:tcW w:w="1116" w:type="dxa"/>
          </w:tcPr>
          <w:p>
            <w:pPr>
              <w:pStyle w:val="TableParagraph"/>
              <w:spacing w:before="1"/>
              <w:rPr>
                <w:rFonts w:ascii="黑体"/>
                <w:sz w:val="15"/>
              </w:rPr>
            </w:pPr>
          </w:p>
          <w:p>
            <w:pPr>
              <w:pStyle w:val="TableParagraph"/>
              <w:spacing w:before="1"/>
              <w:ind w:left="103"/>
              <w:rPr>
                <w:sz w:val="20"/>
              </w:rPr>
            </w:pPr>
            <w:r>
              <w:rPr>
                <w:sz w:val="20"/>
              </w:rPr>
              <w:t>2014-2016</w:t>
            </w:r>
          </w:p>
        </w:tc>
        <w:tc>
          <w:tcPr>
            <w:tcW w:w="3818" w:type="dxa"/>
            <w:gridSpan w:val="2"/>
          </w:tcPr>
          <w:p>
            <w:pPr>
              <w:pStyle w:val="TableParagraph"/>
              <w:spacing w:line="237" w:lineRule="auto" w:before="71"/>
              <w:ind w:left="1304" w:right="84" w:hanging="1200"/>
              <w:rPr>
                <w:sz w:val="20"/>
              </w:rPr>
            </w:pPr>
            <w:r>
              <w:rPr>
                <w:sz w:val="20"/>
              </w:rPr>
              <w:t>对现有老化、精度差的中小设备进行数控化更新改造。</w:t>
            </w:r>
          </w:p>
        </w:tc>
        <w:tc>
          <w:tcPr>
            <w:tcW w:w="977" w:type="dxa"/>
          </w:tcPr>
          <w:p>
            <w:pPr>
              <w:pStyle w:val="TableParagraph"/>
              <w:spacing w:before="1"/>
              <w:rPr>
                <w:rFonts w:ascii="黑体"/>
                <w:sz w:val="15"/>
              </w:rPr>
            </w:pPr>
          </w:p>
          <w:p>
            <w:pPr>
              <w:pStyle w:val="TableParagraph"/>
              <w:spacing w:before="1"/>
              <w:ind w:left="282"/>
              <w:rPr>
                <w:sz w:val="20"/>
              </w:rPr>
            </w:pPr>
            <w:r>
              <w:rPr>
                <w:sz w:val="20"/>
              </w:rPr>
              <w:t>1000</w:t>
            </w:r>
          </w:p>
        </w:tc>
        <w:tc>
          <w:tcPr>
            <w:tcW w:w="1080" w:type="dxa"/>
          </w:tcPr>
          <w:p>
            <w:pPr>
              <w:pStyle w:val="TableParagraph"/>
              <w:spacing w:before="1"/>
              <w:rPr>
                <w:rFonts w:ascii="黑体"/>
                <w:sz w:val="15"/>
              </w:rPr>
            </w:pPr>
          </w:p>
          <w:p>
            <w:pPr>
              <w:pStyle w:val="TableParagraph"/>
              <w:spacing w:before="1"/>
              <w:ind w:left="113" w:right="114"/>
              <w:jc w:val="center"/>
              <w:rPr>
                <w:sz w:val="20"/>
              </w:rPr>
            </w:pPr>
            <w:r>
              <w:rPr>
                <w:sz w:val="20"/>
              </w:rPr>
              <w:t>经信局</w:t>
            </w:r>
          </w:p>
        </w:tc>
      </w:tr>
      <w:tr>
        <w:trPr>
          <w:trHeight w:val="700" w:hRule="atLeast"/>
        </w:trPr>
        <w:tc>
          <w:tcPr>
            <w:tcW w:w="481" w:type="dxa"/>
          </w:tcPr>
          <w:p>
            <w:pPr>
              <w:pStyle w:val="TableParagraph"/>
              <w:spacing w:before="1"/>
              <w:rPr>
                <w:rFonts w:ascii="黑体"/>
                <w:sz w:val="15"/>
              </w:rPr>
            </w:pPr>
          </w:p>
          <w:p>
            <w:pPr>
              <w:pStyle w:val="TableParagraph"/>
              <w:spacing w:before="1"/>
              <w:ind w:left="134"/>
              <w:rPr>
                <w:sz w:val="20"/>
              </w:rPr>
            </w:pPr>
            <w:r>
              <w:rPr>
                <w:sz w:val="20"/>
              </w:rPr>
              <w:t>77</w:t>
            </w:r>
          </w:p>
        </w:tc>
        <w:tc>
          <w:tcPr>
            <w:tcW w:w="2267" w:type="dxa"/>
          </w:tcPr>
          <w:p>
            <w:pPr>
              <w:pStyle w:val="TableParagraph"/>
              <w:spacing w:before="1"/>
              <w:rPr>
                <w:rFonts w:ascii="黑体"/>
                <w:sz w:val="15"/>
              </w:rPr>
            </w:pPr>
          </w:p>
          <w:p>
            <w:pPr>
              <w:pStyle w:val="TableParagraph"/>
              <w:spacing w:before="1"/>
              <w:ind w:left="99" w:right="99"/>
              <w:jc w:val="center"/>
              <w:rPr>
                <w:sz w:val="20"/>
              </w:rPr>
            </w:pPr>
            <w:r>
              <w:rPr>
                <w:sz w:val="20"/>
              </w:rPr>
              <w:t>节能、安全改造项目</w:t>
            </w:r>
          </w:p>
        </w:tc>
        <w:tc>
          <w:tcPr>
            <w:tcW w:w="1116" w:type="dxa"/>
          </w:tcPr>
          <w:p>
            <w:pPr>
              <w:pStyle w:val="TableParagraph"/>
              <w:spacing w:before="1"/>
              <w:rPr>
                <w:rFonts w:ascii="黑体"/>
                <w:sz w:val="15"/>
              </w:rPr>
            </w:pPr>
          </w:p>
          <w:p>
            <w:pPr>
              <w:pStyle w:val="TableParagraph"/>
              <w:spacing w:before="1"/>
              <w:ind w:left="101"/>
              <w:rPr>
                <w:sz w:val="20"/>
              </w:rPr>
            </w:pPr>
            <w:r>
              <w:rPr>
                <w:sz w:val="20"/>
              </w:rPr>
              <w:t>2016-2017</w:t>
            </w:r>
          </w:p>
        </w:tc>
        <w:tc>
          <w:tcPr>
            <w:tcW w:w="3818" w:type="dxa"/>
            <w:gridSpan w:val="2"/>
          </w:tcPr>
          <w:p>
            <w:pPr>
              <w:pStyle w:val="TableParagraph"/>
              <w:spacing w:line="237" w:lineRule="auto" w:before="71"/>
              <w:ind w:left="1203" w:right="85" w:hanging="1100"/>
              <w:rPr>
                <w:sz w:val="20"/>
              </w:rPr>
            </w:pPr>
            <w:r>
              <w:rPr>
                <w:sz w:val="20"/>
              </w:rPr>
              <w:t>实施降压站改造，提高电能设备先进性， 实现节能降耗。</w:t>
            </w:r>
          </w:p>
        </w:tc>
        <w:tc>
          <w:tcPr>
            <w:tcW w:w="977" w:type="dxa"/>
          </w:tcPr>
          <w:p>
            <w:pPr>
              <w:pStyle w:val="TableParagraph"/>
              <w:spacing w:before="1"/>
              <w:rPr>
                <w:rFonts w:ascii="黑体"/>
                <w:sz w:val="15"/>
              </w:rPr>
            </w:pPr>
          </w:p>
          <w:p>
            <w:pPr>
              <w:pStyle w:val="TableParagraph"/>
              <w:spacing w:before="1"/>
              <w:ind w:left="332"/>
              <w:rPr>
                <w:sz w:val="20"/>
              </w:rPr>
            </w:pPr>
            <w:r>
              <w:rPr>
                <w:sz w:val="20"/>
              </w:rPr>
              <w:t>750</w:t>
            </w:r>
          </w:p>
        </w:tc>
        <w:tc>
          <w:tcPr>
            <w:tcW w:w="1080" w:type="dxa"/>
          </w:tcPr>
          <w:p>
            <w:pPr>
              <w:pStyle w:val="TableParagraph"/>
              <w:spacing w:before="1"/>
              <w:rPr>
                <w:rFonts w:ascii="黑体"/>
                <w:sz w:val="15"/>
              </w:rPr>
            </w:pPr>
          </w:p>
          <w:p>
            <w:pPr>
              <w:pStyle w:val="TableParagraph"/>
              <w:spacing w:before="1"/>
              <w:ind w:left="114" w:right="114"/>
              <w:jc w:val="center"/>
              <w:rPr>
                <w:sz w:val="20"/>
              </w:rPr>
            </w:pPr>
            <w:r>
              <w:rPr>
                <w:sz w:val="20"/>
              </w:rPr>
              <w:t>经信局</w:t>
            </w:r>
          </w:p>
        </w:tc>
      </w:tr>
      <w:tr>
        <w:trPr>
          <w:trHeight w:val="720" w:hRule="atLeast"/>
        </w:trPr>
        <w:tc>
          <w:tcPr>
            <w:tcW w:w="481" w:type="dxa"/>
          </w:tcPr>
          <w:p>
            <w:pPr>
              <w:pStyle w:val="TableParagraph"/>
              <w:spacing w:before="1"/>
              <w:rPr>
                <w:rFonts w:ascii="黑体"/>
                <w:sz w:val="15"/>
              </w:rPr>
            </w:pPr>
          </w:p>
          <w:p>
            <w:pPr>
              <w:pStyle w:val="TableParagraph"/>
              <w:spacing w:before="1"/>
              <w:ind w:left="134"/>
              <w:rPr>
                <w:sz w:val="20"/>
              </w:rPr>
            </w:pPr>
            <w:r>
              <w:rPr>
                <w:sz w:val="20"/>
              </w:rPr>
              <w:t>78</w:t>
            </w:r>
          </w:p>
        </w:tc>
        <w:tc>
          <w:tcPr>
            <w:tcW w:w="2267" w:type="dxa"/>
          </w:tcPr>
          <w:p>
            <w:pPr>
              <w:pStyle w:val="TableParagraph"/>
              <w:spacing w:before="1"/>
              <w:rPr>
                <w:rFonts w:ascii="黑体"/>
                <w:sz w:val="15"/>
              </w:rPr>
            </w:pPr>
          </w:p>
          <w:p>
            <w:pPr>
              <w:pStyle w:val="TableParagraph"/>
              <w:spacing w:before="1"/>
              <w:ind w:left="98" w:right="99"/>
              <w:jc w:val="center"/>
              <w:rPr>
                <w:sz w:val="20"/>
              </w:rPr>
            </w:pPr>
            <w:r>
              <w:rPr>
                <w:sz w:val="20"/>
              </w:rPr>
              <w:t>高效节能电机技改项目</w:t>
            </w:r>
          </w:p>
        </w:tc>
        <w:tc>
          <w:tcPr>
            <w:tcW w:w="1116" w:type="dxa"/>
          </w:tcPr>
          <w:p>
            <w:pPr>
              <w:pStyle w:val="TableParagraph"/>
              <w:spacing w:before="1"/>
              <w:rPr>
                <w:rFonts w:ascii="黑体"/>
                <w:sz w:val="15"/>
              </w:rPr>
            </w:pPr>
          </w:p>
          <w:p>
            <w:pPr>
              <w:pStyle w:val="TableParagraph"/>
              <w:spacing w:before="1"/>
              <w:ind w:left="101"/>
              <w:rPr>
                <w:sz w:val="20"/>
              </w:rPr>
            </w:pPr>
            <w:r>
              <w:rPr>
                <w:sz w:val="20"/>
              </w:rPr>
              <w:t>2016-2018</w:t>
            </w:r>
          </w:p>
        </w:tc>
        <w:tc>
          <w:tcPr>
            <w:tcW w:w="3818" w:type="dxa"/>
            <w:gridSpan w:val="2"/>
          </w:tcPr>
          <w:p>
            <w:pPr>
              <w:pStyle w:val="TableParagraph"/>
              <w:spacing w:line="237" w:lineRule="auto" w:before="71"/>
              <w:ind w:left="1304" w:right="84" w:hanging="1200"/>
              <w:rPr>
                <w:sz w:val="20"/>
              </w:rPr>
            </w:pPr>
            <w:r>
              <w:rPr>
                <w:sz w:val="20"/>
              </w:rPr>
              <w:t>提升研发、试验、制造能力，基地、试验中心建设等。</w:t>
            </w:r>
          </w:p>
        </w:tc>
        <w:tc>
          <w:tcPr>
            <w:tcW w:w="977" w:type="dxa"/>
          </w:tcPr>
          <w:p>
            <w:pPr>
              <w:pStyle w:val="TableParagraph"/>
              <w:spacing w:before="1"/>
              <w:rPr>
                <w:rFonts w:ascii="黑体"/>
                <w:sz w:val="15"/>
              </w:rPr>
            </w:pPr>
          </w:p>
          <w:p>
            <w:pPr>
              <w:pStyle w:val="TableParagraph"/>
              <w:spacing w:before="1"/>
              <w:ind w:left="232"/>
              <w:rPr>
                <w:sz w:val="20"/>
              </w:rPr>
            </w:pPr>
            <w:r>
              <w:rPr>
                <w:sz w:val="20"/>
              </w:rPr>
              <w:t>15000</w:t>
            </w:r>
          </w:p>
        </w:tc>
        <w:tc>
          <w:tcPr>
            <w:tcW w:w="1080" w:type="dxa"/>
          </w:tcPr>
          <w:p>
            <w:pPr>
              <w:pStyle w:val="TableParagraph"/>
              <w:spacing w:before="1"/>
              <w:rPr>
                <w:rFonts w:ascii="黑体"/>
                <w:sz w:val="15"/>
              </w:rPr>
            </w:pPr>
          </w:p>
          <w:p>
            <w:pPr>
              <w:pStyle w:val="TableParagraph"/>
              <w:spacing w:before="1"/>
              <w:ind w:left="114" w:right="114"/>
              <w:jc w:val="center"/>
              <w:rPr>
                <w:sz w:val="20"/>
              </w:rPr>
            </w:pPr>
            <w:r>
              <w:rPr>
                <w:sz w:val="20"/>
              </w:rPr>
              <w:t>经信局</w:t>
            </w:r>
          </w:p>
        </w:tc>
      </w:tr>
      <w:tr>
        <w:trPr>
          <w:trHeight w:val="760" w:hRule="atLeast"/>
        </w:trPr>
        <w:tc>
          <w:tcPr>
            <w:tcW w:w="481" w:type="dxa"/>
          </w:tcPr>
          <w:p>
            <w:pPr>
              <w:pStyle w:val="TableParagraph"/>
              <w:spacing w:before="4"/>
              <w:rPr>
                <w:rFonts w:ascii="黑体"/>
                <w:sz w:val="17"/>
              </w:rPr>
            </w:pPr>
          </w:p>
          <w:p>
            <w:pPr>
              <w:pStyle w:val="TableParagraph"/>
              <w:ind w:left="134"/>
              <w:rPr>
                <w:sz w:val="20"/>
              </w:rPr>
            </w:pPr>
            <w:r>
              <w:rPr>
                <w:sz w:val="20"/>
              </w:rPr>
              <w:t>79</w:t>
            </w:r>
          </w:p>
        </w:tc>
        <w:tc>
          <w:tcPr>
            <w:tcW w:w="2267" w:type="dxa"/>
          </w:tcPr>
          <w:p>
            <w:pPr>
              <w:pStyle w:val="TableParagraph"/>
              <w:spacing w:before="4"/>
              <w:rPr>
                <w:rFonts w:ascii="黑体"/>
                <w:sz w:val="17"/>
              </w:rPr>
            </w:pPr>
          </w:p>
          <w:p>
            <w:pPr>
              <w:pStyle w:val="TableParagraph"/>
              <w:ind w:left="98" w:right="99"/>
              <w:jc w:val="center"/>
              <w:rPr>
                <w:sz w:val="20"/>
              </w:rPr>
            </w:pPr>
            <w:r>
              <w:rPr>
                <w:sz w:val="20"/>
              </w:rPr>
              <w:t>工艺路线优化调整项目</w:t>
            </w:r>
          </w:p>
        </w:tc>
        <w:tc>
          <w:tcPr>
            <w:tcW w:w="1116" w:type="dxa"/>
          </w:tcPr>
          <w:p>
            <w:pPr>
              <w:pStyle w:val="TableParagraph"/>
              <w:spacing w:before="4"/>
              <w:rPr>
                <w:rFonts w:ascii="黑体"/>
                <w:sz w:val="17"/>
              </w:rPr>
            </w:pPr>
          </w:p>
          <w:p>
            <w:pPr>
              <w:pStyle w:val="TableParagraph"/>
              <w:ind w:left="101"/>
              <w:rPr>
                <w:sz w:val="20"/>
              </w:rPr>
            </w:pPr>
            <w:r>
              <w:rPr>
                <w:sz w:val="20"/>
              </w:rPr>
              <w:t>2018-2020</w:t>
            </w:r>
          </w:p>
        </w:tc>
        <w:tc>
          <w:tcPr>
            <w:tcW w:w="3818" w:type="dxa"/>
            <w:gridSpan w:val="2"/>
          </w:tcPr>
          <w:p>
            <w:pPr>
              <w:pStyle w:val="TableParagraph"/>
              <w:spacing w:line="228" w:lineRule="exact"/>
              <w:ind w:left="104"/>
              <w:rPr>
                <w:sz w:val="20"/>
              </w:rPr>
            </w:pPr>
            <w:r>
              <w:rPr>
                <w:sz w:val="20"/>
              </w:rPr>
              <w:t>新建 10000 平方米厂房，对焊接、铲磨、</w:t>
            </w:r>
          </w:p>
          <w:p>
            <w:pPr>
              <w:pStyle w:val="TableParagraph"/>
              <w:spacing w:line="237" w:lineRule="auto" w:before="1"/>
              <w:ind w:left="1403" w:right="85" w:hanging="1300"/>
              <w:rPr>
                <w:sz w:val="20"/>
              </w:rPr>
            </w:pPr>
            <w:r>
              <w:rPr>
                <w:sz w:val="20"/>
              </w:rPr>
              <w:t>油漆、包装、绝缘材料加工等工艺布局调整和改造。</w:t>
            </w:r>
          </w:p>
        </w:tc>
        <w:tc>
          <w:tcPr>
            <w:tcW w:w="977" w:type="dxa"/>
          </w:tcPr>
          <w:p>
            <w:pPr>
              <w:pStyle w:val="TableParagraph"/>
              <w:spacing w:before="4"/>
              <w:rPr>
                <w:rFonts w:ascii="黑体"/>
                <w:sz w:val="17"/>
              </w:rPr>
            </w:pPr>
          </w:p>
          <w:p>
            <w:pPr>
              <w:pStyle w:val="TableParagraph"/>
              <w:ind w:left="282"/>
              <w:rPr>
                <w:sz w:val="20"/>
              </w:rPr>
            </w:pPr>
            <w:r>
              <w:rPr>
                <w:sz w:val="20"/>
              </w:rPr>
              <w:t>5000</w:t>
            </w:r>
          </w:p>
        </w:tc>
        <w:tc>
          <w:tcPr>
            <w:tcW w:w="1080" w:type="dxa"/>
          </w:tcPr>
          <w:p>
            <w:pPr>
              <w:pStyle w:val="TableParagraph"/>
              <w:spacing w:before="4"/>
              <w:rPr>
                <w:rFonts w:ascii="黑体"/>
                <w:sz w:val="17"/>
              </w:rPr>
            </w:pPr>
          </w:p>
          <w:p>
            <w:pPr>
              <w:pStyle w:val="TableParagraph"/>
              <w:ind w:left="113" w:right="114"/>
              <w:jc w:val="center"/>
              <w:rPr>
                <w:sz w:val="20"/>
              </w:rPr>
            </w:pPr>
            <w:r>
              <w:rPr>
                <w:sz w:val="20"/>
              </w:rPr>
              <w:t>经信局</w:t>
            </w:r>
          </w:p>
        </w:tc>
      </w:tr>
    </w:tbl>
    <w:p>
      <w:pPr>
        <w:spacing w:after="0"/>
        <w:jc w:val="center"/>
        <w:rPr>
          <w:sz w:val="20"/>
        </w:rPr>
        <w:sectPr>
          <w:pgSz w:w="11910" w:h="16840"/>
          <w:pgMar w:header="0" w:footer="998" w:top="1440" w:bottom="1120" w:left="960" w:right="960"/>
        </w:sectPr>
      </w:pPr>
    </w:p>
    <w:tbl>
      <w:tblPr>
        <w:tblW w:w="0" w:type="auto"/>
        <w:jc w:val="left"/>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81"/>
        <w:gridCol w:w="2267"/>
        <w:gridCol w:w="1116"/>
        <w:gridCol w:w="3818"/>
        <w:gridCol w:w="977"/>
        <w:gridCol w:w="1080"/>
      </w:tblGrid>
      <w:tr>
        <w:trPr>
          <w:trHeight w:val="920" w:hRule="atLeast"/>
        </w:trPr>
        <w:tc>
          <w:tcPr>
            <w:tcW w:w="481" w:type="dxa"/>
          </w:tcPr>
          <w:p>
            <w:pPr>
              <w:pStyle w:val="TableParagraph"/>
              <w:rPr>
                <w:rFonts w:ascii="黑体"/>
                <w:sz w:val="23"/>
              </w:rPr>
            </w:pPr>
          </w:p>
          <w:p>
            <w:pPr>
              <w:pStyle w:val="TableParagraph"/>
              <w:ind w:left="134"/>
              <w:rPr>
                <w:sz w:val="20"/>
              </w:rPr>
            </w:pPr>
            <w:r>
              <w:rPr>
                <w:sz w:val="20"/>
              </w:rPr>
              <w:t>80</w:t>
            </w:r>
          </w:p>
        </w:tc>
        <w:tc>
          <w:tcPr>
            <w:tcW w:w="2267" w:type="dxa"/>
          </w:tcPr>
          <w:p>
            <w:pPr>
              <w:pStyle w:val="TableParagraph"/>
              <w:spacing w:line="237" w:lineRule="auto" w:before="174"/>
              <w:ind w:left="727" w:right="108" w:hanging="599"/>
              <w:rPr>
                <w:sz w:val="20"/>
              </w:rPr>
            </w:pPr>
            <w:r>
              <w:rPr>
                <w:sz w:val="20"/>
              </w:rPr>
              <w:t>铸造车间异地搬迁扩能技改项目</w:t>
            </w:r>
          </w:p>
        </w:tc>
        <w:tc>
          <w:tcPr>
            <w:tcW w:w="1116" w:type="dxa"/>
          </w:tcPr>
          <w:p>
            <w:pPr>
              <w:pStyle w:val="TableParagraph"/>
              <w:rPr>
                <w:rFonts w:ascii="黑体"/>
                <w:sz w:val="23"/>
              </w:rPr>
            </w:pPr>
          </w:p>
          <w:p>
            <w:pPr>
              <w:pStyle w:val="TableParagraph"/>
              <w:ind w:left="103"/>
              <w:rPr>
                <w:sz w:val="20"/>
              </w:rPr>
            </w:pPr>
            <w:r>
              <w:rPr>
                <w:sz w:val="20"/>
              </w:rPr>
              <w:t>2014-2017</w:t>
            </w:r>
          </w:p>
        </w:tc>
        <w:tc>
          <w:tcPr>
            <w:tcW w:w="3818" w:type="dxa"/>
          </w:tcPr>
          <w:p>
            <w:pPr>
              <w:pStyle w:val="TableParagraph"/>
              <w:spacing w:line="237" w:lineRule="auto" w:before="45"/>
              <w:ind w:left="104" w:right="101"/>
              <w:jc w:val="both"/>
              <w:rPr>
                <w:sz w:val="20"/>
              </w:rPr>
            </w:pPr>
            <w:r>
              <w:rPr>
                <w:spacing w:val="-6"/>
                <w:sz w:val="20"/>
              </w:rPr>
              <w:t>新建厂房及附属建筑物 </w:t>
            </w:r>
            <w:r>
              <w:rPr>
                <w:sz w:val="20"/>
              </w:rPr>
              <w:t>1.5</w:t>
            </w:r>
            <w:r>
              <w:rPr>
                <w:spacing w:val="-9"/>
                <w:sz w:val="20"/>
              </w:rPr>
              <w:t> 万平方米，淘</w:t>
            </w:r>
            <w:r>
              <w:rPr>
                <w:spacing w:val="-1"/>
                <w:sz w:val="20"/>
              </w:rPr>
              <w:t>汰铸造车间现有落后设备，整体搬迁至新</w:t>
            </w:r>
            <w:r>
              <w:rPr>
                <w:spacing w:val="-9"/>
                <w:sz w:val="20"/>
              </w:rPr>
              <w:t>址。形成年产 </w:t>
            </w:r>
            <w:r>
              <w:rPr>
                <w:sz w:val="20"/>
              </w:rPr>
              <w:t>2</w:t>
            </w:r>
            <w:r>
              <w:rPr>
                <w:spacing w:val="-8"/>
                <w:sz w:val="20"/>
              </w:rPr>
              <w:t> 万吨铸件的生产能力。</w:t>
            </w:r>
          </w:p>
        </w:tc>
        <w:tc>
          <w:tcPr>
            <w:tcW w:w="977" w:type="dxa"/>
          </w:tcPr>
          <w:p>
            <w:pPr>
              <w:pStyle w:val="TableParagraph"/>
              <w:rPr>
                <w:rFonts w:ascii="黑体"/>
                <w:sz w:val="23"/>
              </w:rPr>
            </w:pPr>
          </w:p>
          <w:p>
            <w:pPr>
              <w:pStyle w:val="TableParagraph"/>
              <w:ind w:left="232"/>
              <w:rPr>
                <w:sz w:val="20"/>
              </w:rPr>
            </w:pPr>
            <w:r>
              <w:rPr>
                <w:sz w:val="20"/>
              </w:rPr>
              <w:t>14000</w:t>
            </w:r>
          </w:p>
        </w:tc>
        <w:tc>
          <w:tcPr>
            <w:tcW w:w="1080" w:type="dxa"/>
          </w:tcPr>
          <w:p>
            <w:pPr>
              <w:pStyle w:val="TableParagraph"/>
              <w:rPr>
                <w:rFonts w:ascii="黑体"/>
                <w:sz w:val="23"/>
              </w:rPr>
            </w:pPr>
          </w:p>
          <w:p>
            <w:pPr>
              <w:pStyle w:val="TableParagraph"/>
              <w:ind w:left="114" w:right="114"/>
              <w:jc w:val="center"/>
              <w:rPr>
                <w:sz w:val="20"/>
              </w:rPr>
            </w:pPr>
            <w:r>
              <w:rPr>
                <w:sz w:val="20"/>
              </w:rPr>
              <w:t>经信局</w:t>
            </w:r>
          </w:p>
        </w:tc>
      </w:tr>
      <w:tr>
        <w:trPr>
          <w:trHeight w:val="700" w:hRule="atLeast"/>
        </w:trPr>
        <w:tc>
          <w:tcPr>
            <w:tcW w:w="481" w:type="dxa"/>
          </w:tcPr>
          <w:p>
            <w:pPr>
              <w:pStyle w:val="TableParagraph"/>
              <w:spacing w:before="1"/>
              <w:rPr>
                <w:rFonts w:ascii="黑体"/>
                <w:sz w:val="15"/>
              </w:rPr>
            </w:pPr>
          </w:p>
          <w:p>
            <w:pPr>
              <w:pStyle w:val="TableParagraph"/>
              <w:spacing w:before="1"/>
              <w:ind w:left="134"/>
              <w:rPr>
                <w:sz w:val="20"/>
              </w:rPr>
            </w:pPr>
            <w:r>
              <w:rPr>
                <w:sz w:val="20"/>
              </w:rPr>
              <w:t>81</w:t>
            </w:r>
          </w:p>
        </w:tc>
        <w:tc>
          <w:tcPr>
            <w:tcW w:w="2267" w:type="dxa"/>
          </w:tcPr>
          <w:p>
            <w:pPr>
              <w:pStyle w:val="TableParagraph"/>
              <w:spacing w:line="237" w:lineRule="auto" w:before="71"/>
              <w:ind w:left="927" w:right="34" w:hanging="825"/>
              <w:rPr>
                <w:sz w:val="20"/>
              </w:rPr>
            </w:pPr>
            <w:r>
              <w:rPr>
                <w:sz w:val="20"/>
              </w:rPr>
              <w:t>年产20 万吨无铁硫酸铝项目</w:t>
            </w:r>
          </w:p>
        </w:tc>
        <w:tc>
          <w:tcPr>
            <w:tcW w:w="1116" w:type="dxa"/>
          </w:tcPr>
          <w:p>
            <w:pPr>
              <w:pStyle w:val="TableParagraph"/>
              <w:spacing w:before="1"/>
              <w:rPr>
                <w:rFonts w:ascii="黑体"/>
                <w:sz w:val="15"/>
              </w:rPr>
            </w:pPr>
          </w:p>
          <w:p>
            <w:pPr>
              <w:pStyle w:val="TableParagraph"/>
              <w:spacing w:before="1"/>
              <w:ind w:left="103"/>
              <w:rPr>
                <w:sz w:val="20"/>
              </w:rPr>
            </w:pPr>
            <w:r>
              <w:rPr>
                <w:sz w:val="20"/>
              </w:rPr>
              <w:t>2016-2017</w:t>
            </w:r>
          </w:p>
        </w:tc>
        <w:tc>
          <w:tcPr>
            <w:tcW w:w="3818" w:type="dxa"/>
          </w:tcPr>
          <w:p>
            <w:pPr>
              <w:pStyle w:val="TableParagraph"/>
              <w:spacing w:line="237" w:lineRule="auto" w:before="71"/>
              <w:ind w:left="1304" w:hanging="1200"/>
              <w:rPr>
                <w:sz w:val="20"/>
              </w:rPr>
            </w:pPr>
            <w:r>
              <w:rPr>
                <w:spacing w:val="-14"/>
                <w:sz w:val="20"/>
              </w:rPr>
              <w:t>新增地 </w:t>
            </w:r>
            <w:r>
              <w:rPr>
                <w:sz w:val="20"/>
              </w:rPr>
              <w:t>10</w:t>
            </w:r>
            <w:r>
              <w:rPr>
                <w:spacing w:val="-15"/>
                <w:sz w:val="20"/>
              </w:rPr>
              <w:t> 亩，建设一期 </w:t>
            </w:r>
            <w:r>
              <w:rPr>
                <w:sz w:val="20"/>
              </w:rPr>
              <w:t>10</w:t>
            </w:r>
            <w:r>
              <w:rPr>
                <w:spacing w:val="-9"/>
                <w:sz w:val="20"/>
              </w:rPr>
              <w:t> 万吨无铁硫酸</w:t>
            </w:r>
            <w:r>
              <w:rPr>
                <w:spacing w:val="-1"/>
                <w:sz w:val="20"/>
              </w:rPr>
              <w:t>铝生产装置。</w:t>
            </w:r>
          </w:p>
        </w:tc>
        <w:tc>
          <w:tcPr>
            <w:tcW w:w="977" w:type="dxa"/>
          </w:tcPr>
          <w:p>
            <w:pPr>
              <w:pStyle w:val="TableParagraph"/>
              <w:spacing w:before="1"/>
              <w:rPr>
                <w:rFonts w:ascii="黑体"/>
                <w:sz w:val="15"/>
              </w:rPr>
            </w:pPr>
          </w:p>
          <w:p>
            <w:pPr>
              <w:pStyle w:val="TableParagraph"/>
              <w:spacing w:before="1"/>
              <w:ind w:left="282"/>
              <w:rPr>
                <w:sz w:val="20"/>
              </w:rPr>
            </w:pPr>
            <w:r>
              <w:rPr>
                <w:sz w:val="20"/>
              </w:rPr>
              <w:t>2200</w:t>
            </w:r>
          </w:p>
        </w:tc>
        <w:tc>
          <w:tcPr>
            <w:tcW w:w="1080" w:type="dxa"/>
          </w:tcPr>
          <w:p>
            <w:pPr>
              <w:pStyle w:val="TableParagraph"/>
              <w:spacing w:before="1"/>
              <w:rPr>
                <w:rFonts w:ascii="黑体"/>
                <w:sz w:val="15"/>
              </w:rPr>
            </w:pPr>
          </w:p>
          <w:p>
            <w:pPr>
              <w:pStyle w:val="TableParagraph"/>
              <w:spacing w:before="1"/>
              <w:ind w:left="113" w:right="114"/>
              <w:jc w:val="center"/>
              <w:rPr>
                <w:sz w:val="20"/>
              </w:rPr>
            </w:pPr>
            <w:r>
              <w:rPr>
                <w:sz w:val="20"/>
              </w:rPr>
              <w:t>经信局</w:t>
            </w:r>
          </w:p>
        </w:tc>
      </w:tr>
      <w:tr>
        <w:trPr>
          <w:trHeight w:val="1140" w:hRule="atLeast"/>
        </w:trPr>
        <w:tc>
          <w:tcPr>
            <w:tcW w:w="481" w:type="dxa"/>
          </w:tcPr>
          <w:p>
            <w:pPr>
              <w:pStyle w:val="TableParagraph"/>
              <w:rPr>
                <w:rFonts w:ascii="黑体"/>
                <w:sz w:val="20"/>
              </w:rPr>
            </w:pPr>
          </w:p>
          <w:p>
            <w:pPr>
              <w:pStyle w:val="TableParagraph"/>
              <w:spacing w:before="149"/>
              <w:ind w:left="134"/>
              <w:rPr>
                <w:sz w:val="20"/>
              </w:rPr>
            </w:pPr>
            <w:r>
              <w:rPr>
                <w:sz w:val="20"/>
              </w:rPr>
              <w:t>82</w:t>
            </w:r>
          </w:p>
        </w:tc>
        <w:tc>
          <w:tcPr>
            <w:tcW w:w="2267" w:type="dxa"/>
          </w:tcPr>
          <w:p>
            <w:pPr>
              <w:pStyle w:val="TableParagraph"/>
              <w:spacing w:before="8"/>
              <w:rPr>
                <w:rFonts w:ascii="黑体"/>
                <w:sz w:val="21"/>
              </w:rPr>
            </w:pPr>
          </w:p>
          <w:p>
            <w:pPr>
              <w:pStyle w:val="TableParagraph"/>
              <w:spacing w:line="237" w:lineRule="auto" w:before="1"/>
              <w:ind w:left="327" w:right="109" w:hanging="200"/>
              <w:rPr>
                <w:sz w:val="20"/>
              </w:rPr>
            </w:pPr>
            <w:r>
              <w:rPr>
                <w:sz w:val="20"/>
              </w:rPr>
              <w:t>高强再生瓦楞纸生产线余热发电技改项目</w:t>
            </w:r>
          </w:p>
        </w:tc>
        <w:tc>
          <w:tcPr>
            <w:tcW w:w="1116" w:type="dxa"/>
          </w:tcPr>
          <w:p>
            <w:pPr>
              <w:pStyle w:val="TableParagraph"/>
              <w:rPr>
                <w:rFonts w:ascii="黑体"/>
                <w:sz w:val="20"/>
              </w:rPr>
            </w:pPr>
          </w:p>
          <w:p>
            <w:pPr>
              <w:pStyle w:val="TableParagraph"/>
              <w:spacing w:before="149"/>
              <w:ind w:left="103"/>
              <w:rPr>
                <w:sz w:val="20"/>
              </w:rPr>
            </w:pPr>
            <w:r>
              <w:rPr>
                <w:sz w:val="20"/>
              </w:rPr>
              <w:t>2015-2017</w:t>
            </w:r>
          </w:p>
        </w:tc>
        <w:tc>
          <w:tcPr>
            <w:tcW w:w="3818" w:type="dxa"/>
          </w:tcPr>
          <w:p>
            <w:pPr>
              <w:pStyle w:val="TableParagraph"/>
              <w:spacing w:line="237" w:lineRule="auto" w:before="24"/>
              <w:ind w:left="103" w:right="99" w:hanging="2"/>
              <w:jc w:val="center"/>
              <w:rPr>
                <w:sz w:val="20"/>
              </w:rPr>
            </w:pPr>
            <w:r>
              <w:rPr>
                <w:spacing w:val="-11"/>
                <w:sz w:val="20"/>
              </w:rPr>
              <w:t>新建厂房 </w:t>
            </w:r>
            <w:r>
              <w:rPr>
                <w:sz w:val="20"/>
              </w:rPr>
              <w:t>700</w:t>
            </w:r>
            <w:r>
              <w:rPr>
                <w:spacing w:val="-8"/>
                <w:sz w:val="20"/>
              </w:rPr>
              <w:t> 平方米,新购置安装设施设</w:t>
            </w:r>
            <w:r>
              <w:rPr>
                <w:spacing w:val="-30"/>
                <w:sz w:val="20"/>
              </w:rPr>
              <w:t>备 </w:t>
            </w:r>
            <w:r>
              <w:rPr>
                <w:sz w:val="20"/>
              </w:rPr>
              <w:t>10</w:t>
            </w:r>
            <w:r>
              <w:rPr>
                <w:spacing w:val="-29"/>
                <w:sz w:val="20"/>
              </w:rPr>
              <w:t> 余台</w:t>
            </w:r>
            <w:r>
              <w:rPr>
                <w:sz w:val="20"/>
              </w:rPr>
              <w:t>（套</w:t>
            </w:r>
            <w:r>
              <w:rPr>
                <w:spacing w:val="-33"/>
                <w:sz w:val="20"/>
              </w:rPr>
              <w:t>），</w:t>
            </w:r>
            <w:r>
              <w:rPr>
                <w:spacing w:val="-18"/>
                <w:sz w:val="20"/>
              </w:rPr>
              <w:t>形成 </w:t>
            </w:r>
            <w:r>
              <w:rPr>
                <w:sz w:val="20"/>
              </w:rPr>
              <w:t>3MW</w:t>
            </w:r>
            <w:r>
              <w:rPr>
                <w:spacing w:val="-9"/>
                <w:sz w:val="20"/>
              </w:rPr>
              <w:t> 的发电生产能力，年可发电（节电）1821.6</w:t>
            </w:r>
            <w:r>
              <w:rPr>
                <w:spacing w:val="-7"/>
                <w:sz w:val="20"/>
              </w:rPr>
              <w:t> 万</w:t>
            </w:r>
            <w:r>
              <w:rPr>
                <w:sz w:val="20"/>
              </w:rPr>
              <w:t>kwh，折</w:t>
            </w:r>
            <w:r>
              <w:rPr>
                <w:spacing w:val="-18"/>
                <w:sz w:val="20"/>
              </w:rPr>
              <w:t>标煤 </w:t>
            </w:r>
            <w:r>
              <w:rPr>
                <w:sz w:val="20"/>
              </w:rPr>
              <w:t>6375.6</w:t>
            </w:r>
            <w:r>
              <w:rPr>
                <w:spacing w:val="-18"/>
                <w:sz w:val="20"/>
              </w:rPr>
              <w:t> 吨。</w:t>
            </w:r>
          </w:p>
        </w:tc>
        <w:tc>
          <w:tcPr>
            <w:tcW w:w="977" w:type="dxa"/>
          </w:tcPr>
          <w:p>
            <w:pPr>
              <w:pStyle w:val="TableParagraph"/>
              <w:rPr>
                <w:rFonts w:ascii="黑体"/>
                <w:sz w:val="20"/>
              </w:rPr>
            </w:pPr>
          </w:p>
          <w:p>
            <w:pPr>
              <w:pStyle w:val="TableParagraph"/>
              <w:spacing w:before="149"/>
              <w:ind w:left="283"/>
              <w:rPr>
                <w:sz w:val="20"/>
              </w:rPr>
            </w:pPr>
            <w:r>
              <w:rPr>
                <w:sz w:val="20"/>
              </w:rPr>
              <w:t>1600</w:t>
            </w:r>
          </w:p>
        </w:tc>
        <w:tc>
          <w:tcPr>
            <w:tcW w:w="1080" w:type="dxa"/>
          </w:tcPr>
          <w:p>
            <w:pPr>
              <w:pStyle w:val="TableParagraph"/>
              <w:rPr>
                <w:rFonts w:ascii="黑体"/>
                <w:sz w:val="20"/>
              </w:rPr>
            </w:pPr>
          </w:p>
          <w:p>
            <w:pPr>
              <w:pStyle w:val="TableParagraph"/>
              <w:spacing w:before="149"/>
              <w:ind w:left="113" w:right="114"/>
              <w:jc w:val="center"/>
              <w:rPr>
                <w:sz w:val="20"/>
              </w:rPr>
            </w:pPr>
            <w:r>
              <w:rPr>
                <w:sz w:val="20"/>
              </w:rPr>
              <w:t>经信局</w:t>
            </w:r>
          </w:p>
        </w:tc>
      </w:tr>
      <w:tr>
        <w:trPr>
          <w:trHeight w:val="700" w:hRule="atLeast"/>
        </w:trPr>
        <w:tc>
          <w:tcPr>
            <w:tcW w:w="481" w:type="dxa"/>
          </w:tcPr>
          <w:p>
            <w:pPr>
              <w:pStyle w:val="TableParagraph"/>
              <w:spacing w:before="1"/>
              <w:rPr>
                <w:rFonts w:ascii="黑体"/>
                <w:sz w:val="15"/>
              </w:rPr>
            </w:pPr>
          </w:p>
          <w:p>
            <w:pPr>
              <w:pStyle w:val="TableParagraph"/>
              <w:spacing w:before="1"/>
              <w:ind w:left="134"/>
              <w:rPr>
                <w:sz w:val="20"/>
              </w:rPr>
            </w:pPr>
            <w:r>
              <w:rPr>
                <w:sz w:val="20"/>
              </w:rPr>
              <w:t>83</w:t>
            </w:r>
          </w:p>
        </w:tc>
        <w:tc>
          <w:tcPr>
            <w:tcW w:w="2267" w:type="dxa"/>
          </w:tcPr>
          <w:p>
            <w:pPr>
              <w:pStyle w:val="TableParagraph"/>
              <w:spacing w:line="237" w:lineRule="auto" w:before="71"/>
              <w:ind w:left="727" w:hanging="599"/>
              <w:rPr>
                <w:sz w:val="20"/>
              </w:rPr>
            </w:pPr>
            <w:r>
              <w:rPr>
                <w:spacing w:val="-18"/>
                <w:sz w:val="20"/>
              </w:rPr>
              <w:t>年产 </w:t>
            </w:r>
            <w:r>
              <w:rPr>
                <w:sz w:val="20"/>
              </w:rPr>
              <w:t>5</w:t>
            </w:r>
            <w:r>
              <w:rPr>
                <w:spacing w:val="-8"/>
                <w:sz w:val="20"/>
              </w:rPr>
              <w:t> 万吨有机肥异地搬迁项目</w:t>
            </w:r>
          </w:p>
        </w:tc>
        <w:tc>
          <w:tcPr>
            <w:tcW w:w="1116" w:type="dxa"/>
          </w:tcPr>
          <w:p>
            <w:pPr>
              <w:pStyle w:val="TableParagraph"/>
              <w:spacing w:before="1"/>
              <w:rPr>
                <w:rFonts w:ascii="黑体"/>
                <w:sz w:val="15"/>
              </w:rPr>
            </w:pPr>
          </w:p>
          <w:p>
            <w:pPr>
              <w:pStyle w:val="TableParagraph"/>
              <w:spacing w:before="1"/>
              <w:ind w:left="103"/>
              <w:rPr>
                <w:sz w:val="20"/>
              </w:rPr>
            </w:pPr>
            <w:r>
              <w:rPr>
                <w:sz w:val="20"/>
              </w:rPr>
              <w:t>2018-2019</w:t>
            </w:r>
          </w:p>
        </w:tc>
        <w:tc>
          <w:tcPr>
            <w:tcW w:w="3818" w:type="dxa"/>
          </w:tcPr>
          <w:p>
            <w:pPr>
              <w:pStyle w:val="TableParagraph"/>
              <w:spacing w:before="1"/>
              <w:rPr>
                <w:rFonts w:ascii="黑体"/>
                <w:sz w:val="15"/>
              </w:rPr>
            </w:pPr>
          </w:p>
          <w:p>
            <w:pPr>
              <w:pStyle w:val="TableParagraph"/>
              <w:spacing w:before="1"/>
              <w:ind w:left="5" w:right="4"/>
              <w:jc w:val="center"/>
              <w:rPr>
                <w:sz w:val="20"/>
              </w:rPr>
            </w:pPr>
            <w:r>
              <w:rPr>
                <w:sz w:val="20"/>
              </w:rPr>
              <w:t>环保异地搬迁</w:t>
            </w:r>
          </w:p>
        </w:tc>
        <w:tc>
          <w:tcPr>
            <w:tcW w:w="977" w:type="dxa"/>
          </w:tcPr>
          <w:p>
            <w:pPr>
              <w:pStyle w:val="TableParagraph"/>
              <w:spacing w:before="1"/>
              <w:rPr>
                <w:rFonts w:ascii="黑体"/>
                <w:sz w:val="15"/>
              </w:rPr>
            </w:pPr>
          </w:p>
          <w:p>
            <w:pPr>
              <w:pStyle w:val="TableParagraph"/>
              <w:spacing w:before="1"/>
              <w:ind w:left="282"/>
              <w:rPr>
                <w:sz w:val="20"/>
              </w:rPr>
            </w:pPr>
            <w:r>
              <w:rPr>
                <w:sz w:val="20"/>
              </w:rPr>
              <w:t>1000</w:t>
            </w:r>
          </w:p>
        </w:tc>
        <w:tc>
          <w:tcPr>
            <w:tcW w:w="1080" w:type="dxa"/>
          </w:tcPr>
          <w:p>
            <w:pPr>
              <w:pStyle w:val="TableParagraph"/>
              <w:spacing w:before="1"/>
              <w:rPr>
                <w:rFonts w:ascii="黑体"/>
                <w:sz w:val="15"/>
              </w:rPr>
            </w:pPr>
          </w:p>
          <w:p>
            <w:pPr>
              <w:pStyle w:val="TableParagraph"/>
              <w:spacing w:before="1"/>
              <w:ind w:left="113" w:right="114"/>
              <w:jc w:val="center"/>
              <w:rPr>
                <w:sz w:val="20"/>
              </w:rPr>
            </w:pPr>
            <w:r>
              <w:rPr>
                <w:sz w:val="20"/>
              </w:rPr>
              <w:t>经信局</w:t>
            </w:r>
          </w:p>
        </w:tc>
      </w:tr>
      <w:tr>
        <w:trPr>
          <w:trHeight w:val="2060" w:hRule="atLeast"/>
        </w:trPr>
        <w:tc>
          <w:tcPr>
            <w:tcW w:w="481" w:type="dxa"/>
          </w:tcPr>
          <w:p>
            <w:pPr>
              <w:pStyle w:val="TableParagraph"/>
              <w:rPr>
                <w:rFonts w:ascii="黑体"/>
                <w:sz w:val="20"/>
              </w:rPr>
            </w:pPr>
          </w:p>
          <w:p>
            <w:pPr>
              <w:pStyle w:val="TableParagraph"/>
              <w:rPr>
                <w:rFonts w:ascii="黑体"/>
                <w:sz w:val="20"/>
              </w:rPr>
            </w:pPr>
          </w:p>
          <w:p>
            <w:pPr>
              <w:pStyle w:val="TableParagraph"/>
              <w:spacing w:before="7"/>
              <w:rPr>
                <w:rFonts w:ascii="黑体"/>
                <w:sz w:val="26"/>
              </w:rPr>
            </w:pPr>
          </w:p>
          <w:p>
            <w:pPr>
              <w:pStyle w:val="TableParagraph"/>
              <w:ind w:left="134"/>
              <w:rPr>
                <w:sz w:val="20"/>
              </w:rPr>
            </w:pPr>
            <w:r>
              <w:rPr>
                <w:sz w:val="20"/>
              </w:rPr>
              <w:t>84</w:t>
            </w:r>
          </w:p>
        </w:tc>
        <w:tc>
          <w:tcPr>
            <w:tcW w:w="2267" w:type="dxa"/>
          </w:tcPr>
          <w:p>
            <w:pPr>
              <w:pStyle w:val="TableParagraph"/>
              <w:rPr>
                <w:rFonts w:ascii="黑体"/>
                <w:sz w:val="20"/>
              </w:rPr>
            </w:pPr>
          </w:p>
          <w:p>
            <w:pPr>
              <w:pStyle w:val="TableParagraph"/>
              <w:spacing w:before="12"/>
              <w:rPr>
                <w:rFonts w:ascii="黑体"/>
                <w:sz w:val="26"/>
              </w:rPr>
            </w:pPr>
          </w:p>
          <w:p>
            <w:pPr>
              <w:pStyle w:val="TableParagraph"/>
              <w:spacing w:line="237" w:lineRule="auto" w:before="1"/>
              <w:ind w:left="102" w:right="98"/>
              <w:jc w:val="center"/>
              <w:rPr>
                <w:sz w:val="20"/>
              </w:rPr>
            </w:pPr>
            <w:r>
              <w:rPr>
                <w:spacing w:val="-1"/>
                <w:sz w:val="20"/>
              </w:rPr>
              <w:t>四川芽芝春银龄茶叶有</w:t>
            </w:r>
            <w:r>
              <w:rPr>
                <w:spacing w:val="-10"/>
                <w:sz w:val="20"/>
              </w:rPr>
              <w:t>限公司年产 </w:t>
            </w:r>
            <w:r>
              <w:rPr>
                <w:sz w:val="20"/>
              </w:rPr>
              <w:t>400</w:t>
            </w:r>
            <w:r>
              <w:rPr>
                <w:spacing w:val="-14"/>
                <w:sz w:val="20"/>
              </w:rPr>
              <w:t> 吨有机</w:t>
            </w:r>
            <w:r>
              <w:rPr>
                <w:spacing w:val="-1"/>
                <w:sz w:val="20"/>
              </w:rPr>
              <w:t>茶技改扩能项目</w:t>
            </w:r>
          </w:p>
        </w:tc>
        <w:tc>
          <w:tcPr>
            <w:tcW w:w="1116" w:type="dxa"/>
          </w:tcPr>
          <w:p>
            <w:pPr>
              <w:pStyle w:val="TableParagraph"/>
              <w:rPr>
                <w:rFonts w:ascii="黑体"/>
                <w:sz w:val="20"/>
              </w:rPr>
            </w:pPr>
          </w:p>
          <w:p>
            <w:pPr>
              <w:pStyle w:val="TableParagraph"/>
              <w:rPr>
                <w:rFonts w:ascii="黑体"/>
                <w:sz w:val="20"/>
              </w:rPr>
            </w:pPr>
          </w:p>
          <w:p>
            <w:pPr>
              <w:pStyle w:val="TableParagraph"/>
              <w:spacing w:before="7"/>
              <w:rPr>
                <w:rFonts w:ascii="黑体"/>
                <w:sz w:val="26"/>
              </w:rPr>
            </w:pPr>
          </w:p>
          <w:p>
            <w:pPr>
              <w:pStyle w:val="TableParagraph"/>
              <w:ind w:left="103"/>
              <w:rPr>
                <w:sz w:val="20"/>
              </w:rPr>
            </w:pPr>
            <w:r>
              <w:rPr>
                <w:sz w:val="20"/>
              </w:rPr>
              <w:t>2016-2017</w:t>
            </w:r>
          </w:p>
        </w:tc>
        <w:tc>
          <w:tcPr>
            <w:tcW w:w="3818" w:type="dxa"/>
          </w:tcPr>
          <w:p>
            <w:pPr>
              <w:pStyle w:val="TableParagraph"/>
              <w:spacing w:line="237" w:lineRule="auto" w:before="96"/>
              <w:ind w:left="102" w:right="100" w:firstLine="250"/>
              <w:rPr>
                <w:sz w:val="20"/>
              </w:rPr>
            </w:pPr>
            <w:r>
              <w:rPr>
                <w:spacing w:val="-14"/>
                <w:sz w:val="20"/>
              </w:rPr>
              <w:t>新购置 </w:t>
            </w:r>
            <w:r>
              <w:rPr>
                <w:sz w:val="20"/>
              </w:rPr>
              <w:t>6CCB-80/12</w:t>
            </w:r>
            <w:r>
              <w:rPr>
                <w:spacing w:val="-8"/>
                <w:sz w:val="20"/>
              </w:rPr>
              <w:t> 多功能扁茶机、6CST-50</w:t>
            </w:r>
            <w:r>
              <w:rPr>
                <w:spacing w:val="-19"/>
                <w:sz w:val="20"/>
              </w:rPr>
              <w:t> 连续滚筒杀青机、</w:t>
            </w:r>
            <w:r>
              <w:rPr>
                <w:sz w:val="20"/>
              </w:rPr>
              <w:t>YGC-120</w:t>
            </w:r>
            <w:r>
              <w:rPr>
                <w:spacing w:val="-15"/>
                <w:sz w:val="20"/>
              </w:rPr>
              <w:t> 边茶连续抄茶机、9XCWS-15</w:t>
            </w:r>
            <w:r>
              <w:rPr>
                <w:spacing w:val="-8"/>
                <w:sz w:val="20"/>
              </w:rPr>
              <w:t> 连续微波脱水机、6CSX-160</w:t>
            </w:r>
            <w:r>
              <w:rPr>
                <w:spacing w:val="-9"/>
                <w:sz w:val="20"/>
              </w:rPr>
              <w:t> 光电色选机、</w:t>
            </w:r>
            <w:r>
              <w:rPr>
                <w:sz w:val="20"/>
              </w:rPr>
              <w:t>6CYD-50</w:t>
            </w:r>
            <w:r>
              <w:rPr>
                <w:spacing w:val="-12"/>
                <w:sz w:val="20"/>
              </w:rPr>
              <w:t> 滚筒匀堆</w:t>
            </w:r>
            <w:r>
              <w:rPr>
                <w:spacing w:val="-44"/>
                <w:sz w:val="20"/>
              </w:rPr>
              <w:t>机、</w:t>
            </w:r>
            <w:r>
              <w:rPr>
                <w:sz w:val="20"/>
              </w:rPr>
              <w:t>6CT-50</w:t>
            </w:r>
            <w:r>
              <w:rPr>
                <w:spacing w:val="-27"/>
                <w:sz w:val="20"/>
              </w:rPr>
              <w:t> 提升机、</w:t>
            </w:r>
            <w:r>
              <w:rPr>
                <w:sz w:val="20"/>
              </w:rPr>
              <w:t>4T-wt</w:t>
            </w:r>
            <w:r>
              <w:rPr>
                <w:spacing w:val="-17"/>
                <w:sz w:val="20"/>
              </w:rPr>
              <w:t> 热气锅炉等 </w:t>
            </w:r>
            <w:r>
              <w:rPr>
                <w:sz w:val="20"/>
              </w:rPr>
              <w:t>143 </w:t>
            </w:r>
            <w:r>
              <w:rPr>
                <w:spacing w:val="-6"/>
                <w:sz w:val="20"/>
              </w:rPr>
              <w:t>套主要设备，形成年产 </w:t>
            </w:r>
            <w:r>
              <w:rPr>
                <w:sz w:val="20"/>
              </w:rPr>
              <w:t>400</w:t>
            </w:r>
            <w:r>
              <w:rPr>
                <w:spacing w:val="-9"/>
                <w:sz w:val="20"/>
              </w:rPr>
              <w:t> 吨有机茶的生</w:t>
            </w:r>
          </w:p>
          <w:p>
            <w:pPr>
              <w:pStyle w:val="TableParagraph"/>
              <w:spacing w:line="259" w:lineRule="exact"/>
              <w:ind w:left="704"/>
              <w:rPr>
                <w:sz w:val="20"/>
              </w:rPr>
            </w:pPr>
            <w:r>
              <w:rPr>
                <w:sz w:val="20"/>
              </w:rPr>
              <w:t>产能力，其中新增 370 吨。</w:t>
            </w:r>
          </w:p>
        </w:tc>
        <w:tc>
          <w:tcPr>
            <w:tcW w:w="977" w:type="dxa"/>
          </w:tcPr>
          <w:p>
            <w:pPr>
              <w:pStyle w:val="TableParagraph"/>
              <w:rPr>
                <w:rFonts w:ascii="黑体"/>
                <w:sz w:val="20"/>
              </w:rPr>
            </w:pPr>
          </w:p>
          <w:p>
            <w:pPr>
              <w:pStyle w:val="TableParagraph"/>
              <w:rPr>
                <w:rFonts w:ascii="黑体"/>
                <w:sz w:val="20"/>
              </w:rPr>
            </w:pPr>
          </w:p>
          <w:p>
            <w:pPr>
              <w:pStyle w:val="TableParagraph"/>
              <w:spacing w:before="7"/>
              <w:rPr>
                <w:rFonts w:ascii="黑体"/>
                <w:sz w:val="26"/>
              </w:rPr>
            </w:pPr>
          </w:p>
          <w:p>
            <w:pPr>
              <w:pStyle w:val="TableParagraph"/>
              <w:ind w:left="282"/>
              <w:rPr>
                <w:sz w:val="20"/>
              </w:rPr>
            </w:pPr>
            <w:r>
              <w:rPr>
                <w:sz w:val="20"/>
              </w:rPr>
              <w:t>2100</w:t>
            </w:r>
          </w:p>
        </w:tc>
        <w:tc>
          <w:tcPr>
            <w:tcW w:w="1080" w:type="dxa"/>
          </w:tcPr>
          <w:p>
            <w:pPr>
              <w:pStyle w:val="TableParagraph"/>
              <w:rPr>
                <w:rFonts w:ascii="黑体"/>
                <w:sz w:val="20"/>
              </w:rPr>
            </w:pPr>
          </w:p>
          <w:p>
            <w:pPr>
              <w:pStyle w:val="TableParagraph"/>
              <w:rPr>
                <w:rFonts w:ascii="黑体"/>
                <w:sz w:val="20"/>
              </w:rPr>
            </w:pPr>
          </w:p>
          <w:p>
            <w:pPr>
              <w:pStyle w:val="TableParagraph"/>
              <w:spacing w:before="7"/>
              <w:rPr>
                <w:rFonts w:ascii="黑体"/>
                <w:sz w:val="26"/>
              </w:rPr>
            </w:pPr>
          </w:p>
          <w:p>
            <w:pPr>
              <w:pStyle w:val="TableParagraph"/>
              <w:ind w:left="113" w:right="114"/>
              <w:jc w:val="center"/>
              <w:rPr>
                <w:sz w:val="20"/>
              </w:rPr>
            </w:pPr>
            <w:r>
              <w:rPr>
                <w:sz w:val="20"/>
              </w:rPr>
              <w:t>经信局</w:t>
            </w:r>
          </w:p>
        </w:tc>
      </w:tr>
      <w:tr>
        <w:trPr>
          <w:trHeight w:val="900" w:hRule="atLeast"/>
        </w:trPr>
        <w:tc>
          <w:tcPr>
            <w:tcW w:w="481" w:type="dxa"/>
          </w:tcPr>
          <w:p>
            <w:pPr>
              <w:pStyle w:val="TableParagraph"/>
              <w:spacing w:before="3"/>
              <w:rPr>
                <w:rFonts w:ascii="黑体"/>
                <w:sz w:val="22"/>
              </w:rPr>
            </w:pPr>
          </w:p>
          <w:p>
            <w:pPr>
              <w:pStyle w:val="TableParagraph"/>
              <w:spacing w:before="1"/>
              <w:ind w:left="134"/>
              <w:rPr>
                <w:sz w:val="20"/>
              </w:rPr>
            </w:pPr>
            <w:r>
              <w:rPr>
                <w:sz w:val="20"/>
              </w:rPr>
              <w:t>85</w:t>
            </w:r>
          </w:p>
        </w:tc>
        <w:tc>
          <w:tcPr>
            <w:tcW w:w="2267" w:type="dxa"/>
          </w:tcPr>
          <w:p>
            <w:pPr>
              <w:pStyle w:val="TableParagraph"/>
              <w:spacing w:line="237" w:lineRule="auto" w:before="165"/>
              <w:ind w:left="227" w:hanging="100"/>
              <w:rPr>
                <w:sz w:val="20"/>
              </w:rPr>
            </w:pPr>
            <w:r>
              <w:rPr>
                <w:spacing w:val="-18"/>
                <w:sz w:val="20"/>
              </w:rPr>
              <w:t>年产 </w:t>
            </w:r>
            <w:r>
              <w:rPr>
                <w:sz w:val="20"/>
              </w:rPr>
              <w:t>4</w:t>
            </w:r>
            <w:r>
              <w:rPr>
                <w:spacing w:val="-8"/>
                <w:sz w:val="20"/>
              </w:rPr>
              <w:t> 万台家用蔬果破</w:t>
            </w:r>
            <w:r>
              <w:rPr>
                <w:spacing w:val="-1"/>
                <w:sz w:val="20"/>
              </w:rPr>
              <w:t>碎机生产线技改项目</w:t>
            </w:r>
          </w:p>
        </w:tc>
        <w:tc>
          <w:tcPr>
            <w:tcW w:w="1116" w:type="dxa"/>
          </w:tcPr>
          <w:p>
            <w:pPr>
              <w:pStyle w:val="TableParagraph"/>
              <w:spacing w:before="3"/>
              <w:rPr>
                <w:rFonts w:ascii="黑体"/>
                <w:sz w:val="22"/>
              </w:rPr>
            </w:pPr>
          </w:p>
          <w:p>
            <w:pPr>
              <w:pStyle w:val="TableParagraph"/>
              <w:spacing w:before="1"/>
              <w:ind w:left="103"/>
              <w:rPr>
                <w:sz w:val="20"/>
              </w:rPr>
            </w:pPr>
            <w:r>
              <w:rPr>
                <w:sz w:val="20"/>
              </w:rPr>
              <w:t>2015-2017</w:t>
            </w:r>
          </w:p>
        </w:tc>
        <w:tc>
          <w:tcPr>
            <w:tcW w:w="3818" w:type="dxa"/>
          </w:tcPr>
          <w:p>
            <w:pPr>
              <w:pStyle w:val="TableParagraph"/>
              <w:spacing w:line="260" w:lineRule="exact" w:before="32"/>
              <w:ind w:left="104"/>
              <w:rPr>
                <w:sz w:val="20"/>
              </w:rPr>
            </w:pPr>
            <w:r>
              <w:rPr>
                <w:spacing w:val="-11"/>
                <w:sz w:val="20"/>
              </w:rPr>
              <w:t>新建厂房 </w:t>
            </w:r>
            <w:r>
              <w:rPr>
                <w:sz w:val="20"/>
              </w:rPr>
              <w:t>1200</w:t>
            </w:r>
            <w:r>
              <w:rPr>
                <w:spacing w:val="-13"/>
                <w:sz w:val="20"/>
              </w:rPr>
              <w:t> 平方米，新购置设备 </w:t>
            </w:r>
            <w:r>
              <w:rPr>
                <w:sz w:val="20"/>
              </w:rPr>
              <w:t>10</w:t>
            </w:r>
            <w:r>
              <w:rPr>
                <w:spacing w:val="-27"/>
                <w:sz w:val="20"/>
              </w:rPr>
              <w:t> 余</w:t>
            </w:r>
          </w:p>
          <w:p>
            <w:pPr>
              <w:pStyle w:val="TableParagraph"/>
              <w:spacing w:line="237" w:lineRule="auto"/>
              <w:ind w:left="1203" w:hanging="1100"/>
              <w:rPr>
                <w:sz w:val="20"/>
              </w:rPr>
            </w:pPr>
            <w:r>
              <w:rPr>
                <w:sz w:val="20"/>
              </w:rPr>
              <w:t>台（套）</w:t>
            </w:r>
            <w:r>
              <w:rPr>
                <w:spacing w:val="-7"/>
                <w:sz w:val="20"/>
              </w:rPr>
              <w:t>，建成一条年产 </w:t>
            </w:r>
            <w:r>
              <w:rPr>
                <w:sz w:val="20"/>
              </w:rPr>
              <w:t>4</w:t>
            </w:r>
            <w:r>
              <w:rPr>
                <w:spacing w:val="-9"/>
                <w:sz w:val="20"/>
              </w:rPr>
              <w:t> 万台家用蔬果</w:t>
            </w:r>
            <w:r>
              <w:rPr>
                <w:spacing w:val="-1"/>
                <w:sz w:val="20"/>
              </w:rPr>
              <w:t>破碎机的生产线</w:t>
            </w:r>
          </w:p>
        </w:tc>
        <w:tc>
          <w:tcPr>
            <w:tcW w:w="977" w:type="dxa"/>
          </w:tcPr>
          <w:p>
            <w:pPr>
              <w:pStyle w:val="TableParagraph"/>
              <w:spacing w:before="3"/>
              <w:rPr>
                <w:rFonts w:ascii="黑体"/>
                <w:sz w:val="22"/>
              </w:rPr>
            </w:pPr>
          </w:p>
          <w:p>
            <w:pPr>
              <w:pStyle w:val="TableParagraph"/>
              <w:spacing w:before="1"/>
              <w:ind w:left="162" w:right="163"/>
              <w:jc w:val="center"/>
              <w:rPr>
                <w:sz w:val="20"/>
              </w:rPr>
            </w:pPr>
            <w:r>
              <w:rPr>
                <w:sz w:val="20"/>
              </w:rPr>
              <w:t>877</w:t>
            </w:r>
          </w:p>
        </w:tc>
        <w:tc>
          <w:tcPr>
            <w:tcW w:w="1080" w:type="dxa"/>
          </w:tcPr>
          <w:p>
            <w:pPr>
              <w:pStyle w:val="TableParagraph"/>
              <w:spacing w:before="3"/>
              <w:rPr>
                <w:rFonts w:ascii="黑体"/>
                <w:sz w:val="22"/>
              </w:rPr>
            </w:pPr>
          </w:p>
          <w:p>
            <w:pPr>
              <w:pStyle w:val="TableParagraph"/>
              <w:spacing w:before="1"/>
              <w:ind w:left="114" w:right="114"/>
              <w:jc w:val="center"/>
              <w:rPr>
                <w:sz w:val="20"/>
              </w:rPr>
            </w:pPr>
            <w:r>
              <w:rPr>
                <w:sz w:val="20"/>
              </w:rPr>
              <w:t>经信局</w:t>
            </w:r>
          </w:p>
        </w:tc>
      </w:tr>
      <w:tr>
        <w:trPr>
          <w:trHeight w:val="700" w:hRule="atLeast"/>
        </w:trPr>
        <w:tc>
          <w:tcPr>
            <w:tcW w:w="481" w:type="dxa"/>
          </w:tcPr>
          <w:p>
            <w:pPr>
              <w:pStyle w:val="TableParagraph"/>
              <w:spacing w:before="1"/>
              <w:rPr>
                <w:rFonts w:ascii="黑体"/>
                <w:sz w:val="15"/>
              </w:rPr>
            </w:pPr>
          </w:p>
          <w:p>
            <w:pPr>
              <w:pStyle w:val="TableParagraph"/>
              <w:spacing w:before="1"/>
              <w:ind w:left="134"/>
              <w:rPr>
                <w:sz w:val="20"/>
              </w:rPr>
            </w:pPr>
            <w:r>
              <w:rPr>
                <w:sz w:val="20"/>
              </w:rPr>
              <w:t>86</w:t>
            </w:r>
          </w:p>
        </w:tc>
        <w:tc>
          <w:tcPr>
            <w:tcW w:w="2267" w:type="dxa"/>
          </w:tcPr>
          <w:p>
            <w:pPr>
              <w:pStyle w:val="TableParagraph"/>
              <w:spacing w:before="1"/>
              <w:rPr>
                <w:rFonts w:ascii="黑体"/>
                <w:sz w:val="15"/>
              </w:rPr>
            </w:pPr>
          </w:p>
          <w:p>
            <w:pPr>
              <w:pStyle w:val="TableParagraph"/>
              <w:spacing w:before="1"/>
              <w:ind w:left="98" w:right="99"/>
              <w:jc w:val="center"/>
              <w:rPr>
                <w:sz w:val="20"/>
              </w:rPr>
            </w:pPr>
            <w:r>
              <w:rPr>
                <w:sz w:val="20"/>
              </w:rPr>
              <w:t>稀土产业园</w:t>
            </w:r>
          </w:p>
        </w:tc>
        <w:tc>
          <w:tcPr>
            <w:tcW w:w="1116" w:type="dxa"/>
          </w:tcPr>
          <w:p>
            <w:pPr>
              <w:pStyle w:val="TableParagraph"/>
              <w:spacing w:before="1"/>
              <w:rPr>
                <w:rFonts w:ascii="黑体"/>
                <w:sz w:val="15"/>
              </w:rPr>
            </w:pPr>
          </w:p>
          <w:p>
            <w:pPr>
              <w:pStyle w:val="TableParagraph"/>
              <w:spacing w:before="1"/>
              <w:ind w:left="101"/>
              <w:rPr>
                <w:sz w:val="20"/>
              </w:rPr>
            </w:pPr>
            <w:r>
              <w:rPr>
                <w:sz w:val="20"/>
              </w:rPr>
              <w:t>2016-2018</w:t>
            </w:r>
          </w:p>
        </w:tc>
        <w:tc>
          <w:tcPr>
            <w:tcW w:w="3818" w:type="dxa"/>
          </w:tcPr>
          <w:p>
            <w:pPr>
              <w:pStyle w:val="TableParagraph"/>
              <w:spacing w:line="237" w:lineRule="auto" w:before="71"/>
              <w:ind w:left="1002" w:hanging="900"/>
              <w:rPr>
                <w:sz w:val="20"/>
              </w:rPr>
            </w:pPr>
            <w:r>
              <w:rPr>
                <w:sz w:val="20"/>
              </w:rPr>
              <w:t>20</w:t>
            </w:r>
            <w:r>
              <w:rPr>
                <w:spacing w:val="-16"/>
                <w:sz w:val="20"/>
              </w:rPr>
              <w:t> 万吨催化剂、</w:t>
            </w:r>
            <w:r>
              <w:rPr>
                <w:sz w:val="20"/>
              </w:rPr>
              <w:t>20</w:t>
            </w:r>
            <w:r>
              <w:rPr>
                <w:spacing w:val="-2"/>
                <w:sz w:val="20"/>
              </w:rPr>
              <w:t> 万吨</w:t>
            </w:r>
            <w:r>
              <w:rPr>
                <w:sz w:val="20"/>
              </w:rPr>
              <w:t>Y</w:t>
            </w:r>
            <w:r>
              <w:rPr>
                <w:spacing w:val="-14"/>
                <w:sz w:val="20"/>
              </w:rPr>
              <w:t> 型分子筛，盛和</w:t>
            </w:r>
            <w:r>
              <w:rPr>
                <w:spacing w:val="-1"/>
                <w:sz w:val="20"/>
              </w:rPr>
              <w:t>稀土研发中心试验线</w:t>
            </w:r>
          </w:p>
        </w:tc>
        <w:tc>
          <w:tcPr>
            <w:tcW w:w="977" w:type="dxa"/>
          </w:tcPr>
          <w:p>
            <w:pPr>
              <w:pStyle w:val="TableParagraph"/>
              <w:spacing w:before="1"/>
              <w:rPr>
                <w:rFonts w:ascii="黑体"/>
                <w:sz w:val="15"/>
              </w:rPr>
            </w:pPr>
          </w:p>
          <w:p>
            <w:pPr>
              <w:pStyle w:val="TableParagraph"/>
              <w:spacing w:before="1"/>
              <w:ind w:left="182"/>
              <w:rPr>
                <w:sz w:val="20"/>
              </w:rPr>
            </w:pPr>
            <w:r>
              <w:rPr>
                <w:sz w:val="20"/>
              </w:rPr>
              <w:t>500000</w:t>
            </w:r>
          </w:p>
        </w:tc>
        <w:tc>
          <w:tcPr>
            <w:tcW w:w="1080" w:type="dxa"/>
          </w:tcPr>
          <w:p>
            <w:pPr>
              <w:pStyle w:val="TableParagraph"/>
              <w:spacing w:before="1"/>
              <w:rPr>
                <w:rFonts w:ascii="黑体"/>
                <w:sz w:val="15"/>
              </w:rPr>
            </w:pPr>
          </w:p>
          <w:p>
            <w:pPr>
              <w:pStyle w:val="TableParagraph"/>
              <w:spacing w:before="1"/>
              <w:ind w:left="113" w:right="114"/>
              <w:jc w:val="center"/>
              <w:rPr>
                <w:sz w:val="20"/>
              </w:rPr>
            </w:pPr>
            <w:r>
              <w:rPr>
                <w:sz w:val="20"/>
              </w:rPr>
              <w:t>经信局</w:t>
            </w:r>
          </w:p>
        </w:tc>
      </w:tr>
      <w:tr>
        <w:trPr>
          <w:trHeight w:val="720" w:hRule="atLeast"/>
        </w:trPr>
        <w:tc>
          <w:tcPr>
            <w:tcW w:w="481" w:type="dxa"/>
          </w:tcPr>
          <w:p>
            <w:pPr>
              <w:pStyle w:val="TableParagraph"/>
              <w:spacing w:before="1"/>
              <w:rPr>
                <w:rFonts w:ascii="黑体"/>
                <w:sz w:val="15"/>
              </w:rPr>
            </w:pPr>
          </w:p>
          <w:p>
            <w:pPr>
              <w:pStyle w:val="TableParagraph"/>
              <w:spacing w:before="1"/>
              <w:ind w:left="134"/>
              <w:rPr>
                <w:sz w:val="20"/>
              </w:rPr>
            </w:pPr>
            <w:r>
              <w:rPr>
                <w:sz w:val="20"/>
              </w:rPr>
              <w:t>87</w:t>
            </w:r>
          </w:p>
        </w:tc>
        <w:tc>
          <w:tcPr>
            <w:tcW w:w="2267" w:type="dxa"/>
          </w:tcPr>
          <w:p>
            <w:pPr>
              <w:pStyle w:val="TableParagraph"/>
              <w:spacing w:before="1"/>
              <w:rPr>
                <w:rFonts w:ascii="黑体"/>
                <w:sz w:val="15"/>
              </w:rPr>
            </w:pPr>
          </w:p>
          <w:p>
            <w:pPr>
              <w:pStyle w:val="TableParagraph"/>
              <w:spacing w:before="1"/>
              <w:ind w:left="98" w:right="99"/>
              <w:jc w:val="center"/>
              <w:rPr>
                <w:sz w:val="20"/>
              </w:rPr>
            </w:pPr>
            <w:r>
              <w:rPr>
                <w:sz w:val="20"/>
              </w:rPr>
              <w:t>东汽破产衍生项目</w:t>
            </w:r>
          </w:p>
        </w:tc>
        <w:tc>
          <w:tcPr>
            <w:tcW w:w="1116" w:type="dxa"/>
          </w:tcPr>
          <w:p>
            <w:pPr>
              <w:pStyle w:val="TableParagraph"/>
              <w:spacing w:before="1"/>
              <w:rPr>
                <w:rFonts w:ascii="黑体"/>
                <w:sz w:val="15"/>
              </w:rPr>
            </w:pPr>
          </w:p>
          <w:p>
            <w:pPr>
              <w:pStyle w:val="TableParagraph"/>
              <w:spacing w:before="1"/>
              <w:ind w:left="101"/>
              <w:rPr>
                <w:sz w:val="20"/>
              </w:rPr>
            </w:pPr>
            <w:r>
              <w:rPr>
                <w:sz w:val="20"/>
              </w:rPr>
              <w:t>2017-2019</w:t>
            </w:r>
          </w:p>
        </w:tc>
        <w:tc>
          <w:tcPr>
            <w:tcW w:w="3818" w:type="dxa"/>
          </w:tcPr>
          <w:p>
            <w:pPr>
              <w:pStyle w:val="TableParagraph"/>
              <w:spacing w:before="1"/>
              <w:rPr>
                <w:rFonts w:ascii="黑体"/>
                <w:sz w:val="15"/>
              </w:rPr>
            </w:pPr>
          </w:p>
          <w:p>
            <w:pPr>
              <w:pStyle w:val="TableParagraph"/>
              <w:spacing w:before="1"/>
              <w:jc w:val="center"/>
              <w:rPr>
                <w:sz w:val="20"/>
              </w:rPr>
            </w:pPr>
            <w:r>
              <w:rPr>
                <w:sz w:val="20"/>
              </w:rPr>
              <w:t>东汽破产衍生项目</w:t>
            </w:r>
          </w:p>
        </w:tc>
        <w:tc>
          <w:tcPr>
            <w:tcW w:w="977" w:type="dxa"/>
          </w:tcPr>
          <w:p>
            <w:pPr>
              <w:pStyle w:val="TableParagraph"/>
              <w:spacing w:before="1"/>
              <w:rPr>
                <w:rFonts w:ascii="黑体"/>
                <w:sz w:val="15"/>
              </w:rPr>
            </w:pPr>
          </w:p>
          <w:p>
            <w:pPr>
              <w:pStyle w:val="TableParagraph"/>
              <w:spacing w:before="1"/>
              <w:ind w:left="283"/>
              <w:rPr>
                <w:sz w:val="20"/>
              </w:rPr>
            </w:pPr>
            <w:r>
              <w:rPr>
                <w:sz w:val="20"/>
              </w:rPr>
              <w:t>8000</w:t>
            </w:r>
          </w:p>
        </w:tc>
        <w:tc>
          <w:tcPr>
            <w:tcW w:w="1080" w:type="dxa"/>
          </w:tcPr>
          <w:p>
            <w:pPr>
              <w:pStyle w:val="TableParagraph"/>
              <w:spacing w:before="1"/>
              <w:rPr>
                <w:rFonts w:ascii="黑体"/>
                <w:sz w:val="15"/>
              </w:rPr>
            </w:pPr>
          </w:p>
          <w:p>
            <w:pPr>
              <w:pStyle w:val="TableParagraph"/>
              <w:spacing w:before="1"/>
              <w:ind w:left="113" w:right="114"/>
              <w:jc w:val="center"/>
              <w:rPr>
                <w:sz w:val="20"/>
              </w:rPr>
            </w:pPr>
            <w:r>
              <w:rPr>
                <w:sz w:val="20"/>
              </w:rPr>
              <w:t>经信局</w:t>
            </w:r>
          </w:p>
        </w:tc>
      </w:tr>
      <w:tr>
        <w:trPr>
          <w:trHeight w:val="760" w:hRule="atLeast"/>
        </w:trPr>
        <w:tc>
          <w:tcPr>
            <w:tcW w:w="481" w:type="dxa"/>
          </w:tcPr>
          <w:p>
            <w:pPr>
              <w:pStyle w:val="TableParagraph"/>
              <w:spacing w:before="4"/>
              <w:rPr>
                <w:rFonts w:ascii="黑体"/>
                <w:sz w:val="17"/>
              </w:rPr>
            </w:pPr>
          </w:p>
          <w:p>
            <w:pPr>
              <w:pStyle w:val="TableParagraph"/>
              <w:ind w:left="134"/>
              <w:rPr>
                <w:sz w:val="20"/>
              </w:rPr>
            </w:pPr>
            <w:r>
              <w:rPr>
                <w:sz w:val="20"/>
              </w:rPr>
              <w:t>88</w:t>
            </w:r>
          </w:p>
        </w:tc>
        <w:tc>
          <w:tcPr>
            <w:tcW w:w="2267" w:type="dxa"/>
          </w:tcPr>
          <w:p>
            <w:pPr>
              <w:pStyle w:val="TableParagraph"/>
              <w:spacing w:before="4"/>
              <w:rPr>
                <w:rFonts w:ascii="黑体"/>
                <w:sz w:val="17"/>
              </w:rPr>
            </w:pPr>
          </w:p>
          <w:p>
            <w:pPr>
              <w:pStyle w:val="TableParagraph"/>
              <w:ind w:left="98" w:right="99"/>
              <w:jc w:val="center"/>
              <w:rPr>
                <w:sz w:val="20"/>
              </w:rPr>
            </w:pPr>
            <w:r>
              <w:rPr>
                <w:sz w:val="20"/>
              </w:rPr>
              <w:t>金山至五通桥输气管线</w:t>
            </w:r>
          </w:p>
        </w:tc>
        <w:tc>
          <w:tcPr>
            <w:tcW w:w="1116" w:type="dxa"/>
          </w:tcPr>
          <w:p>
            <w:pPr>
              <w:pStyle w:val="TableParagraph"/>
              <w:spacing w:before="4"/>
              <w:rPr>
                <w:rFonts w:ascii="黑体"/>
                <w:sz w:val="17"/>
              </w:rPr>
            </w:pPr>
          </w:p>
          <w:p>
            <w:pPr>
              <w:pStyle w:val="TableParagraph"/>
              <w:ind w:left="101"/>
              <w:rPr>
                <w:sz w:val="20"/>
              </w:rPr>
            </w:pPr>
            <w:r>
              <w:rPr>
                <w:sz w:val="20"/>
              </w:rPr>
              <w:t>2016-2017</w:t>
            </w:r>
          </w:p>
        </w:tc>
        <w:tc>
          <w:tcPr>
            <w:tcW w:w="3818" w:type="dxa"/>
          </w:tcPr>
          <w:p>
            <w:pPr>
              <w:pStyle w:val="TableParagraph"/>
              <w:spacing w:line="228" w:lineRule="exact"/>
              <w:ind w:left="104"/>
              <w:rPr>
                <w:sz w:val="20"/>
              </w:rPr>
            </w:pPr>
            <w:r>
              <w:rPr>
                <w:spacing w:val="-11"/>
                <w:sz w:val="20"/>
              </w:rPr>
              <w:t>全长约为 </w:t>
            </w:r>
            <w:r>
              <w:rPr>
                <w:sz w:val="20"/>
              </w:rPr>
              <w:t>2.5</w:t>
            </w:r>
            <w:r>
              <w:rPr>
                <w:spacing w:val="-17"/>
                <w:sz w:val="20"/>
              </w:rPr>
              <w:t> 公里，使用 </w:t>
            </w:r>
            <w:r>
              <w:rPr>
                <w:sz w:val="20"/>
              </w:rPr>
              <w:t>273</w:t>
            </w:r>
            <w:r>
              <w:rPr>
                <w:spacing w:val="-10"/>
                <w:sz w:val="20"/>
              </w:rPr>
              <w:t> 毫米无缝钢</w:t>
            </w:r>
          </w:p>
          <w:p>
            <w:pPr>
              <w:pStyle w:val="TableParagraph"/>
              <w:spacing w:line="237" w:lineRule="auto" w:before="1"/>
              <w:ind w:left="1503" w:right="100" w:hanging="1401"/>
              <w:rPr>
                <w:sz w:val="20"/>
              </w:rPr>
            </w:pPr>
            <w:r>
              <w:rPr>
                <w:spacing w:val="-6"/>
                <w:sz w:val="20"/>
              </w:rPr>
              <w:t>管，最大输气能力为 </w:t>
            </w:r>
            <w:r>
              <w:rPr>
                <w:sz w:val="20"/>
              </w:rPr>
              <w:t>70</w:t>
            </w:r>
            <w:r>
              <w:rPr>
                <w:spacing w:val="-18"/>
                <w:sz w:val="20"/>
              </w:rPr>
              <w:t> 万方</w:t>
            </w:r>
            <w:r>
              <w:rPr>
                <w:sz w:val="20"/>
              </w:rPr>
              <w:t>/日（压力为2.5Mpa）</w:t>
            </w:r>
          </w:p>
        </w:tc>
        <w:tc>
          <w:tcPr>
            <w:tcW w:w="977" w:type="dxa"/>
          </w:tcPr>
          <w:p>
            <w:pPr>
              <w:pStyle w:val="TableParagraph"/>
              <w:spacing w:before="4"/>
              <w:rPr>
                <w:rFonts w:ascii="黑体"/>
                <w:sz w:val="17"/>
              </w:rPr>
            </w:pPr>
          </w:p>
          <w:p>
            <w:pPr>
              <w:pStyle w:val="TableParagraph"/>
              <w:ind w:left="282"/>
              <w:rPr>
                <w:sz w:val="20"/>
              </w:rPr>
            </w:pPr>
            <w:r>
              <w:rPr>
                <w:sz w:val="20"/>
              </w:rPr>
              <w:t>1400</w:t>
            </w:r>
          </w:p>
        </w:tc>
        <w:tc>
          <w:tcPr>
            <w:tcW w:w="1080" w:type="dxa"/>
          </w:tcPr>
          <w:p>
            <w:pPr>
              <w:pStyle w:val="TableParagraph"/>
              <w:spacing w:before="4"/>
              <w:rPr>
                <w:rFonts w:ascii="黑体"/>
                <w:sz w:val="17"/>
              </w:rPr>
            </w:pPr>
          </w:p>
          <w:p>
            <w:pPr>
              <w:pStyle w:val="TableParagraph"/>
              <w:ind w:left="113" w:right="114"/>
              <w:jc w:val="center"/>
              <w:rPr>
                <w:sz w:val="20"/>
              </w:rPr>
            </w:pPr>
            <w:r>
              <w:rPr>
                <w:sz w:val="20"/>
              </w:rPr>
              <w:t>经信局</w:t>
            </w:r>
          </w:p>
        </w:tc>
      </w:tr>
      <w:tr>
        <w:trPr>
          <w:trHeight w:val="720" w:hRule="atLeast"/>
        </w:trPr>
        <w:tc>
          <w:tcPr>
            <w:tcW w:w="481" w:type="dxa"/>
          </w:tcPr>
          <w:p>
            <w:pPr>
              <w:pStyle w:val="TableParagraph"/>
              <w:spacing w:before="1"/>
              <w:rPr>
                <w:rFonts w:ascii="黑体"/>
                <w:sz w:val="15"/>
              </w:rPr>
            </w:pPr>
          </w:p>
          <w:p>
            <w:pPr>
              <w:pStyle w:val="TableParagraph"/>
              <w:spacing w:before="1"/>
              <w:ind w:left="134"/>
              <w:rPr>
                <w:sz w:val="20"/>
              </w:rPr>
            </w:pPr>
            <w:r>
              <w:rPr>
                <w:sz w:val="20"/>
              </w:rPr>
              <w:t>89</w:t>
            </w:r>
          </w:p>
        </w:tc>
        <w:tc>
          <w:tcPr>
            <w:tcW w:w="2267" w:type="dxa"/>
          </w:tcPr>
          <w:p>
            <w:pPr>
              <w:pStyle w:val="TableParagraph"/>
              <w:spacing w:before="1"/>
              <w:rPr>
                <w:rFonts w:ascii="黑体"/>
                <w:sz w:val="15"/>
              </w:rPr>
            </w:pPr>
          </w:p>
          <w:p>
            <w:pPr>
              <w:pStyle w:val="TableParagraph"/>
              <w:spacing w:before="1"/>
              <w:ind w:left="99" w:right="99"/>
              <w:jc w:val="center"/>
              <w:rPr>
                <w:sz w:val="20"/>
              </w:rPr>
            </w:pPr>
            <w:r>
              <w:rPr>
                <w:sz w:val="20"/>
              </w:rPr>
              <w:t>五通桥区恒安加油站</w:t>
            </w:r>
          </w:p>
        </w:tc>
        <w:tc>
          <w:tcPr>
            <w:tcW w:w="1116" w:type="dxa"/>
          </w:tcPr>
          <w:p>
            <w:pPr>
              <w:pStyle w:val="TableParagraph"/>
              <w:spacing w:before="1"/>
              <w:rPr>
                <w:rFonts w:ascii="黑体"/>
                <w:sz w:val="15"/>
              </w:rPr>
            </w:pPr>
          </w:p>
          <w:p>
            <w:pPr>
              <w:pStyle w:val="TableParagraph"/>
              <w:spacing w:before="1"/>
              <w:ind w:left="101"/>
              <w:rPr>
                <w:sz w:val="20"/>
              </w:rPr>
            </w:pPr>
            <w:r>
              <w:rPr>
                <w:sz w:val="20"/>
              </w:rPr>
              <w:t>2015-2016</w:t>
            </w:r>
          </w:p>
        </w:tc>
        <w:tc>
          <w:tcPr>
            <w:tcW w:w="3818" w:type="dxa"/>
          </w:tcPr>
          <w:p>
            <w:pPr>
              <w:pStyle w:val="TableParagraph"/>
              <w:spacing w:before="68"/>
              <w:ind w:left="1478" w:right="85" w:hanging="1375"/>
              <w:rPr>
                <w:sz w:val="20"/>
              </w:rPr>
            </w:pPr>
            <w:r>
              <w:rPr>
                <w:spacing w:val="-18"/>
                <w:sz w:val="20"/>
              </w:rPr>
              <w:t>占地 </w:t>
            </w:r>
            <w:r>
              <w:rPr>
                <w:sz w:val="20"/>
              </w:rPr>
              <w:t>9</w:t>
            </w:r>
            <w:r>
              <w:rPr>
                <w:spacing w:val="-13"/>
                <w:sz w:val="20"/>
              </w:rPr>
              <w:t> 亩，计划总容量 </w:t>
            </w:r>
            <w:r>
              <w:rPr>
                <w:sz w:val="20"/>
              </w:rPr>
              <w:t>240</w:t>
            </w:r>
            <w:r>
              <w:rPr>
                <w:spacing w:val="-9"/>
                <w:sz w:val="20"/>
              </w:rPr>
              <w:t> 立方米，配置</w:t>
            </w:r>
            <w:r>
              <w:rPr>
                <w:spacing w:val="50"/>
                <w:sz w:val="20"/>
              </w:rPr>
              <w:t>8</w:t>
            </w:r>
            <w:r>
              <w:rPr>
                <w:spacing w:val="-25"/>
                <w:sz w:val="20"/>
              </w:rPr>
              <w:t>机 </w:t>
            </w:r>
            <w:r>
              <w:rPr>
                <w:sz w:val="20"/>
              </w:rPr>
              <w:t>16</w:t>
            </w:r>
            <w:r>
              <w:rPr>
                <w:spacing w:val="-26"/>
                <w:sz w:val="20"/>
              </w:rPr>
              <w:t> 枪</w:t>
            </w:r>
          </w:p>
        </w:tc>
        <w:tc>
          <w:tcPr>
            <w:tcW w:w="977" w:type="dxa"/>
          </w:tcPr>
          <w:p>
            <w:pPr>
              <w:pStyle w:val="TableParagraph"/>
              <w:spacing w:before="1"/>
              <w:rPr>
                <w:rFonts w:ascii="黑体"/>
                <w:sz w:val="15"/>
              </w:rPr>
            </w:pPr>
          </w:p>
          <w:p>
            <w:pPr>
              <w:pStyle w:val="TableParagraph"/>
              <w:spacing w:before="1"/>
              <w:ind w:left="282"/>
              <w:rPr>
                <w:sz w:val="20"/>
              </w:rPr>
            </w:pPr>
            <w:r>
              <w:rPr>
                <w:sz w:val="20"/>
              </w:rPr>
              <w:t>1000</w:t>
            </w:r>
          </w:p>
        </w:tc>
        <w:tc>
          <w:tcPr>
            <w:tcW w:w="1080" w:type="dxa"/>
          </w:tcPr>
          <w:p>
            <w:pPr>
              <w:pStyle w:val="TableParagraph"/>
              <w:spacing w:before="1"/>
              <w:rPr>
                <w:rFonts w:ascii="黑体"/>
                <w:sz w:val="15"/>
              </w:rPr>
            </w:pPr>
          </w:p>
          <w:p>
            <w:pPr>
              <w:pStyle w:val="TableParagraph"/>
              <w:spacing w:before="1"/>
              <w:ind w:left="113" w:right="114"/>
              <w:jc w:val="center"/>
              <w:rPr>
                <w:sz w:val="20"/>
              </w:rPr>
            </w:pPr>
            <w:r>
              <w:rPr>
                <w:sz w:val="20"/>
              </w:rPr>
              <w:t>经信局</w:t>
            </w:r>
          </w:p>
        </w:tc>
      </w:tr>
      <w:tr>
        <w:trPr>
          <w:trHeight w:val="700" w:hRule="atLeast"/>
        </w:trPr>
        <w:tc>
          <w:tcPr>
            <w:tcW w:w="481" w:type="dxa"/>
          </w:tcPr>
          <w:p>
            <w:pPr>
              <w:pStyle w:val="TableParagraph"/>
              <w:spacing w:before="1"/>
              <w:rPr>
                <w:rFonts w:ascii="黑体"/>
                <w:sz w:val="15"/>
              </w:rPr>
            </w:pPr>
          </w:p>
          <w:p>
            <w:pPr>
              <w:pStyle w:val="TableParagraph"/>
              <w:spacing w:before="1"/>
              <w:ind w:left="134"/>
              <w:rPr>
                <w:sz w:val="20"/>
              </w:rPr>
            </w:pPr>
            <w:r>
              <w:rPr>
                <w:sz w:val="20"/>
              </w:rPr>
              <w:t>90</w:t>
            </w:r>
          </w:p>
        </w:tc>
        <w:tc>
          <w:tcPr>
            <w:tcW w:w="2267" w:type="dxa"/>
          </w:tcPr>
          <w:p>
            <w:pPr>
              <w:pStyle w:val="TableParagraph"/>
              <w:spacing w:before="1"/>
              <w:rPr>
                <w:rFonts w:ascii="黑体"/>
                <w:sz w:val="15"/>
              </w:rPr>
            </w:pPr>
          </w:p>
          <w:p>
            <w:pPr>
              <w:pStyle w:val="TableParagraph"/>
              <w:spacing w:before="1"/>
              <w:ind w:left="98" w:right="99"/>
              <w:jc w:val="center"/>
              <w:rPr>
                <w:sz w:val="20"/>
              </w:rPr>
            </w:pPr>
            <w:r>
              <w:rPr>
                <w:sz w:val="20"/>
              </w:rPr>
              <w:t>五通桥区宝悦达加油站</w:t>
            </w:r>
          </w:p>
        </w:tc>
        <w:tc>
          <w:tcPr>
            <w:tcW w:w="1116" w:type="dxa"/>
          </w:tcPr>
          <w:p>
            <w:pPr>
              <w:pStyle w:val="TableParagraph"/>
              <w:spacing w:before="1"/>
              <w:rPr>
                <w:rFonts w:ascii="黑体"/>
                <w:sz w:val="15"/>
              </w:rPr>
            </w:pPr>
          </w:p>
          <w:p>
            <w:pPr>
              <w:pStyle w:val="TableParagraph"/>
              <w:spacing w:before="1"/>
              <w:ind w:left="101"/>
              <w:rPr>
                <w:sz w:val="20"/>
              </w:rPr>
            </w:pPr>
            <w:r>
              <w:rPr>
                <w:sz w:val="20"/>
              </w:rPr>
              <w:t>2015-2016</w:t>
            </w:r>
          </w:p>
        </w:tc>
        <w:tc>
          <w:tcPr>
            <w:tcW w:w="3818" w:type="dxa"/>
          </w:tcPr>
          <w:p>
            <w:pPr>
              <w:pStyle w:val="TableParagraph"/>
              <w:spacing w:line="260" w:lineRule="exact" w:before="68"/>
              <w:ind w:left="1"/>
              <w:jc w:val="center"/>
              <w:rPr>
                <w:sz w:val="20"/>
              </w:rPr>
            </w:pPr>
            <w:r>
              <w:rPr>
                <w:sz w:val="20"/>
              </w:rPr>
              <w:t>占地 5 亩，计划总容量 240 立方米，配置</w:t>
            </w:r>
          </w:p>
          <w:p>
            <w:pPr>
              <w:pStyle w:val="TableParagraph"/>
              <w:spacing w:line="260" w:lineRule="exact"/>
              <w:jc w:val="center"/>
              <w:rPr>
                <w:sz w:val="20"/>
              </w:rPr>
            </w:pPr>
            <w:r>
              <w:rPr>
                <w:sz w:val="20"/>
              </w:rPr>
              <w:t>8 机 16 枪。</w:t>
            </w:r>
          </w:p>
        </w:tc>
        <w:tc>
          <w:tcPr>
            <w:tcW w:w="977" w:type="dxa"/>
          </w:tcPr>
          <w:p>
            <w:pPr>
              <w:pStyle w:val="TableParagraph"/>
              <w:spacing w:before="1"/>
              <w:rPr>
                <w:rFonts w:ascii="黑体"/>
                <w:sz w:val="15"/>
              </w:rPr>
            </w:pPr>
          </w:p>
          <w:p>
            <w:pPr>
              <w:pStyle w:val="TableParagraph"/>
              <w:spacing w:before="1"/>
              <w:ind w:left="162" w:right="163"/>
              <w:jc w:val="center"/>
              <w:rPr>
                <w:sz w:val="20"/>
              </w:rPr>
            </w:pPr>
            <w:r>
              <w:rPr>
                <w:sz w:val="20"/>
              </w:rPr>
              <w:t>650</w:t>
            </w:r>
          </w:p>
        </w:tc>
        <w:tc>
          <w:tcPr>
            <w:tcW w:w="1080" w:type="dxa"/>
          </w:tcPr>
          <w:p>
            <w:pPr>
              <w:pStyle w:val="TableParagraph"/>
              <w:spacing w:before="1"/>
              <w:rPr>
                <w:rFonts w:ascii="黑体"/>
                <w:sz w:val="15"/>
              </w:rPr>
            </w:pPr>
          </w:p>
          <w:p>
            <w:pPr>
              <w:pStyle w:val="TableParagraph"/>
              <w:spacing w:before="1"/>
              <w:ind w:left="114" w:right="114"/>
              <w:jc w:val="center"/>
              <w:rPr>
                <w:sz w:val="20"/>
              </w:rPr>
            </w:pPr>
            <w:r>
              <w:rPr>
                <w:sz w:val="20"/>
              </w:rPr>
              <w:t>经信局</w:t>
            </w:r>
          </w:p>
        </w:tc>
      </w:tr>
      <w:tr>
        <w:trPr>
          <w:trHeight w:val="700" w:hRule="atLeast"/>
        </w:trPr>
        <w:tc>
          <w:tcPr>
            <w:tcW w:w="481" w:type="dxa"/>
          </w:tcPr>
          <w:p>
            <w:pPr>
              <w:pStyle w:val="TableParagraph"/>
              <w:spacing w:before="1"/>
              <w:rPr>
                <w:rFonts w:ascii="黑体"/>
                <w:sz w:val="15"/>
              </w:rPr>
            </w:pPr>
          </w:p>
          <w:p>
            <w:pPr>
              <w:pStyle w:val="TableParagraph"/>
              <w:spacing w:before="1"/>
              <w:ind w:left="134"/>
              <w:rPr>
                <w:sz w:val="20"/>
              </w:rPr>
            </w:pPr>
            <w:r>
              <w:rPr>
                <w:sz w:val="20"/>
              </w:rPr>
              <w:t>91</w:t>
            </w:r>
          </w:p>
        </w:tc>
        <w:tc>
          <w:tcPr>
            <w:tcW w:w="2267" w:type="dxa"/>
          </w:tcPr>
          <w:p>
            <w:pPr>
              <w:pStyle w:val="TableParagraph"/>
              <w:spacing w:line="237" w:lineRule="auto" w:before="71"/>
              <w:ind w:left="927" w:right="109" w:hanging="800"/>
              <w:rPr>
                <w:sz w:val="20"/>
              </w:rPr>
            </w:pPr>
            <w:r>
              <w:rPr>
                <w:sz w:val="20"/>
              </w:rPr>
              <w:t>中石油五通桥区杨柳加油站</w:t>
            </w:r>
          </w:p>
        </w:tc>
        <w:tc>
          <w:tcPr>
            <w:tcW w:w="1116" w:type="dxa"/>
          </w:tcPr>
          <w:p>
            <w:pPr>
              <w:pStyle w:val="TableParagraph"/>
              <w:spacing w:before="1"/>
              <w:rPr>
                <w:rFonts w:ascii="黑体"/>
                <w:sz w:val="15"/>
              </w:rPr>
            </w:pPr>
          </w:p>
          <w:p>
            <w:pPr>
              <w:pStyle w:val="TableParagraph"/>
              <w:spacing w:before="1"/>
              <w:ind w:left="103"/>
              <w:rPr>
                <w:sz w:val="20"/>
              </w:rPr>
            </w:pPr>
            <w:r>
              <w:rPr>
                <w:sz w:val="20"/>
              </w:rPr>
              <w:t>2015-2016</w:t>
            </w:r>
          </w:p>
        </w:tc>
        <w:tc>
          <w:tcPr>
            <w:tcW w:w="3818" w:type="dxa"/>
          </w:tcPr>
          <w:p>
            <w:pPr>
              <w:pStyle w:val="TableParagraph"/>
              <w:spacing w:line="260" w:lineRule="exact" w:before="68"/>
              <w:ind w:left="1"/>
              <w:jc w:val="center"/>
              <w:rPr>
                <w:sz w:val="20"/>
              </w:rPr>
            </w:pPr>
            <w:r>
              <w:rPr>
                <w:sz w:val="20"/>
              </w:rPr>
              <w:t>占地 5 亩，计划总容量 120 立方米，配置</w:t>
            </w:r>
          </w:p>
          <w:p>
            <w:pPr>
              <w:pStyle w:val="TableParagraph"/>
              <w:spacing w:line="260" w:lineRule="exact"/>
              <w:ind w:right="1"/>
              <w:jc w:val="center"/>
              <w:rPr>
                <w:sz w:val="20"/>
              </w:rPr>
            </w:pPr>
            <w:r>
              <w:rPr>
                <w:sz w:val="20"/>
              </w:rPr>
              <w:t>4 机 8 枪。</w:t>
            </w:r>
          </w:p>
        </w:tc>
        <w:tc>
          <w:tcPr>
            <w:tcW w:w="977" w:type="dxa"/>
          </w:tcPr>
          <w:p>
            <w:pPr>
              <w:pStyle w:val="TableParagraph"/>
              <w:spacing w:before="1"/>
              <w:rPr>
                <w:rFonts w:ascii="黑体"/>
                <w:sz w:val="15"/>
              </w:rPr>
            </w:pPr>
          </w:p>
          <w:p>
            <w:pPr>
              <w:pStyle w:val="TableParagraph"/>
              <w:spacing w:before="1"/>
              <w:ind w:left="162" w:right="163"/>
              <w:jc w:val="center"/>
              <w:rPr>
                <w:sz w:val="20"/>
              </w:rPr>
            </w:pPr>
            <w:r>
              <w:rPr>
                <w:sz w:val="20"/>
              </w:rPr>
              <w:t>650</w:t>
            </w:r>
          </w:p>
        </w:tc>
        <w:tc>
          <w:tcPr>
            <w:tcW w:w="1080" w:type="dxa"/>
          </w:tcPr>
          <w:p>
            <w:pPr>
              <w:pStyle w:val="TableParagraph"/>
              <w:spacing w:before="1"/>
              <w:rPr>
                <w:rFonts w:ascii="黑体"/>
                <w:sz w:val="15"/>
              </w:rPr>
            </w:pPr>
          </w:p>
          <w:p>
            <w:pPr>
              <w:pStyle w:val="TableParagraph"/>
              <w:spacing w:before="1"/>
              <w:ind w:left="114" w:right="114"/>
              <w:jc w:val="center"/>
              <w:rPr>
                <w:sz w:val="20"/>
              </w:rPr>
            </w:pPr>
            <w:r>
              <w:rPr>
                <w:sz w:val="20"/>
              </w:rPr>
              <w:t>经信局</w:t>
            </w:r>
          </w:p>
        </w:tc>
      </w:tr>
      <w:tr>
        <w:trPr>
          <w:trHeight w:val="720" w:hRule="atLeast"/>
        </w:trPr>
        <w:tc>
          <w:tcPr>
            <w:tcW w:w="481" w:type="dxa"/>
          </w:tcPr>
          <w:p>
            <w:pPr>
              <w:pStyle w:val="TableParagraph"/>
              <w:spacing w:before="1"/>
              <w:rPr>
                <w:rFonts w:ascii="黑体"/>
                <w:sz w:val="15"/>
              </w:rPr>
            </w:pPr>
          </w:p>
          <w:p>
            <w:pPr>
              <w:pStyle w:val="TableParagraph"/>
              <w:spacing w:before="1"/>
              <w:ind w:left="134"/>
              <w:rPr>
                <w:sz w:val="20"/>
              </w:rPr>
            </w:pPr>
            <w:r>
              <w:rPr>
                <w:sz w:val="20"/>
              </w:rPr>
              <w:t>92</w:t>
            </w:r>
          </w:p>
        </w:tc>
        <w:tc>
          <w:tcPr>
            <w:tcW w:w="2267" w:type="dxa"/>
          </w:tcPr>
          <w:p>
            <w:pPr>
              <w:pStyle w:val="TableParagraph"/>
              <w:spacing w:before="68"/>
              <w:ind w:left="927" w:right="109" w:hanging="800"/>
              <w:rPr>
                <w:sz w:val="20"/>
              </w:rPr>
            </w:pPr>
            <w:r>
              <w:rPr>
                <w:sz w:val="20"/>
              </w:rPr>
              <w:t>中石油五通桥区进港加油站</w:t>
            </w:r>
          </w:p>
        </w:tc>
        <w:tc>
          <w:tcPr>
            <w:tcW w:w="1116" w:type="dxa"/>
          </w:tcPr>
          <w:p>
            <w:pPr>
              <w:pStyle w:val="TableParagraph"/>
              <w:spacing w:before="1"/>
              <w:rPr>
                <w:rFonts w:ascii="黑体"/>
                <w:sz w:val="15"/>
              </w:rPr>
            </w:pPr>
          </w:p>
          <w:p>
            <w:pPr>
              <w:pStyle w:val="TableParagraph"/>
              <w:spacing w:before="1"/>
              <w:ind w:left="103"/>
              <w:rPr>
                <w:sz w:val="20"/>
              </w:rPr>
            </w:pPr>
            <w:r>
              <w:rPr>
                <w:sz w:val="20"/>
              </w:rPr>
              <w:t>2015-2016</w:t>
            </w:r>
          </w:p>
        </w:tc>
        <w:tc>
          <w:tcPr>
            <w:tcW w:w="3818" w:type="dxa"/>
          </w:tcPr>
          <w:p>
            <w:pPr>
              <w:pStyle w:val="TableParagraph"/>
              <w:spacing w:line="261" w:lineRule="exact" w:before="68"/>
              <w:jc w:val="center"/>
              <w:rPr>
                <w:sz w:val="20"/>
              </w:rPr>
            </w:pPr>
            <w:r>
              <w:rPr>
                <w:spacing w:val="-18"/>
                <w:sz w:val="20"/>
              </w:rPr>
              <w:t>占地 </w:t>
            </w:r>
            <w:r>
              <w:rPr>
                <w:sz w:val="20"/>
              </w:rPr>
              <w:t>20</w:t>
            </w:r>
            <w:r>
              <w:rPr>
                <w:spacing w:val="-19"/>
                <w:sz w:val="20"/>
              </w:rPr>
              <w:t> 亩，计划总容量 </w:t>
            </w:r>
            <w:r>
              <w:rPr>
                <w:sz w:val="20"/>
              </w:rPr>
              <w:t>120</w:t>
            </w:r>
            <w:r>
              <w:rPr>
                <w:spacing w:val="-17"/>
                <w:sz w:val="20"/>
              </w:rPr>
              <w:t> 立方米，配置</w:t>
            </w:r>
          </w:p>
          <w:p>
            <w:pPr>
              <w:pStyle w:val="TableParagraph"/>
              <w:spacing w:line="261" w:lineRule="exact"/>
              <w:ind w:right="1"/>
              <w:jc w:val="center"/>
              <w:rPr>
                <w:sz w:val="20"/>
              </w:rPr>
            </w:pPr>
            <w:r>
              <w:rPr>
                <w:sz w:val="20"/>
              </w:rPr>
              <w:t>4 机 8 枪。</w:t>
            </w:r>
          </w:p>
        </w:tc>
        <w:tc>
          <w:tcPr>
            <w:tcW w:w="977" w:type="dxa"/>
          </w:tcPr>
          <w:p>
            <w:pPr>
              <w:pStyle w:val="TableParagraph"/>
              <w:spacing w:before="1"/>
              <w:rPr>
                <w:rFonts w:ascii="黑体"/>
                <w:sz w:val="15"/>
              </w:rPr>
            </w:pPr>
          </w:p>
          <w:p>
            <w:pPr>
              <w:pStyle w:val="TableParagraph"/>
              <w:spacing w:before="1"/>
              <w:ind w:left="283"/>
              <w:rPr>
                <w:sz w:val="20"/>
              </w:rPr>
            </w:pPr>
            <w:r>
              <w:rPr>
                <w:sz w:val="20"/>
              </w:rPr>
              <w:t>1000</w:t>
            </w:r>
          </w:p>
        </w:tc>
        <w:tc>
          <w:tcPr>
            <w:tcW w:w="1080" w:type="dxa"/>
          </w:tcPr>
          <w:p>
            <w:pPr>
              <w:pStyle w:val="TableParagraph"/>
              <w:spacing w:before="1"/>
              <w:rPr>
                <w:rFonts w:ascii="黑体"/>
                <w:sz w:val="15"/>
              </w:rPr>
            </w:pPr>
          </w:p>
          <w:p>
            <w:pPr>
              <w:pStyle w:val="TableParagraph"/>
              <w:spacing w:before="1"/>
              <w:ind w:left="113" w:right="114"/>
              <w:jc w:val="center"/>
              <w:rPr>
                <w:sz w:val="20"/>
              </w:rPr>
            </w:pPr>
            <w:r>
              <w:rPr>
                <w:sz w:val="20"/>
              </w:rPr>
              <w:t>经信局</w:t>
            </w:r>
          </w:p>
        </w:tc>
      </w:tr>
      <w:tr>
        <w:trPr>
          <w:trHeight w:val="700" w:hRule="atLeast"/>
        </w:trPr>
        <w:tc>
          <w:tcPr>
            <w:tcW w:w="481" w:type="dxa"/>
          </w:tcPr>
          <w:p>
            <w:pPr>
              <w:pStyle w:val="TableParagraph"/>
              <w:spacing w:before="1"/>
              <w:rPr>
                <w:rFonts w:ascii="黑体"/>
                <w:sz w:val="15"/>
              </w:rPr>
            </w:pPr>
          </w:p>
          <w:p>
            <w:pPr>
              <w:pStyle w:val="TableParagraph"/>
              <w:spacing w:before="1"/>
              <w:ind w:left="134"/>
              <w:rPr>
                <w:sz w:val="20"/>
              </w:rPr>
            </w:pPr>
            <w:r>
              <w:rPr>
                <w:sz w:val="20"/>
              </w:rPr>
              <w:t>93</w:t>
            </w:r>
          </w:p>
        </w:tc>
        <w:tc>
          <w:tcPr>
            <w:tcW w:w="2267" w:type="dxa"/>
          </w:tcPr>
          <w:p>
            <w:pPr>
              <w:pStyle w:val="TableParagraph"/>
              <w:spacing w:before="1"/>
              <w:rPr>
                <w:rFonts w:ascii="黑体"/>
                <w:sz w:val="15"/>
              </w:rPr>
            </w:pPr>
          </w:p>
          <w:p>
            <w:pPr>
              <w:pStyle w:val="TableParagraph"/>
              <w:spacing w:before="1"/>
              <w:ind w:left="98" w:right="99"/>
              <w:jc w:val="center"/>
              <w:rPr>
                <w:sz w:val="20"/>
              </w:rPr>
            </w:pPr>
            <w:r>
              <w:rPr>
                <w:sz w:val="20"/>
              </w:rPr>
              <w:t>中石化临港加油站</w:t>
            </w:r>
          </w:p>
        </w:tc>
        <w:tc>
          <w:tcPr>
            <w:tcW w:w="1116" w:type="dxa"/>
          </w:tcPr>
          <w:p>
            <w:pPr>
              <w:pStyle w:val="TableParagraph"/>
              <w:spacing w:before="1"/>
              <w:rPr>
                <w:rFonts w:ascii="黑体"/>
                <w:sz w:val="15"/>
              </w:rPr>
            </w:pPr>
          </w:p>
          <w:p>
            <w:pPr>
              <w:pStyle w:val="TableParagraph"/>
              <w:spacing w:before="1"/>
              <w:ind w:left="101"/>
              <w:rPr>
                <w:sz w:val="20"/>
              </w:rPr>
            </w:pPr>
            <w:r>
              <w:rPr>
                <w:sz w:val="20"/>
              </w:rPr>
              <w:t>2015-2016</w:t>
            </w:r>
          </w:p>
        </w:tc>
        <w:tc>
          <w:tcPr>
            <w:tcW w:w="3818" w:type="dxa"/>
          </w:tcPr>
          <w:p>
            <w:pPr>
              <w:pStyle w:val="TableParagraph"/>
              <w:spacing w:line="237" w:lineRule="auto" w:before="71"/>
              <w:ind w:left="1253" w:hanging="1150"/>
              <w:rPr>
                <w:sz w:val="20"/>
              </w:rPr>
            </w:pPr>
            <w:r>
              <w:rPr>
                <w:spacing w:val="-18"/>
                <w:sz w:val="20"/>
              </w:rPr>
              <w:t>占地 </w:t>
            </w:r>
            <w:r>
              <w:rPr>
                <w:sz w:val="20"/>
              </w:rPr>
              <w:t>4.5</w:t>
            </w:r>
            <w:r>
              <w:rPr>
                <w:spacing w:val="-14"/>
                <w:sz w:val="20"/>
              </w:rPr>
              <w:t> 亩，计划总容量 </w:t>
            </w:r>
            <w:r>
              <w:rPr>
                <w:sz w:val="20"/>
              </w:rPr>
              <w:t>240</w:t>
            </w:r>
            <w:r>
              <w:rPr>
                <w:spacing w:val="-10"/>
                <w:sz w:val="20"/>
              </w:rPr>
              <w:t> 立方米，配</w:t>
            </w:r>
            <w:r>
              <w:rPr>
                <w:spacing w:val="47"/>
                <w:sz w:val="20"/>
              </w:rPr>
              <w:t>置</w:t>
            </w:r>
            <w:r>
              <w:rPr>
                <w:sz w:val="20"/>
              </w:rPr>
              <w:t>6</w:t>
            </w:r>
            <w:r>
              <w:rPr>
                <w:spacing w:val="-34"/>
                <w:sz w:val="20"/>
              </w:rPr>
              <w:t> 机 </w:t>
            </w:r>
            <w:r>
              <w:rPr>
                <w:sz w:val="20"/>
              </w:rPr>
              <w:t>12</w:t>
            </w:r>
            <w:r>
              <w:rPr>
                <w:spacing w:val="-17"/>
                <w:sz w:val="20"/>
              </w:rPr>
              <w:t> 枪。</w:t>
            </w:r>
          </w:p>
        </w:tc>
        <w:tc>
          <w:tcPr>
            <w:tcW w:w="977" w:type="dxa"/>
          </w:tcPr>
          <w:p>
            <w:pPr>
              <w:pStyle w:val="TableParagraph"/>
              <w:spacing w:before="1"/>
              <w:rPr>
                <w:rFonts w:ascii="黑体"/>
                <w:sz w:val="15"/>
              </w:rPr>
            </w:pPr>
          </w:p>
          <w:p>
            <w:pPr>
              <w:pStyle w:val="TableParagraph"/>
              <w:spacing w:before="1"/>
              <w:ind w:left="282"/>
              <w:rPr>
                <w:sz w:val="20"/>
              </w:rPr>
            </w:pPr>
            <w:r>
              <w:rPr>
                <w:sz w:val="20"/>
              </w:rPr>
              <w:t>1000</w:t>
            </w:r>
          </w:p>
        </w:tc>
        <w:tc>
          <w:tcPr>
            <w:tcW w:w="1080" w:type="dxa"/>
          </w:tcPr>
          <w:p>
            <w:pPr>
              <w:pStyle w:val="TableParagraph"/>
              <w:spacing w:before="1"/>
              <w:rPr>
                <w:rFonts w:ascii="黑体"/>
                <w:sz w:val="15"/>
              </w:rPr>
            </w:pPr>
          </w:p>
          <w:p>
            <w:pPr>
              <w:pStyle w:val="TableParagraph"/>
              <w:spacing w:before="1"/>
              <w:ind w:left="113" w:right="114"/>
              <w:jc w:val="center"/>
              <w:rPr>
                <w:sz w:val="20"/>
              </w:rPr>
            </w:pPr>
            <w:r>
              <w:rPr>
                <w:sz w:val="20"/>
              </w:rPr>
              <w:t>经信局</w:t>
            </w:r>
          </w:p>
        </w:tc>
      </w:tr>
      <w:tr>
        <w:trPr>
          <w:trHeight w:val="700" w:hRule="atLeast"/>
        </w:trPr>
        <w:tc>
          <w:tcPr>
            <w:tcW w:w="481" w:type="dxa"/>
          </w:tcPr>
          <w:p>
            <w:pPr>
              <w:pStyle w:val="TableParagraph"/>
              <w:spacing w:before="1"/>
              <w:rPr>
                <w:rFonts w:ascii="黑体"/>
                <w:sz w:val="15"/>
              </w:rPr>
            </w:pPr>
          </w:p>
          <w:p>
            <w:pPr>
              <w:pStyle w:val="TableParagraph"/>
              <w:spacing w:before="1"/>
              <w:ind w:left="134"/>
              <w:rPr>
                <w:sz w:val="20"/>
              </w:rPr>
            </w:pPr>
            <w:r>
              <w:rPr>
                <w:sz w:val="20"/>
              </w:rPr>
              <w:t>94</w:t>
            </w:r>
          </w:p>
        </w:tc>
        <w:tc>
          <w:tcPr>
            <w:tcW w:w="2267" w:type="dxa"/>
          </w:tcPr>
          <w:p>
            <w:pPr>
              <w:pStyle w:val="TableParagraph"/>
              <w:spacing w:before="1"/>
              <w:rPr>
                <w:rFonts w:ascii="黑体"/>
                <w:sz w:val="15"/>
              </w:rPr>
            </w:pPr>
          </w:p>
          <w:p>
            <w:pPr>
              <w:pStyle w:val="TableParagraph"/>
              <w:spacing w:before="1"/>
              <w:ind w:left="98" w:right="99"/>
              <w:jc w:val="center"/>
              <w:rPr>
                <w:sz w:val="20"/>
              </w:rPr>
            </w:pPr>
            <w:r>
              <w:rPr>
                <w:sz w:val="20"/>
              </w:rPr>
              <w:t>五通桥西贝加油站</w:t>
            </w:r>
          </w:p>
        </w:tc>
        <w:tc>
          <w:tcPr>
            <w:tcW w:w="1116" w:type="dxa"/>
          </w:tcPr>
          <w:p>
            <w:pPr>
              <w:pStyle w:val="TableParagraph"/>
              <w:spacing w:before="1"/>
              <w:rPr>
                <w:rFonts w:ascii="黑体"/>
                <w:sz w:val="15"/>
              </w:rPr>
            </w:pPr>
          </w:p>
          <w:p>
            <w:pPr>
              <w:pStyle w:val="TableParagraph"/>
              <w:spacing w:before="1"/>
              <w:ind w:left="101"/>
              <w:rPr>
                <w:sz w:val="20"/>
              </w:rPr>
            </w:pPr>
            <w:r>
              <w:rPr>
                <w:sz w:val="20"/>
              </w:rPr>
              <w:t>2015-2016</w:t>
            </w:r>
          </w:p>
        </w:tc>
        <w:tc>
          <w:tcPr>
            <w:tcW w:w="3818" w:type="dxa"/>
          </w:tcPr>
          <w:p>
            <w:pPr>
              <w:pStyle w:val="TableParagraph"/>
              <w:spacing w:line="260" w:lineRule="exact" w:before="68"/>
              <w:ind w:left="1"/>
              <w:jc w:val="center"/>
              <w:rPr>
                <w:sz w:val="20"/>
              </w:rPr>
            </w:pPr>
            <w:r>
              <w:rPr>
                <w:sz w:val="20"/>
              </w:rPr>
              <w:t>占地 6 亩，计划总容量 120 立方米，配置</w:t>
            </w:r>
          </w:p>
          <w:p>
            <w:pPr>
              <w:pStyle w:val="TableParagraph"/>
              <w:spacing w:line="260" w:lineRule="exact"/>
              <w:jc w:val="center"/>
              <w:rPr>
                <w:sz w:val="20"/>
              </w:rPr>
            </w:pPr>
            <w:r>
              <w:rPr>
                <w:sz w:val="20"/>
              </w:rPr>
              <w:t>6 机 12 枪。</w:t>
            </w:r>
          </w:p>
        </w:tc>
        <w:tc>
          <w:tcPr>
            <w:tcW w:w="977" w:type="dxa"/>
          </w:tcPr>
          <w:p>
            <w:pPr>
              <w:pStyle w:val="TableParagraph"/>
              <w:spacing w:before="1"/>
              <w:rPr>
                <w:rFonts w:ascii="黑体"/>
                <w:sz w:val="15"/>
              </w:rPr>
            </w:pPr>
          </w:p>
          <w:p>
            <w:pPr>
              <w:pStyle w:val="TableParagraph"/>
              <w:spacing w:before="1"/>
              <w:ind w:left="162" w:right="163"/>
              <w:jc w:val="center"/>
              <w:rPr>
                <w:sz w:val="20"/>
              </w:rPr>
            </w:pPr>
            <w:r>
              <w:rPr>
                <w:sz w:val="20"/>
              </w:rPr>
              <w:t>800</w:t>
            </w:r>
          </w:p>
        </w:tc>
        <w:tc>
          <w:tcPr>
            <w:tcW w:w="1080" w:type="dxa"/>
          </w:tcPr>
          <w:p>
            <w:pPr>
              <w:pStyle w:val="TableParagraph"/>
              <w:spacing w:before="1"/>
              <w:rPr>
                <w:rFonts w:ascii="黑体"/>
                <w:sz w:val="15"/>
              </w:rPr>
            </w:pPr>
          </w:p>
          <w:p>
            <w:pPr>
              <w:pStyle w:val="TableParagraph"/>
              <w:spacing w:before="1"/>
              <w:ind w:left="114" w:right="114"/>
              <w:jc w:val="center"/>
              <w:rPr>
                <w:sz w:val="20"/>
              </w:rPr>
            </w:pPr>
            <w:r>
              <w:rPr>
                <w:sz w:val="20"/>
              </w:rPr>
              <w:t>经信局</w:t>
            </w:r>
          </w:p>
        </w:tc>
      </w:tr>
      <w:tr>
        <w:trPr>
          <w:trHeight w:val="480" w:hRule="atLeast"/>
        </w:trPr>
        <w:tc>
          <w:tcPr>
            <w:tcW w:w="481" w:type="dxa"/>
          </w:tcPr>
          <w:p>
            <w:pPr>
              <w:pStyle w:val="TableParagraph"/>
              <w:rPr>
                <w:rFonts w:ascii="Times New Roman"/>
                <w:sz w:val="20"/>
              </w:rPr>
            </w:pPr>
          </w:p>
        </w:tc>
        <w:tc>
          <w:tcPr>
            <w:tcW w:w="2267" w:type="dxa"/>
          </w:tcPr>
          <w:p>
            <w:pPr>
              <w:pStyle w:val="TableParagraph"/>
              <w:spacing w:before="78"/>
              <w:ind w:left="98" w:right="99"/>
              <w:jc w:val="center"/>
              <w:rPr>
                <w:sz w:val="20"/>
              </w:rPr>
            </w:pPr>
            <w:r>
              <w:rPr>
                <w:sz w:val="20"/>
              </w:rPr>
              <w:t>小计</w:t>
            </w:r>
          </w:p>
        </w:tc>
        <w:tc>
          <w:tcPr>
            <w:tcW w:w="1116" w:type="dxa"/>
          </w:tcPr>
          <w:p>
            <w:pPr>
              <w:pStyle w:val="TableParagraph"/>
              <w:rPr>
                <w:rFonts w:ascii="Times New Roman"/>
                <w:sz w:val="20"/>
              </w:rPr>
            </w:pPr>
          </w:p>
        </w:tc>
        <w:tc>
          <w:tcPr>
            <w:tcW w:w="3818" w:type="dxa"/>
          </w:tcPr>
          <w:p>
            <w:pPr>
              <w:pStyle w:val="TableParagraph"/>
              <w:rPr>
                <w:rFonts w:ascii="Times New Roman"/>
                <w:sz w:val="20"/>
              </w:rPr>
            </w:pPr>
          </w:p>
        </w:tc>
        <w:tc>
          <w:tcPr>
            <w:tcW w:w="977" w:type="dxa"/>
          </w:tcPr>
          <w:p>
            <w:pPr>
              <w:pStyle w:val="TableParagraph"/>
              <w:spacing w:before="78"/>
              <w:ind w:left="133"/>
              <w:rPr>
                <w:sz w:val="20"/>
              </w:rPr>
            </w:pPr>
            <w:r>
              <w:rPr>
                <w:sz w:val="20"/>
              </w:rPr>
              <w:t>3234835</w:t>
            </w:r>
          </w:p>
        </w:tc>
        <w:tc>
          <w:tcPr>
            <w:tcW w:w="1080" w:type="dxa"/>
          </w:tcPr>
          <w:p>
            <w:pPr>
              <w:pStyle w:val="TableParagraph"/>
              <w:rPr>
                <w:rFonts w:ascii="Times New Roman"/>
                <w:sz w:val="20"/>
              </w:rPr>
            </w:pPr>
          </w:p>
        </w:tc>
      </w:tr>
    </w:tbl>
    <w:p>
      <w:pPr>
        <w:spacing w:after="0"/>
        <w:rPr>
          <w:rFonts w:ascii="Times New Roman"/>
          <w:sz w:val="20"/>
        </w:rPr>
        <w:sectPr>
          <w:pgSz w:w="11910" w:h="16840"/>
          <w:pgMar w:header="0" w:footer="938" w:top="1440" w:bottom="1120" w:left="960" w:right="960"/>
        </w:sectPr>
      </w:pPr>
    </w:p>
    <w:p>
      <w:pPr>
        <w:pStyle w:val="BodyText"/>
        <w:tabs>
          <w:tab w:pos="3152" w:val="left" w:leader="none"/>
        </w:tabs>
        <w:spacing w:line="408" w:lineRule="exact"/>
        <w:ind w:left="1872"/>
        <w:rPr>
          <w:rFonts w:ascii="黑体" w:hAnsi="黑体" w:eastAsia="黑体" w:hint="eastAsia"/>
        </w:rPr>
      </w:pPr>
      <w:r>
        <w:rPr>
          <w:rFonts w:ascii="黑体" w:hAnsi="黑体" w:eastAsia="黑体" w:hint="eastAsia"/>
        </w:rPr>
        <w:t>附表二</w:t>
        <w:tab/>
      </w:r>
      <w:r>
        <w:rPr>
          <w:rFonts w:ascii="黑体" w:hAnsi="黑体" w:eastAsia="黑体" w:hint="eastAsia"/>
          <w:spacing w:val="-1"/>
        </w:rPr>
        <w:t>五通桥区“十三五”农业项目规划表</w:t>
      </w:r>
    </w:p>
    <w:p>
      <w:pPr>
        <w:pStyle w:val="BodyText"/>
        <w:spacing w:before="7"/>
        <w:ind w:left="0"/>
        <w:rPr>
          <w:rFonts w:ascii="黑体"/>
          <w:sz w:val="8"/>
        </w:rPr>
      </w:pPr>
    </w:p>
    <w:tbl>
      <w:tblPr>
        <w:tblW w:w="0" w:type="auto"/>
        <w:jc w:val="left"/>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44"/>
        <w:gridCol w:w="2160"/>
        <w:gridCol w:w="1260"/>
        <w:gridCol w:w="3768"/>
        <w:gridCol w:w="1116"/>
        <w:gridCol w:w="1087"/>
      </w:tblGrid>
      <w:tr>
        <w:trPr>
          <w:trHeight w:val="560" w:hRule="atLeast"/>
        </w:trPr>
        <w:tc>
          <w:tcPr>
            <w:tcW w:w="544" w:type="dxa"/>
          </w:tcPr>
          <w:p>
            <w:pPr>
              <w:pStyle w:val="TableParagraph"/>
              <w:rPr>
                <w:rFonts w:ascii="Times New Roman"/>
                <w:sz w:val="20"/>
              </w:rPr>
            </w:pPr>
          </w:p>
        </w:tc>
        <w:tc>
          <w:tcPr>
            <w:tcW w:w="2160" w:type="dxa"/>
          </w:tcPr>
          <w:p>
            <w:pPr>
              <w:pStyle w:val="TableParagraph"/>
              <w:spacing w:before="127"/>
              <w:ind w:left="43" w:right="43"/>
              <w:jc w:val="center"/>
              <w:rPr>
                <w:sz w:val="20"/>
              </w:rPr>
            </w:pPr>
            <w:r>
              <w:rPr>
                <w:sz w:val="20"/>
              </w:rPr>
              <w:t>项目名称</w:t>
            </w:r>
          </w:p>
        </w:tc>
        <w:tc>
          <w:tcPr>
            <w:tcW w:w="1260" w:type="dxa"/>
          </w:tcPr>
          <w:p>
            <w:pPr>
              <w:pStyle w:val="TableParagraph"/>
              <w:spacing w:before="127"/>
              <w:ind w:left="154" w:right="154"/>
              <w:jc w:val="center"/>
              <w:rPr>
                <w:sz w:val="20"/>
              </w:rPr>
            </w:pPr>
            <w:r>
              <w:rPr>
                <w:sz w:val="20"/>
              </w:rPr>
              <w:t>建设年限</w:t>
            </w:r>
          </w:p>
        </w:tc>
        <w:tc>
          <w:tcPr>
            <w:tcW w:w="3768" w:type="dxa"/>
          </w:tcPr>
          <w:p>
            <w:pPr>
              <w:pStyle w:val="TableParagraph"/>
              <w:spacing w:before="127"/>
              <w:ind w:left="58" w:right="58"/>
              <w:jc w:val="center"/>
              <w:rPr>
                <w:sz w:val="20"/>
              </w:rPr>
            </w:pPr>
            <w:r>
              <w:rPr>
                <w:sz w:val="20"/>
              </w:rPr>
              <w:t>建设规模</w:t>
            </w:r>
          </w:p>
        </w:tc>
        <w:tc>
          <w:tcPr>
            <w:tcW w:w="1116" w:type="dxa"/>
          </w:tcPr>
          <w:p>
            <w:pPr>
              <w:pStyle w:val="TableParagraph"/>
              <w:spacing w:line="258" w:lineRule="exact"/>
              <w:ind w:left="251"/>
              <w:rPr>
                <w:sz w:val="20"/>
              </w:rPr>
            </w:pPr>
            <w:r>
              <w:rPr>
                <w:sz w:val="20"/>
              </w:rPr>
              <w:t>总投资</w:t>
            </w:r>
          </w:p>
          <w:p>
            <w:pPr>
              <w:pStyle w:val="TableParagraph"/>
              <w:spacing w:line="260" w:lineRule="exact"/>
              <w:ind w:left="152"/>
              <w:rPr>
                <w:sz w:val="20"/>
              </w:rPr>
            </w:pPr>
            <w:r>
              <w:rPr>
                <w:sz w:val="20"/>
              </w:rPr>
              <w:t>（万元）</w:t>
            </w:r>
          </w:p>
        </w:tc>
        <w:tc>
          <w:tcPr>
            <w:tcW w:w="1087" w:type="dxa"/>
          </w:tcPr>
          <w:p>
            <w:pPr>
              <w:pStyle w:val="TableParagraph"/>
              <w:spacing w:before="127"/>
              <w:ind w:left="117" w:right="117"/>
              <w:jc w:val="center"/>
              <w:rPr>
                <w:sz w:val="20"/>
              </w:rPr>
            </w:pPr>
            <w:r>
              <w:rPr>
                <w:sz w:val="20"/>
              </w:rPr>
              <w:t>责任单位</w:t>
            </w:r>
          </w:p>
        </w:tc>
      </w:tr>
      <w:tr>
        <w:trPr>
          <w:trHeight w:val="1260" w:hRule="atLeast"/>
        </w:trPr>
        <w:tc>
          <w:tcPr>
            <w:tcW w:w="544" w:type="dxa"/>
          </w:tcPr>
          <w:p>
            <w:pPr>
              <w:pStyle w:val="TableParagraph"/>
              <w:rPr>
                <w:rFonts w:ascii="黑体"/>
                <w:sz w:val="20"/>
              </w:rPr>
            </w:pPr>
          </w:p>
          <w:p>
            <w:pPr>
              <w:pStyle w:val="TableParagraph"/>
              <w:spacing w:before="12"/>
              <w:rPr>
                <w:rFonts w:ascii="黑体"/>
                <w:sz w:val="15"/>
              </w:rPr>
            </w:pPr>
          </w:p>
          <w:p>
            <w:pPr>
              <w:pStyle w:val="TableParagraph"/>
              <w:ind w:right="215"/>
              <w:jc w:val="right"/>
              <w:rPr>
                <w:sz w:val="20"/>
              </w:rPr>
            </w:pPr>
            <w:r>
              <w:rPr>
                <w:w w:val="100"/>
                <w:sz w:val="20"/>
              </w:rPr>
              <w:t>1</w:t>
            </w:r>
          </w:p>
        </w:tc>
        <w:tc>
          <w:tcPr>
            <w:tcW w:w="2160" w:type="dxa"/>
          </w:tcPr>
          <w:p>
            <w:pPr>
              <w:pStyle w:val="TableParagraph"/>
              <w:spacing w:before="3"/>
              <w:rPr>
                <w:rFonts w:ascii="黑体"/>
                <w:sz w:val="26"/>
              </w:rPr>
            </w:pPr>
          </w:p>
          <w:p>
            <w:pPr>
              <w:pStyle w:val="TableParagraph"/>
              <w:spacing w:line="237" w:lineRule="auto"/>
              <w:ind w:left="974" w:right="156" w:hanging="800"/>
              <w:rPr>
                <w:sz w:val="20"/>
              </w:rPr>
            </w:pPr>
            <w:r>
              <w:rPr>
                <w:sz w:val="20"/>
              </w:rPr>
              <w:t>幸福美丽新村建设项目</w:t>
            </w:r>
          </w:p>
        </w:tc>
        <w:tc>
          <w:tcPr>
            <w:tcW w:w="1260" w:type="dxa"/>
          </w:tcPr>
          <w:p>
            <w:pPr>
              <w:pStyle w:val="TableParagraph"/>
              <w:rPr>
                <w:rFonts w:ascii="黑体"/>
                <w:sz w:val="20"/>
              </w:rPr>
            </w:pPr>
          </w:p>
          <w:p>
            <w:pPr>
              <w:pStyle w:val="TableParagraph"/>
              <w:spacing w:before="12"/>
              <w:rPr>
                <w:rFonts w:ascii="黑体"/>
                <w:sz w:val="15"/>
              </w:rPr>
            </w:pPr>
          </w:p>
          <w:p>
            <w:pPr>
              <w:pStyle w:val="TableParagraph"/>
              <w:ind w:left="154" w:right="154"/>
              <w:jc w:val="center"/>
              <w:rPr>
                <w:sz w:val="20"/>
              </w:rPr>
            </w:pPr>
            <w:r>
              <w:rPr>
                <w:sz w:val="20"/>
              </w:rPr>
              <w:t>2014-2020</w:t>
            </w:r>
          </w:p>
        </w:tc>
        <w:tc>
          <w:tcPr>
            <w:tcW w:w="3768" w:type="dxa"/>
          </w:tcPr>
          <w:p>
            <w:pPr>
              <w:pStyle w:val="TableParagraph"/>
              <w:spacing w:before="2"/>
              <w:rPr>
                <w:rFonts w:ascii="黑体"/>
                <w:sz w:val="16"/>
              </w:rPr>
            </w:pPr>
          </w:p>
          <w:p>
            <w:pPr>
              <w:pStyle w:val="TableParagraph"/>
              <w:spacing w:line="260" w:lineRule="exact"/>
              <w:ind w:left="102"/>
              <w:rPr>
                <w:sz w:val="20"/>
              </w:rPr>
            </w:pPr>
            <w:r>
              <w:rPr>
                <w:spacing w:val="-8"/>
                <w:sz w:val="20"/>
              </w:rPr>
              <w:t>建设幸福美丽新村 </w:t>
            </w:r>
            <w:r>
              <w:rPr>
                <w:sz w:val="20"/>
              </w:rPr>
              <w:t>90</w:t>
            </w:r>
            <w:r>
              <w:rPr>
                <w:spacing w:val="-30"/>
                <w:sz w:val="20"/>
              </w:rPr>
              <w:t> 个，旧村改造 </w:t>
            </w:r>
            <w:r>
              <w:rPr>
                <w:sz w:val="20"/>
              </w:rPr>
              <w:t>90</w:t>
            </w:r>
            <w:r>
              <w:rPr>
                <w:spacing w:val="-22"/>
                <w:sz w:val="20"/>
              </w:rPr>
              <w:t> 个，</w:t>
            </w:r>
          </w:p>
          <w:p>
            <w:pPr>
              <w:pStyle w:val="TableParagraph"/>
              <w:spacing w:line="237" w:lineRule="auto" w:before="1"/>
              <w:ind w:left="377" w:hanging="275"/>
              <w:rPr>
                <w:sz w:val="20"/>
              </w:rPr>
            </w:pPr>
            <w:r>
              <w:rPr>
                <w:spacing w:val="-14"/>
                <w:sz w:val="20"/>
              </w:rPr>
              <w:t>改造农房 </w:t>
            </w:r>
            <w:r>
              <w:rPr>
                <w:sz w:val="20"/>
              </w:rPr>
              <w:t>1900</w:t>
            </w:r>
            <w:r>
              <w:rPr>
                <w:spacing w:val="-23"/>
                <w:sz w:val="20"/>
              </w:rPr>
              <w:t> 户，改造村活动中心 </w:t>
            </w:r>
            <w:r>
              <w:rPr>
                <w:sz w:val="20"/>
              </w:rPr>
              <w:t>15</w:t>
            </w:r>
            <w:r>
              <w:rPr>
                <w:spacing w:val="-22"/>
                <w:sz w:val="20"/>
              </w:rPr>
              <w:t> 个， </w:t>
            </w:r>
            <w:r>
              <w:rPr>
                <w:spacing w:val="-1"/>
                <w:sz w:val="20"/>
              </w:rPr>
              <w:t>完成基础设施，培育农村主导产业</w:t>
            </w:r>
          </w:p>
        </w:tc>
        <w:tc>
          <w:tcPr>
            <w:tcW w:w="1116" w:type="dxa"/>
          </w:tcPr>
          <w:p>
            <w:pPr>
              <w:pStyle w:val="TableParagraph"/>
              <w:rPr>
                <w:rFonts w:ascii="黑体"/>
                <w:sz w:val="20"/>
              </w:rPr>
            </w:pPr>
          </w:p>
          <w:p>
            <w:pPr>
              <w:pStyle w:val="TableParagraph"/>
              <w:spacing w:before="12"/>
              <w:rPr>
                <w:rFonts w:ascii="黑体"/>
                <w:sz w:val="15"/>
              </w:rPr>
            </w:pPr>
          </w:p>
          <w:p>
            <w:pPr>
              <w:pStyle w:val="TableParagraph"/>
              <w:ind w:left="183" w:right="183"/>
              <w:jc w:val="center"/>
              <w:rPr>
                <w:sz w:val="20"/>
              </w:rPr>
            </w:pPr>
            <w:r>
              <w:rPr>
                <w:sz w:val="20"/>
              </w:rPr>
              <w:t>15000</w:t>
            </w:r>
          </w:p>
        </w:tc>
        <w:tc>
          <w:tcPr>
            <w:tcW w:w="1087" w:type="dxa"/>
          </w:tcPr>
          <w:p>
            <w:pPr>
              <w:pStyle w:val="TableParagraph"/>
              <w:rPr>
                <w:rFonts w:ascii="黑体"/>
                <w:sz w:val="20"/>
              </w:rPr>
            </w:pPr>
          </w:p>
          <w:p>
            <w:pPr>
              <w:pStyle w:val="TableParagraph"/>
              <w:spacing w:before="12"/>
              <w:rPr>
                <w:rFonts w:ascii="黑体"/>
                <w:sz w:val="15"/>
              </w:rPr>
            </w:pPr>
          </w:p>
          <w:p>
            <w:pPr>
              <w:pStyle w:val="TableParagraph"/>
              <w:ind w:left="118" w:right="117"/>
              <w:jc w:val="center"/>
              <w:rPr>
                <w:sz w:val="20"/>
              </w:rPr>
            </w:pPr>
            <w:r>
              <w:rPr>
                <w:sz w:val="20"/>
              </w:rPr>
              <w:t>农工办</w:t>
            </w:r>
          </w:p>
        </w:tc>
      </w:tr>
      <w:tr>
        <w:trPr>
          <w:trHeight w:val="960" w:hRule="atLeast"/>
        </w:trPr>
        <w:tc>
          <w:tcPr>
            <w:tcW w:w="544" w:type="dxa"/>
          </w:tcPr>
          <w:p>
            <w:pPr>
              <w:pStyle w:val="TableParagraph"/>
              <w:spacing w:before="7"/>
              <w:rPr>
                <w:rFonts w:ascii="黑体"/>
                <w:sz w:val="24"/>
              </w:rPr>
            </w:pPr>
          </w:p>
          <w:p>
            <w:pPr>
              <w:pStyle w:val="TableParagraph"/>
              <w:ind w:right="215"/>
              <w:jc w:val="right"/>
              <w:rPr>
                <w:sz w:val="20"/>
              </w:rPr>
            </w:pPr>
            <w:r>
              <w:rPr>
                <w:w w:val="100"/>
                <w:sz w:val="20"/>
              </w:rPr>
              <w:t>2</w:t>
            </w:r>
          </w:p>
        </w:tc>
        <w:tc>
          <w:tcPr>
            <w:tcW w:w="2160" w:type="dxa"/>
          </w:tcPr>
          <w:p>
            <w:pPr>
              <w:pStyle w:val="TableParagraph"/>
              <w:spacing w:before="7"/>
              <w:rPr>
                <w:rFonts w:ascii="黑体"/>
                <w:sz w:val="24"/>
              </w:rPr>
            </w:pPr>
          </w:p>
          <w:p>
            <w:pPr>
              <w:pStyle w:val="TableParagraph"/>
              <w:ind w:left="43" w:right="43"/>
              <w:jc w:val="center"/>
              <w:rPr>
                <w:sz w:val="20"/>
              </w:rPr>
            </w:pPr>
            <w:r>
              <w:rPr>
                <w:sz w:val="20"/>
              </w:rPr>
              <w:t>扶贫开发项目</w:t>
            </w:r>
          </w:p>
        </w:tc>
        <w:tc>
          <w:tcPr>
            <w:tcW w:w="1260" w:type="dxa"/>
          </w:tcPr>
          <w:p>
            <w:pPr>
              <w:pStyle w:val="TableParagraph"/>
              <w:spacing w:before="7"/>
              <w:rPr>
                <w:rFonts w:ascii="黑体"/>
                <w:sz w:val="24"/>
              </w:rPr>
            </w:pPr>
          </w:p>
          <w:p>
            <w:pPr>
              <w:pStyle w:val="TableParagraph"/>
              <w:ind w:left="154" w:right="155"/>
              <w:jc w:val="center"/>
              <w:rPr>
                <w:sz w:val="20"/>
              </w:rPr>
            </w:pPr>
            <w:r>
              <w:rPr>
                <w:sz w:val="20"/>
              </w:rPr>
              <w:t>2015-2017</w:t>
            </w:r>
          </w:p>
        </w:tc>
        <w:tc>
          <w:tcPr>
            <w:tcW w:w="3768" w:type="dxa"/>
          </w:tcPr>
          <w:p>
            <w:pPr>
              <w:pStyle w:val="TableParagraph"/>
              <w:spacing w:line="237" w:lineRule="auto" w:before="65"/>
              <w:ind w:left="62" w:right="58"/>
              <w:jc w:val="center"/>
              <w:rPr>
                <w:sz w:val="20"/>
              </w:rPr>
            </w:pPr>
            <w:r>
              <w:rPr>
                <w:spacing w:val="-6"/>
                <w:sz w:val="20"/>
              </w:rPr>
              <w:t>改善农村基础设施，扶持产业发展，改造</w:t>
            </w:r>
            <w:r>
              <w:rPr>
                <w:spacing w:val="-7"/>
                <w:sz w:val="20"/>
              </w:rPr>
              <w:t>危房，</w:t>
            </w:r>
            <w:r>
              <w:rPr>
                <w:spacing w:val="-9"/>
                <w:sz w:val="20"/>
              </w:rPr>
              <w:t>29</w:t>
            </w:r>
            <w:r>
              <w:rPr>
                <w:spacing w:val="-12"/>
                <w:sz w:val="20"/>
              </w:rPr>
              <w:t> 个市列贫困村“摘帽”，精准扶</w:t>
            </w:r>
            <w:r>
              <w:rPr>
                <w:spacing w:val="-1"/>
                <w:sz w:val="20"/>
              </w:rPr>
              <w:t>贫户全部脱贫</w:t>
            </w:r>
          </w:p>
        </w:tc>
        <w:tc>
          <w:tcPr>
            <w:tcW w:w="1116" w:type="dxa"/>
          </w:tcPr>
          <w:p>
            <w:pPr>
              <w:pStyle w:val="TableParagraph"/>
              <w:spacing w:before="7"/>
              <w:rPr>
                <w:rFonts w:ascii="黑体"/>
                <w:sz w:val="24"/>
              </w:rPr>
            </w:pPr>
          </w:p>
          <w:p>
            <w:pPr>
              <w:pStyle w:val="TableParagraph"/>
              <w:ind w:left="183" w:right="183"/>
              <w:jc w:val="center"/>
              <w:rPr>
                <w:sz w:val="20"/>
              </w:rPr>
            </w:pPr>
            <w:r>
              <w:rPr>
                <w:sz w:val="20"/>
              </w:rPr>
              <w:t>3000</w:t>
            </w:r>
          </w:p>
        </w:tc>
        <w:tc>
          <w:tcPr>
            <w:tcW w:w="1087" w:type="dxa"/>
          </w:tcPr>
          <w:p>
            <w:pPr>
              <w:pStyle w:val="TableParagraph"/>
              <w:spacing w:before="7"/>
              <w:rPr>
                <w:rFonts w:ascii="黑体"/>
                <w:sz w:val="24"/>
              </w:rPr>
            </w:pPr>
          </w:p>
          <w:p>
            <w:pPr>
              <w:pStyle w:val="TableParagraph"/>
              <w:ind w:left="118" w:right="117"/>
              <w:jc w:val="center"/>
              <w:rPr>
                <w:sz w:val="20"/>
              </w:rPr>
            </w:pPr>
            <w:r>
              <w:rPr>
                <w:sz w:val="20"/>
              </w:rPr>
              <w:t>农工办</w:t>
            </w:r>
          </w:p>
        </w:tc>
      </w:tr>
      <w:tr>
        <w:trPr>
          <w:trHeight w:val="860" w:hRule="atLeast"/>
        </w:trPr>
        <w:tc>
          <w:tcPr>
            <w:tcW w:w="544" w:type="dxa"/>
          </w:tcPr>
          <w:p>
            <w:pPr>
              <w:pStyle w:val="TableParagraph"/>
              <w:spacing w:before="12"/>
              <w:rPr>
                <w:rFonts w:ascii="黑体"/>
                <w:sz w:val="20"/>
              </w:rPr>
            </w:pPr>
          </w:p>
          <w:p>
            <w:pPr>
              <w:pStyle w:val="TableParagraph"/>
              <w:ind w:right="215"/>
              <w:jc w:val="right"/>
              <w:rPr>
                <w:sz w:val="20"/>
              </w:rPr>
            </w:pPr>
            <w:r>
              <w:rPr>
                <w:w w:val="100"/>
                <w:sz w:val="20"/>
              </w:rPr>
              <w:t>3</w:t>
            </w:r>
          </w:p>
        </w:tc>
        <w:tc>
          <w:tcPr>
            <w:tcW w:w="2160" w:type="dxa"/>
          </w:tcPr>
          <w:p>
            <w:pPr>
              <w:pStyle w:val="TableParagraph"/>
              <w:spacing w:before="12"/>
              <w:rPr>
                <w:rFonts w:ascii="黑体"/>
                <w:sz w:val="20"/>
              </w:rPr>
            </w:pPr>
          </w:p>
          <w:p>
            <w:pPr>
              <w:pStyle w:val="TableParagraph"/>
              <w:ind w:left="43" w:right="43"/>
              <w:jc w:val="center"/>
              <w:rPr>
                <w:sz w:val="20"/>
              </w:rPr>
            </w:pPr>
            <w:r>
              <w:rPr>
                <w:sz w:val="20"/>
              </w:rPr>
              <w:t>现代农业发展项目</w:t>
            </w:r>
          </w:p>
        </w:tc>
        <w:tc>
          <w:tcPr>
            <w:tcW w:w="1260" w:type="dxa"/>
          </w:tcPr>
          <w:p>
            <w:pPr>
              <w:pStyle w:val="TableParagraph"/>
              <w:spacing w:before="12"/>
              <w:rPr>
                <w:rFonts w:ascii="黑体"/>
                <w:sz w:val="20"/>
              </w:rPr>
            </w:pPr>
          </w:p>
          <w:p>
            <w:pPr>
              <w:pStyle w:val="TableParagraph"/>
              <w:ind w:left="154" w:right="154"/>
              <w:jc w:val="center"/>
              <w:rPr>
                <w:sz w:val="20"/>
              </w:rPr>
            </w:pPr>
            <w:r>
              <w:rPr>
                <w:sz w:val="20"/>
              </w:rPr>
              <w:t>2013-2016</w:t>
            </w:r>
          </w:p>
        </w:tc>
        <w:tc>
          <w:tcPr>
            <w:tcW w:w="3768" w:type="dxa"/>
          </w:tcPr>
          <w:p>
            <w:pPr>
              <w:pStyle w:val="TableParagraph"/>
              <w:spacing w:before="144"/>
              <w:ind w:left="777" w:right="36" w:hanging="675"/>
              <w:rPr>
                <w:sz w:val="20"/>
              </w:rPr>
            </w:pPr>
            <w:r>
              <w:rPr>
                <w:sz w:val="20"/>
              </w:rPr>
              <w:t>建设田网、渠网、路网（水稻、蔬菜）优质、高效、高产基本农田</w:t>
            </w:r>
          </w:p>
        </w:tc>
        <w:tc>
          <w:tcPr>
            <w:tcW w:w="1116" w:type="dxa"/>
          </w:tcPr>
          <w:p>
            <w:pPr>
              <w:pStyle w:val="TableParagraph"/>
              <w:spacing w:before="12"/>
              <w:rPr>
                <w:rFonts w:ascii="黑体"/>
                <w:sz w:val="20"/>
              </w:rPr>
            </w:pPr>
          </w:p>
          <w:p>
            <w:pPr>
              <w:pStyle w:val="TableParagraph"/>
              <w:ind w:left="183" w:right="183"/>
              <w:jc w:val="center"/>
              <w:rPr>
                <w:sz w:val="20"/>
              </w:rPr>
            </w:pPr>
            <w:r>
              <w:rPr>
                <w:sz w:val="20"/>
              </w:rPr>
              <w:t>10800</w:t>
            </w:r>
          </w:p>
        </w:tc>
        <w:tc>
          <w:tcPr>
            <w:tcW w:w="1087" w:type="dxa"/>
          </w:tcPr>
          <w:p>
            <w:pPr>
              <w:pStyle w:val="TableParagraph"/>
              <w:spacing w:before="12"/>
              <w:rPr>
                <w:rFonts w:ascii="黑体"/>
                <w:sz w:val="20"/>
              </w:rPr>
            </w:pPr>
          </w:p>
          <w:p>
            <w:pPr>
              <w:pStyle w:val="TableParagraph"/>
              <w:ind w:left="118" w:right="117"/>
              <w:jc w:val="center"/>
              <w:rPr>
                <w:sz w:val="20"/>
              </w:rPr>
            </w:pPr>
            <w:r>
              <w:rPr>
                <w:sz w:val="20"/>
              </w:rPr>
              <w:t>农业局</w:t>
            </w:r>
          </w:p>
        </w:tc>
      </w:tr>
      <w:tr>
        <w:trPr>
          <w:trHeight w:val="1340" w:hRule="atLeast"/>
        </w:trPr>
        <w:tc>
          <w:tcPr>
            <w:tcW w:w="544" w:type="dxa"/>
          </w:tcPr>
          <w:p>
            <w:pPr>
              <w:pStyle w:val="TableParagraph"/>
              <w:rPr>
                <w:rFonts w:ascii="黑体"/>
                <w:sz w:val="20"/>
              </w:rPr>
            </w:pPr>
          </w:p>
          <w:p>
            <w:pPr>
              <w:pStyle w:val="TableParagraph"/>
              <w:spacing w:before="2"/>
              <w:rPr>
                <w:rFonts w:ascii="黑体"/>
                <w:sz w:val="19"/>
              </w:rPr>
            </w:pPr>
          </w:p>
          <w:p>
            <w:pPr>
              <w:pStyle w:val="TableParagraph"/>
              <w:ind w:right="215"/>
              <w:jc w:val="right"/>
              <w:rPr>
                <w:sz w:val="20"/>
              </w:rPr>
            </w:pPr>
            <w:r>
              <w:rPr>
                <w:w w:val="100"/>
                <w:sz w:val="20"/>
              </w:rPr>
              <w:t>4</w:t>
            </w:r>
          </w:p>
        </w:tc>
        <w:tc>
          <w:tcPr>
            <w:tcW w:w="2160" w:type="dxa"/>
          </w:tcPr>
          <w:p>
            <w:pPr>
              <w:pStyle w:val="TableParagraph"/>
              <w:rPr>
                <w:rFonts w:ascii="黑体"/>
                <w:sz w:val="20"/>
              </w:rPr>
            </w:pPr>
          </w:p>
          <w:p>
            <w:pPr>
              <w:pStyle w:val="TableParagraph"/>
              <w:spacing w:before="2"/>
              <w:rPr>
                <w:rFonts w:ascii="黑体"/>
                <w:sz w:val="19"/>
              </w:rPr>
            </w:pPr>
          </w:p>
          <w:p>
            <w:pPr>
              <w:pStyle w:val="TableParagraph"/>
              <w:ind w:left="42" w:right="43"/>
              <w:jc w:val="center"/>
              <w:rPr>
                <w:sz w:val="20"/>
              </w:rPr>
            </w:pPr>
            <w:r>
              <w:rPr>
                <w:sz w:val="20"/>
              </w:rPr>
              <w:t>茶叶产业化建设</w:t>
            </w:r>
          </w:p>
        </w:tc>
        <w:tc>
          <w:tcPr>
            <w:tcW w:w="1260" w:type="dxa"/>
          </w:tcPr>
          <w:p>
            <w:pPr>
              <w:pStyle w:val="TableParagraph"/>
              <w:rPr>
                <w:rFonts w:ascii="黑体"/>
                <w:sz w:val="20"/>
              </w:rPr>
            </w:pPr>
          </w:p>
          <w:p>
            <w:pPr>
              <w:pStyle w:val="TableParagraph"/>
              <w:spacing w:before="2"/>
              <w:rPr>
                <w:rFonts w:ascii="黑体"/>
                <w:sz w:val="19"/>
              </w:rPr>
            </w:pPr>
          </w:p>
          <w:p>
            <w:pPr>
              <w:pStyle w:val="TableParagraph"/>
              <w:ind w:left="154" w:right="154"/>
              <w:jc w:val="center"/>
              <w:rPr>
                <w:sz w:val="20"/>
              </w:rPr>
            </w:pPr>
            <w:r>
              <w:rPr>
                <w:sz w:val="20"/>
              </w:rPr>
              <w:t>2015-2020</w:t>
            </w:r>
          </w:p>
        </w:tc>
        <w:tc>
          <w:tcPr>
            <w:tcW w:w="3768" w:type="dxa"/>
          </w:tcPr>
          <w:p>
            <w:pPr>
              <w:pStyle w:val="TableParagraph"/>
              <w:spacing w:line="261" w:lineRule="exact" w:before="122"/>
              <w:ind w:left="8" w:right="7"/>
              <w:jc w:val="center"/>
              <w:rPr>
                <w:sz w:val="20"/>
              </w:rPr>
            </w:pPr>
            <w:r>
              <w:rPr>
                <w:sz w:val="20"/>
              </w:rPr>
              <w:t>全区产茶镇（乡）新改建标准化茶园 6 万</w:t>
            </w:r>
          </w:p>
          <w:p>
            <w:pPr>
              <w:pStyle w:val="TableParagraph"/>
              <w:spacing w:line="237" w:lineRule="auto" w:before="1"/>
              <w:ind w:left="102" w:right="102" w:firstLine="1"/>
              <w:jc w:val="center"/>
              <w:rPr>
                <w:sz w:val="20"/>
              </w:rPr>
            </w:pPr>
            <w:r>
              <w:rPr>
                <w:spacing w:val="-11"/>
                <w:sz w:val="20"/>
              </w:rPr>
              <w:t>亩，达到 </w:t>
            </w:r>
            <w:r>
              <w:rPr>
                <w:sz w:val="20"/>
              </w:rPr>
              <w:t>10</w:t>
            </w:r>
            <w:r>
              <w:rPr>
                <w:spacing w:val="-8"/>
                <w:sz w:val="20"/>
              </w:rPr>
              <w:t> 万亩生产能力。培育茶叶龙头企业、专业合作社、家庭农场，实现提质增效。</w:t>
            </w:r>
          </w:p>
        </w:tc>
        <w:tc>
          <w:tcPr>
            <w:tcW w:w="1116" w:type="dxa"/>
          </w:tcPr>
          <w:p>
            <w:pPr>
              <w:pStyle w:val="TableParagraph"/>
              <w:rPr>
                <w:rFonts w:ascii="黑体"/>
                <w:sz w:val="20"/>
              </w:rPr>
            </w:pPr>
          </w:p>
          <w:p>
            <w:pPr>
              <w:pStyle w:val="TableParagraph"/>
              <w:spacing w:before="2"/>
              <w:rPr>
                <w:rFonts w:ascii="黑体"/>
                <w:sz w:val="19"/>
              </w:rPr>
            </w:pPr>
          </w:p>
          <w:p>
            <w:pPr>
              <w:pStyle w:val="TableParagraph"/>
              <w:ind w:left="183" w:right="183"/>
              <w:jc w:val="center"/>
              <w:rPr>
                <w:sz w:val="20"/>
              </w:rPr>
            </w:pPr>
            <w:r>
              <w:rPr>
                <w:sz w:val="20"/>
              </w:rPr>
              <w:t>30000</w:t>
            </w:r>
          </w:p>
        </w:tc>
        <w:tc>
          <w:tcPr>
            <w:tcW w:w="1087" w:type="dxa"/>
          </w:tcPr>
          <w:p>
            <w:pPr>
              <w:pStyle w:val="TableParagraph"/>
              <w:rPr>
                <w:rFonts w:ascii="黑体"/>
                <w:sz w:val="20"/>
              </w:rPr>
            </w:pPr>
          </w:p>
          <w:p>
            <w:pPr>
              <w:pStyle w:val="TableParagraph"/>
              <w:spacing w:before="2"/>
              <w:rPr>
                <w:rFonts w:ascii="黑体"/>
                <w:sz w:val="19"/>
              </w:rPr>
            </w:pPr>
          </w:p>
          <w:p>
            <w:pPr>
              <w:pStyle w:val="TableParagraph"/>
              <w:ind w:left="118" w:right="117"/>
              <w:jc w:val="center"/>
              <w:rPr>
                <w:sz w:val="20"/>
              </w:rPr>
            </w:pPr>
            <w:r>
              <w:rPr>
                <w:sz w:val="20"/>
              </w:rPr>
              <w:t>农业局</w:t>
            </w:r>
          </w:p>
        </w:tc>
      </w:tr>
      <w:tr>
        <w:trPr>
          <w:trHeight w:val="1640" w:hRule="atLeast"/>
        </w:trPr>
        <w:tc>
          <w:tcPr>
            <w:tcW w:w="544" w:type="dxa"/>
          </w:tcPr>
          <w:p>
            <w:pPr>
              <w:pStyle w:val="TableParagraph"/>
              <w:rPr>
                <w:rFonts w:ascii="黑体"/>
                <w:sz w:val="20"/>
              </w:rPr>
            </w:pPr>
          </w:p>
          <w:p>
            <w:pPr>
              <w:pStyle w:val="TableParagraph"/>
              <w:rPr>
                <w:rFonts w:ascii="黑体"/>
                <w:sz w:val="20"/>
              </w:rPr>
            </w:pPr>
          </w:p>
          <w:p>
            <w:pPr>
              <w:pStyle w:val="TableParagraph"/>
              <w:spacing w:before="135"/>
              <w:ind w:right="215"/>
              <w:jc w:val="right"/>
              <w:rPr>
                <w:sz w:val="20"/>
              </w:rPr>
            </w:pPr>
            <w:r>
              <w:rPr>
                <w:w w:val="100"/>
                <w:sz w:val="20"/>
              </w:rPr>
              <w:t>5</w:t>
            </w:r>
          </w:p>
        </w:tc>
        <w:tc>
          <w:tcPr>
            <w:tcW w:w="2160" w:type="dxa"/>
          </w:tcPr>
          <w:p>
            <w:pPr>
              <w:pStyle w:val="TableParagraph"/>
              <w:rPr>
                <w:rFonts w:ascii="黑体"/>
                <w:sz w:val="20"/>
              </w:rPr>
            </w:pPr>
          </w:p>
          <w:p>
            <w:pPr>
              <w:pStyle w:val="TableParagraph"/>
              <w:rPr>
                <w:rFonts w:ascii="黑体"/>
                <w:sz w:val="20"/>
              </w:rPr>
            </w:pPr>
          </w:p>
          <w:p>
            <w:pPr>
              <w:pStyle w:val="TableParagraph"/>
              <w:spacing w:before="135"/>
              <w:ind w:left="42" w:right="43"/>
              <w:jc w:val="center"/>
              <w:rPr>
                <w:sz w:val="20"/>
              </w:rPr>
            </w:pPr>
            <w:r>
              <w:rPr>
                <w:sz w:val="20"/>
              </w:rPr>
              <w:t>蔬菜产业化建设</w:t>
            </w:r>
          </w:p>
        </w:tc>
        <w:tc>
          <w:tcPr>
            <w:tcW w:w="1260" w:type="dxa"/>
          </w:tcPr>
          <w:p>
            <w:pPr>
              <w:pStyle w:val="TableParagraph"/>
              <w:rPr>
                <w:rFonts w:ascii="黑体"/>
                <w:sz w:val="20"/>
              </w:rPr>
            </w:pPr>
          </w:p>
          <w:p>
            <w:pPr>
              <w:pStyle w:val="TableParagraph"/>
              <w:rPr>
                <w:rFonts w:ascii="黑体"/>
                <w:sz w:val="20"/>
              </w:rPr>
            </w:pPr>
          </w:p>
          <w:p>
            <w:pPr>
              <w:pStyle w:val="TableParagraph"/>
              <w:spacing w:before="135"/>
              <w:ind w:left="154" w:right="154"/>
              <w:jc w:val="center"/>
              <w:rPr>
                <w:sz w:val="20"/>
              </w:rPr>
            </w:pPr>
            <w:r>
              <w:rPr>
                <w:sz w:val="20"/>
              </w:rPr>
              <w:t>2015-2020</w:t>
            </w:r>
          </w:p>
        </w:tc>
        <w:tc>
          <w:tcPr>
            <w:tcW w:w="3768" w:type="dxa"/>
          </w:tcPr>
          <w:p>
            <w:pPr>
              <w:pStyle w:val="TableParagraph"/>
              <w:spacing w:line="237" w:lineRule="auto" w:before="142"/>
              <w:ind w:left="103" w:right="99" w:firstLine="125"/>
              <w:jc w:val="both"/>
              <w:rPr>
                <w:sz w:val="20"/>
              </w:rPr>
            </w:pPr>
            <w:r>
              <w:rPr>
                <w:sz w:val="20"/>
              </w:rPr>
              <w:t>重点建设蔬菜温室育苗大棚、蔬菜品种</w:t>
            </w:r>
            <w:r>
              <w:rPr>
                <w:spacing w:val="-8"/>
                <w:sz w:val="20"/>
              </w:rPr>
              <w:t>展示园、标准园、万亩示范区，实现蔬菜标准化、区域化、规模化、优质化、专业</w:t>
            </w:r>
            <w:r>
              <w:rPr>
                <w:spacing w:val="-9"/>
                <w:sz w:val="20"/>
              </w:rPr>
              <w:t>化、现代化生产，全区新增蔬菜播种面积</w:t>
            </w:r>
          </w:p>
          <w:p>
            <w:pPr>
              <w:pStyle w:val="TableParagraph"/>
              <w:spacing w:line="260" w:lineRule="exact"/>
              <w:ind w:left="58" w:right="58"/>
              <w:jc w:val="center"/>
              <w:rPr>
                <w:sz w:val="20"/>
              </w:rPr>
            </w:pPr>
            <w:r>
              <w:rPr>
                <w:sz w:val="20"/>
              </w:rPr>
              <w:t>7 万亩。</w:t>
            </w:r>
          </w:p>
        </w:tc>
        <w:tc>
          <w:tcPr>
            <w:tcW w:w="1116" w:type="dxa"/>
          </w:tcPr>
          <w:p>
            <w:pPr>
              <w:pStyle w:val="TableParagraph"/>
              <w:rPr>
                <w:rFonts w:ascii="黑体"/>
                <w:sz w:val="20"/>
              </w:rPr>
            </w:pPr>
          </w:p>
          <w:p>
            <w:pPr>
              <w:pStyle w:val="TableParagraph"/>
              <w:rPr>
                <w:rFonts w:ascii="黑体"/>
                <w:sz w:val="20"/>
              </w:rPr>
            </w:pPr>
          </w:p>
          <w:p>
            <w:pPr>
              <w:pStyle w:val="TableParagraph"/>
              <w:spacing w:before="135"/>
              <w:ind w:left="183" w:right="183"/>
              <w:jc w:val="center"/>
              <w:rPr>
                <w:sz w:val="20"/>
              </w:rPr>
            </w:pPr>
            <w:r>
              <w:rPr>
                <w:sz w:val="20"/>
              </w:rPr>
              <w:t>65000</w:t>
            </w:r>
          </w:p>
        </w:tc>
        <w:tc>
          <w:tcPr>
            <w:tcW w:w="1087" w:type="dxa"/>
          </w:tcPr>
          <w:p>
            <w:pPr>
              <w:pStyle w:val="TableParagraph"/>
              <w:rPr>
                <w:rFonts w:ascii="黑体"/>
                <w:sz w:val="20"/>
              </w:rPr>
            </w:pPr>
          </w:p>
          <w:p>
            <w:pPr>
              <w:pStyle w:val="TableParagraph"/>
              <w:rPr>
                <w:rFonts w:ascii="黑体"/>
                <w:sz w:val="20"/>
              </w:rPr>
            </w:pPr>
          </w:p>
          <w:p>
            <w:pPr>
              <w:pStyle w:val="TableParagraph"/>
              <w:spacing w:before="135"/>
              <w:ind w:left="118" w:right="117"/>
              <w:jc w:val="center"/>
              <w:rPr>
                <w:sz w:val="20"/>
              </w:rPr>
            </w:pPr>
            <w:r>
              <w:rPr>
                <w:sz w:val="20"/>
              </w:rPr>
              <w:t>农业局</w:t>
            </w:r>
          </w:p>
        </w:tc>
      </w:tr>
      <w:tr>
        <w:trPr>
          <w:trHeight w:val="1260" w:hRule="atLeast"/>
        </w:trPr>
        <w:tc>
          <w:tcPr>
            <w:tcW w:w="544" w:type="dxa"/>
          </w:tcPr>
          <w:p>
            <w:pPr>
              <w:pStyle w:val="TableParagraph"/>
              <w:rPr>
                <w:rFonts w:ascii="黑体"/>
                <w:sz w:val="20"/>
              </w:rPr>
            </w:pPr>
          </w:p>
          <w:p>
            <w:pPr>
              <w:pStyle w:val="TableParagraph"/>
              <w:spacing w:before="11"/>
              <w:rPr>
                <w:rFonts w:ascii="黑体"/>
                <w:sz w:val="15"/>
              </w:rPr>
            </w:pPr>
          </w:p>
          <w:p>
            <w:pPr>
              <w:pStyle w:val="TableParagraph"/>
              <w:ind w:right="215"/>
              <w:jc w:val="right"/>
              <w:rPr>
                <w:sz w:val="20"/>
              </w:rPr>
            </w:pPr>
            <w:r>
              <w:rPr>
                <w:w w:val="100"/>
                <w:sz w:val="20"/>
              </w:rPr>
              <w:t>6</w:t>
            </w:r>
          </w:p>
        </w:tc>
        <w:tc>
          <w:tcPr>
            <w:tcW w:w="2160" w:type="dxa"/>
          </w:tcPr>
          <w:p>
            <w:pPr>
              <w:pStyle w:val="TableParagraph"/>
              <w:rPr>
                <w:rFonts w:ascii="黑体"/>
                <w:sz w:val="20"/>
              </w:rPr>
            </w:pPr>
          </w:p>
          <w:p>
            <w:pPr>
              <w:pStyle w:val="TableParagraph"/>
              <w:spacing w:before="11"/>
              <w:rPr>
                <w:rFonts w:ascii="黑体"/>
                <w:sz w:val="15"/>
              </w:rPr>
            </w:pPr>
          </w:p>
          <w:p>
            <w:pPr>
              <w:pStyle w:val="TableParagraph"/>
              <w:ind w:left="42" w:right="43"/>
              <w:jc w:val="center"/>
              <w:rPr>
                <w:sz w:val="20"/>
              </w:rPr>
            </w:pPr>
            <w:r>
              <w:rPr>
                <w:sz w:val="20"/>
              </w:rPr>
              <w:t>高标准农田建设</w:t>
            </w:r>
          </w:p>
        </w:tc>
        <w:tc>
          <w:tcPr>
            <w:tcW w:w="1260" w:type="dxa"/>
          </w:tcPr>
          <w:p>
            <w:pPr>
              <w:pStyle w:val="TableParagraph"/>
              <w:rPr>
                <w:rFonts w:ascii="黑体"/>
                <w:sz w:val="20"/>
              </w:rPr>
            </w:pPr>
          </w:p>
          <w:p>
            <w:pPr>
              <w:pStyle w:val="TableParagraph"/>
              <w:spacing w:before="11"/>
              <w:rPr>
                <w:rFonts w:ascii="黑体"/>
                <w:sz w:val="15"/>
              </w:rPr>
            </w:pPr>
          </w:p>
          <w:p>
            <w:pPr>
              <w:pStyle w:val="TableParagraph"/>
              <w:ind w:left="154" w:right="154"/>
              <w:jc w:val="center"/>
              <w:rPr>
                <w:sz w:val="20"/>
              </w:rPr>
            </w:pPr>
            <w:r>
              <w:rPr>
                <w:sz w:val="20"/>
              </w:rPr>
              <w:t>2016-2020</w:t>
            </w:r>
          </w:p>
        </w:tc>
        <w:tc>
          <w:tcPr>
            <w:tcW w:w="3768" w:type="dxa"/>
          </w:tcPr>
          <w:p>
            <w:pPr>
              <w:pStyle w:val="TableParagraph"/>
              <w:spacing w:line="237" w:lineRule="auto" w:before="83"/>
              <w:ind w:left="61" w:right="58"/>
              <w:jc w:val="center"/>
              <w:rPr>
                <w:sz w:val="20"/>
              </w:rPr>
            </w:pPr>
            <w:r>
              <w:rPr>
                <w:sz w:val="20"/>
              </w:rPr>
              <w:t>开展“田网”“渠网”“路网”等田间基础设施建设工程，测土配方施肥和地力培肥等地力建设工程、高产创建等科技工程建设。</w:t>
            </w:r>
          </w:p>
        </w:tc>
        <w:tc>
          <w:tcPr>
            <w:tcW w:w="1116" w:type="dxa"/>
          </w:tcPr>
          <w:p>
            <w:pPr>
              <w:pStyle w:val="TableParagraph"/>
              <w:rPr>
                <w:rFonts w:ascii="黑体"/>
                <w:sz w:val="20"/>
              </w:rPr>
            </w:pPr>
          </w:p>
          <w:p>
            <w:pPr>
              <w:pStyle w:val="TableParagraph"/>
              <w:spacing w:before="11"/>
              <w:rPr>
                <w:rFonts w:ascii="黑体"/>
                <w:sz w:val="15"/>
              </w:rPr>
            </w:pPr>
          </w:p>
          <w:p>
            <w:pPr>
              <w:pStyle w:val="TableParagraph"/>
              <w:ind w:left="182" w:right="183"/>
              <w:jc w:val="center"/>
              <w:rPr>
                <w:sz w:val="20"/>
              </w:rPr>
            </w:pPr>
            <w:r>
              <w:rPr>
                <w:sz w:val="20"/>
              </w:rPr>
              <w:t>5808</w:t>
            </w:r>
          </w:p>
        </w:tc>
        <w:tc>
          <w:tcPr>
            <w:tcW w:w="1087" w:type="dxa"/>
          </w:tcPr>
          <w:p>
            <w:pPr>
              <w:pStyle w:val="TableParagraph"/>
              <w:rPr>
                <w:rFonts w:ascii="黑体"/>
                <w:sz w:val="20"/>
              </w:rPr>
            </w:pPr>
          </w:p>
          <w:p>
            <w:pPr>
              <w:pStyle w:val="TableParagraph"/>
              <w:spacing w:before="11"/>
              <w:rPr>
                <w:rFonts w:ascii="黑体"/>
                <w:sz w:val="15"/>
              </w:rPr>
            </w:pPr>
          </w:p>
          <w:p>
            <w:pPr>
              <w:pStyle w:val="TableParagraph"/>
              <w:ind w:left="118" w:right="117"/>
              <w:jc w:val="center"/>
              <w:rPr>
                <w:sz w:val="20"/>
              </w:rPr>
            </w:pPr>
            <w:r>
              <w:rPr>
                <w:sz w:val="20"/>
              </w:rPr>
              <w:t>农业局</w:t>
            </w:r>
          </w:p>
        </w:tc>
      </w:tr>
      <w:tr>
        <w:trPr>
          <w:trHeight w:val="880" w:hRule="atLeast"/>
        </w:trPr>
        <w:tc>
          <w:tcPr>
            <w:tcW w:w="544" w:type="dxa"/>
          </w:tcPr>
          <w:p>
            <w:pPr>
              <w:pStyle w:val="TableParagraph"/>
              <w:rPr>
                <w:rFonts w:ascii="黑体"/>
                <w:sz w:val="22"/>
              </w:rPr>
            </w:pPr>
          </w:p>
          <w:p>
            <w:pPr>
              <w:pStyle w:val="TableParagraph"/>
              <w:ind w:right="215"/>
              <w:jc w:val="right"/>
              <w:rPr>
                <w:sz w:val="20"/>
              </w:rPr>
            </w:pPr>
            <w:r>
              <w:rPr>
                <w:w w:val="100"/>
                <w:sz w:val="20"/>
              </w:rPr>
              <w:t>7</w:t>
            </w:r>
          </w:p>
        </w:tc>
        <w:tc>
          <w:tcPr>
            <w:tcW w:w="2160" w:type="dxa"/>
          </w:tcPr>
          <w:p>
            <w:pPr>
              <w:pStyle w:val="TableParagraph"/>
              <w:spacing w:line="237" w:lineRule="auto" w:before="31"/>
              <w:ind w:left="46" w:right="43"/>
              <w:jc w:val="center"/>
              <w:rPr>
                <w:sz w:val="20"/>
              </w:rPr>
            </w:pPr>
            <w:r>
              <w:rPr>
                <w:sz w:val="20"/>
              </w:rPr>
              <w:t>蔡金镇、杨柳镇改造完善高标准基本农田建设项目</w:t>
            </w:r>
          </w:p>
        </w:tc>
        <w:tc>
          <w:tcPr>
            <w:tcW w:w="1260" w:type="dxa"/>
          </w:tcPr>
          <w:p>
            <w:pPr>
              <w:pStyle w:val="TableParagraph"/>
              <w:rPr>
                <w:rFonts w:ascii="黑体"/>
                <w:sz w:val="22"/>
              </w:rPr>
            </w:pPr>
          </w:p>
          <w:p>
            <w:pPr>
              <w:pStyle w:val="TableParagraph"/>
              <w:ind w:left="154" w:right="154"/>
              <w:jc w:val="center"/>
              <w:rPr>
                <w:sz w:val="20"/>
              </w:rPr>
            </w:pPr>
            <w:r>
              <w:rPr>
                <w:sz w:val="20"/>
              </w:rPr>
              <w:t>2016-2017</w:t>
            </w:r>
          </w:p>
        </w:tc>
        <w:tc>
          <w:tcPr>
            <w:tcW w:w="3768" w:type="dxa"/>
          </w:tcPr>
          <w:p>
            <w:pPr>
              <w:pStyle w:val="TableParagraph"/>
              <w:spacing w:line="237" w:lineRule="auto" w:before="161"/>
              <w:ind w:left="177" w:hanging="50"/>
              <w:rPr>
                <w:sz w:val="20"/>
              </w:rPr>
            </w:pPr>
            <w:r>
              <w:rPr>
                <w:spacing w:val="-7"/>
                <w:sz w:val="20"/>
              </w:rPr>
              <w:t>高标准基本农田 </w:t>
            </w:r>
            <w:r>
              <w:rPr>
                <w:sz w:val="20"/>
              </w:rPr>
              <w:t>1.79</w:t>
            </w:r>
            <w:r>
              <w:rPr>
                <w:spacing w:val="-8"/>
                <w:sz w:val="20"/>
              </w:rPr>
              <w:t> 万亩，农田水利基</w:t>
            </w:r>
            <w:r>
              <w:rPr>
                <w:spacing w:val="-1"/>
                <w:sz w:val="20"/>
              </w:rPr>
              <w:t>础设施建设和维护，田间耕作道路修建</w:t>
            </w:r>
          </w:p>
        </w:tc>
        <w:tc>
          <w:tcPr>
            <w:tcW w:w="1116" w:type="dxa"/>
          </w:tcPr>
          <w:p>
            <w:pPr>
              <w:pStyle w:val="TableParagraph"/>
              <w:rPr>
                <w:rFonts w:ascii="黑体"/>
                <w:sz w:val="22"/>
              </w:rPr>
            </w:pPr>
          </w:p>
          <w:p>
            <w:pPr>
              <w:pStyle w:val="TableParagraph"/>
              <w:ind w:left="182" w:right="183"/>
              <w:jc w:val="center"/>
              <w:rPr>
                <w:sz w:val="20"/>
              </w:rPr>
            </w:pPr>
            <w:r>
              <w:rPr>
                <w:sz w:val="20"/>
              </w:rPr>
              <w:t>530</w:t>
            </w:r>
          </w:p>
        </w:tc>
        <w:tc>
          <w:tcPr>
            <w:tcW w:w="1087" w:type="dxa"/>
          </w:tcPr>
          <w:p>
            <w:pPr>
              <w:pStyle w:val="TableParagraph"/>
              <w:spacing w:line="237" w:lineRule="auto" w:before="161"/>
              <w:ind w:left="338" w:right="119" w:hanging="200"/>
              <w:rPr>
                <w:sz w:val="20"/>
              </w:rPr>
            </w:pPr>
            <w:r>
              <w:rPr>
                <w:sz w:val="20"/>
              </w:rPr>
              <w:t>国土资源分局</w:t>
            </w:r>
          </w:p>
        </w:tc>
      </w:tr>
      <w:tr>
        <w:trPr>
          <w:trHeight w:val="1180" w:hRule="atLeast"/>
        </w:trPr>
        <w:tc>
          <w:tcPr>
            <w:tcW w:w="544" w:type="dxa"/>
          </w:tcPr>
          <w:p>
            <w:pPr>
              <w:pStyle w:val="TableParagraph"/>
              <w:rPr>
                <w:rFonts w:ascii="黑体"/>
                <w:sz w:val="20"/>
              </w:rPr>
            </w:pPr>
          </w:p>
          <w:p>
            <w:pPr>
              <w:pStyle w:val="TableParagraph"/>
              <w:spacing w:before="176"/>
              <w:ind w:right="215"/>
              <w:jc w:val="right"/>
              <w:rPr>
                <w:sz w:val="20"/>
              </w:rPr>
            </w:pPr>
            <w:r>
              <w:rPr>
                <w:w w:val="100"/>
                <w:sz w:val="20"/>
              </w:rPr>
              <w:t>8</w:t>
            </w:r>
          </w:p>
        </w:tc>
        <w:tc>
          <w:tcPr>
            <w:tcW w:w="2160" w:type="dxa"/>
          </w:tcPr>
          <w:p>
            <w:pPr>
              <w:pStyle w:val="TableParagraph"/>
              <w:spacing w:line="237" w:lineRule="auto" w:before="51"/>
              <w:ind w:left="46" w:right="43"/>
              <w:jc w:val="center"/>
              <w:rPr>
                <w:sz w:val="20"/>
              </w:rPr>
            </w:pPr>
            <w:r>
              <w:rPr>
                <w:sz w:val="20"/>
              </w:rPr>
              <w:t>牛华镇、杨柳镇、金山镇、辉山镇改造完善高标准基本农田建设项目</w:t>
            </w:r>
          </w:p>
        </w:tc>
        <w:tc>
          <w:tcPr>
            <w:tcW w:w="1260" w:type="dxa"/>
          </w:tcPr>
          <w:p>
            <w:pPr>
              <w:pStyle w:val="TableParagraph"/>
              <w:rPr>
                <w:rFonts w:ascii="黑体"/>
                <w:sz w:val="20"/>
              </w:rPr>
            </w:pPr>
          </w:p>
          <w:p>
            <w:pPr>
              <w:pStyle w:val="TableParagraph"/>
              <w:spacing w:before="176"/>
              <w:ind w:left="154" w:right="155"/>
              <w:jc w:val="center"/>
              <w:rPr>
                <w:sz w:val="20"/>
              </w:rPr>
            </w:pPr>
            <w:r>
              <w:rPr>
                <w:sz w:val="20"/>
              </w:rPr>
              <w:t>2017</w:t>
            </w:r>
          </w:p>
        </w:tc>
        <w:tc>
          <w:tcPr>
            <w:tcW w:w="3768" w:type="dxa"/>
          </w:tcPr>
          <w:p>
            <w:pPr>
              <w:pStyle w:val="TableParagraph"/>
              <w:spacing w:before="11"/>
              <w:rPr>
                <w:rFonts w:ascii="黑体"/>
                <w:sz w:val="13"/>
              </w:rPr>
            </w:pPr>
          </w:p>
          <w:p>
            <w:pPr>
              <w:pStyle w:val="TableParagraph"/>
              <w:spacing w:line="237" w:lineRule="auto"/>
              <w:ind w:left="102" w:right="101" w:hanging="2"/>
              <w:jc w:val="center"/>
              <w:rPr>
                <w:sz w:val="20"/>
              </w:rPr>
            </w:pPr>
            <w:r>
              <w:rPr>
                <w:spacing w:val="-5"/>
                <w:sz w:val="20"/>
              </w:rPr>
              <w:t>建成高标准基本农田面积 </w:t>
            </w:r>
            <w:r>
              <w:rPr>
                <w:sz w:val="20"/>
              </w:rPr>
              <w:t>3.06</w:t>
            </w:r>
            <w:r>
              <w:rPr>
                <w:spacing w:val="-12"/>
                <w:sz w:val="20"/>
              </w:rPr>
              <w:t> 万亩，农</w:t>
            </w:r>
            <w:r>
              <w:rPr>
                <w:spacing w:val="-5"/>
                <w:sz w:val="20"/>
              </w:rPr>
              <w:t>田水利基础设施建设和维护，田间耕作道路修建</w:t>
            </w:r>
          </w:p>
        </w:tc>
        <w:tc>
          <w:tcPr>
            <w:tcW w:w="1116" w:type="dxa"/>
          </w:tcPr>
          <w:p>
            <w:pPr>
              <w:pStyle w:val="TableParagraph"/>
              <w:rPr>
                <w:rFonts w:ascii="黑体"/>
                <w:sz w:val="20"/>
              </w:rPr>
            </w:pPr>
          </w:p>
          <w:p>
            <w:pPr>
              <w:pStyle w:val="TableParagraph"/>
              <w:spacing w:before="176"/>
              <w:ind w:left="182" w:right="183"/>
              <w:jc w:val="center"/>
              <w:rPr>
                <w:sz w:val="20"/>
              </w:rPr>
            </w:pPr>
            <w:r>
              <w:rPr>
                <w:sz w:val="20"/>
              </w:rPr>
              <w:t>919</w:t>
            </w:r>
          </w:p>
        </w:tc>
        <w:tc>
          <w:tcPr>
            <w:tcW w:w="1087" w:type="dxa"/>
          </w:tcPr>
          <w:p>
            <w:pPr>
              <w:pStyle w:val="TableParagraph"/>
              <w:spacing w:before="10"/>
              <w:rPr>
                <w:rFonts w:ascii="黑体"/>
                <w:sz w:val="23"/>
              </w:rPr>
            </w:pPr>
          </w:p>
          <w:p>
            <w:pPr>
              <w:pStyle w:val="TableParagraph"/>
              <w:spacing w:line="237" w:lineRule="auto"/>
              <w:ind w:left="338" w:right="119" w:hanging="200"/>
              <w:rPr>
                <w:sz w:val="20"/>
              </w:rPr>
            </w:pPr>
            <w:r>
              <w:rPr>
                <w:sz w:val="20"/>
              </w:rPr>
              <w:t>国土资源分局</w:t>
            </w:r>
          </w:p>
        </w:tc>
      </w:tr>
      <w:tr>
        <w:trPr>
          <w:trHeight w:val="900" w:hRule="atLeast"/>
        </w:trPr>
        <w:tc>
          <w:tcPr>
            <w:tcW w:w="544" w:type="dxa"/>
          </w:tcPr>
          <w:p>
            <w:pPr>
              <w:pStyle w:val="TableParagraph"/>
              <w:rPr>
                <w:rFonts w:ascii="黑体"/>
                <w:sz w:val="22"/>
              </w:rPr>
            </w:pPr>
          </w:p>
          <w:p>
            <w:pPr>
              <w:pStyle w:val="TableParagraph"/>
              <w:ind w:right="215"/>
              <w:jc w:val="right"/>
              <w:rPr>
                <w:sz w:val="20"/>
              </w:rPr>
            </w:pPr>
            <w:r>
              <w:rPr>
                <w:w w:val="100"/>
                <w:sz w:val="20"/>
              </w:rPr>
              <w:t>9</w:t>
            </w:r>
          </w:p>
        </w:tc>
        <w:tc>
          <w:tcPr>
            <w:tcW w:w="2160" w:type="dxa"/>
          </w:tcPr>
          <w:p>
            <w:pPr>
              <w:pStyle w:val="TableParagraph"/>
              <w:spacing w:line="237" w:lineRule="auto" w:before="31"/>
              <w:ind w:left="46" w:right="43"/>
              <w:jc w:val="center"/>
              <w:rPr>
                <w:sz w:val="20"/>
              </w:rPr>
            </w:pPr>
            <w:r>
              <w:rPr>
                <w:sz w:val="20"/>
              </w:rPr>
              <w:t>石麟镇共同村、水保源村、阳光村、杨林坳村土地整理项目</w:t>
            </w:r>
          </w:p>
        </w:tc>
        <w:tc>
          <w:tcPr>
            <w:tcW w:w="1260" w:type="dxa"/>
          </w:tcPr>
          <w:p>
            <w:pPr>
              <w:pStyle w:val="TableParagraph"/>
              <w:rPr>
                <w:rFonts w:ascii="黑体"/>
                <w:sz w:val="22"/>
              </w:rPr>
            </w:pPr>
          </w:p>
          <w:p>
            <w:pPr>
              <w:pStyle w:val="TableParagraph"/>
              <w:ind w:left="154" w:right="155"/>
              <w:jc w:val="center"/>
              <w:rPr>
                <w:sz w:val="20"/>
              </w:rPr>
            </w:pPr>
            <w:r>
              <w:rPr>
                <w:sz w:val="20"/>
              </w:rPr>
              <w:t>2016</w:t>
            </w:r>
          </w:p>
        </w:tc>
        <w:tc>
          <w:tcPr>
            <w:tcW w:w="3768" w:type="dxa"/>
          </w:tcPr>
          <w:p>
            <w:pPr>
              <w:pStyle w:val="TableParagraph"/>
              <w:spacing w:line="237" w:lineRule="auto" w:before="161"/>
              <w:ind w:left="477" w:right="36" w:hanging="350"/>
              <w:rPr>
                <w:sz w:val="20"/>
              </w:rPr>
            </w:pPr>
            <w:r>
              <w:rPr>
                <w:spacing w:val="-11"/>
                <w:sz w:val="20"/>
              </w:rPr>
              <w:t>整理土地 </w:t>
            </w:r>
            <w:r>
              <w:rPr>
                <w:sz w:val="20"/>
              </w:rPr>
              <w:t>1.23</w:t>
            </w:r>
            <w:r>
              <w:rPr>
                <w:spacing w:val="-8"/>
                <w:sz w:val="20"/>
              </w:rPr>
              <w:t> 万亩，农田水利基础设施</w:t>
            </w:r>
            <w:r>
              <w:rPr>
                <w:spacing w:val="-1"/>
                <w:sz w:val="20"/>
              </w:rPr>
              <w:t>建设和维护，田间耕作道路修建</w:t>
            </w:r>
          </w:p>
        </w:tc>
        <w:tc>
          <w:tcPr>
            <w:tcW w:w="1116" w:type="dxa"/>
          </w:tcPr>
          <w:p>
            <w:pPr>
              <w:pStyle w:val="TableParagraph"/>
              <w:rPr>
                <w:rFonts w:ascii="黑体"/>
                <w:sz w:val="22"/>
              </w:rPr>
            </w:pPr>
          </w:p>
          <w:p>
            <w:pPr>
              <w:pStyle w:val="TableParagraph"/>
              <w:ind w:left="182" w:right="183"/>
              <w:jc w:val="center"/>
              <w:rPr>
                <w:sz w:val="20"/>
              </w:rPr>
            </w:pPr>
            <w:r>
              <w:rPr>
                <w:sz w:val="20"/>
              </w:rPr>
              <w:t>1291</w:t>
            </w:r>
          </w:p>
        </w:tc>
        <w:tc>
          <w:tcPr>
            <w:tcW w:w="1087" w:type="dxa"/>
          </w:tcPr>
          <w:p>
            <w:pPr>
              <w:pStyle w:val="TableParagraph"/>
              <w:spacing w:line="237" w:lineRule="auto" w:before="161"/>
              <w:ind w:left="338" w:right="119" w:hanging="200"/>
              <w:rPr>
                <w:sz w:val="20"/>
              </w:rPr>
            </w:pPr>
            <w:r>
              <w:rPr>
                <w:sz w:val="20"/>
              </w:rPr>
              <w:t>国土资源分局</w:t>
            </w:r>
          </w:p>
        </w:tc>
      </w:tr>
      <w:tr>
        <w:trPr>
          <w:trHeight w:val="1020" w:hRule="atLeast"/>
        </w:trPr>
        <w:tc>
          <w:tcPr>
            <w:tcW w:w="544" w:type="dxa"/>
          </w:tcPr>
          <w:p>
            <w:pPr>
              <w:pStyle w:val="TableParagraph"/>
              <w:spacing w:before="4"/>
              <w:rPr>
                <w:rFonts w:ascii="黑体"/>
                <w:sz w:val="27"/>
              </w:rPr>
            </w:pPr>
          </w:p>
          <w:p>
            <w:pPr>
              <w:pStyle w:val="TableParagraph"/>
              <w:ind w:right="164"/>
              <w:jc w:val="right"/>
              <w:rPr>
                <w:sz w:val="20"/>
              </w:rPr>
            </w:pPr>
            <w:r>
              <w:rPr>
                <w:sz w:val="20"/>
              </w:rPr>
              <w:t>10</w:t>
            </w:r>
          </w:p>
        </w:tc>
        <w:tc>
          <w:tcPr>
            <w:tcW w:w="2160" w:type="dxa"/>
          </w:tcPr>
          <w:p>
            <w:pPr>
              <w:pStyle w:val="TableParagraph"/>
              <w:spacing w:line="237" w:lineRule="auto" w:before="101"/>
              <w:ind w:left="47" w:right="43"/>
              <w:jc w:val="center"/>
              <w:rPr>
                <w:sz w:val="20"/>
              </w:rPr>
            </w:pPr>
            <w:r>
              <w:rPr>
                <w:sz w:val="20"/>
              </w:rPr>
              <w:t>石麟镇马儿石村、大桥村、张坳口村、碗厂村土地整理项目</w:t>
            </w:r>
          </w:p>
        </w:tc>
        <w:tc>
          <w:tcPr>
            <w:tcW w:w="1260" w:type="dxa"/>
          </w:tcPr>
          <w:p>
            <w:pPr>
              <w:pStyle w:val="TableParagraph"/>
              <w:spacing w:before="4"/>
              <w:rPr>
                <w:rFonts w:ascii="黑体"/>
                <w:sz w:val="27"/>
              </w:rPr>
            </w:pPr>
          </w:p>
          <w:p>
            <w:pPr>
              <w:pStyle w:val="TableParagraph"/>
              <w:ind w:left="154" w:right="154"/>
              <w:jc w:val="center"/>
              <w:rPr>
                <w:sz w:val="20"/>
              </w:rPr>
            </w:pPr>
            <w:r>
              <w:rPr>
                <w:sz w:val="20"/>
              </w:rPr>
              <w:t>2017-2020</w:t>
            </w:r>
          </w:p>
        </w:tc>
        <w:tc>
          <w:tcPr>
            <w:tcW w:w="3768" w:type="dxa"/>
          </w:tcPr>
          <w:p>
            <w:pPr>
              <w:pStyle w:val="TableParagraph"/>
              <w:spacing w:before="8"/>
              <w:rPr>
                <w:rFonts w:ascii="黑体"/>
                <w:sz w:val="17"/>
              </w:rPr>
            </w:pPr>
          </w:p>
          <w:p>
            <w:pPr>
              <w:pStyle w:val="TableParagraph"/>
              <w:spacing w:line="237" w:lineRule="auto"/>
              <w:ind w:left="477" w:right="36" w:hanging="350"/>
              <w:rPr>
                <w:sz w:val="20"/>
              </w:rPr>
            </w:pPr>
            <w:r>
              <w:rPr>
                <w:spacing w:val="-11"/>
                <w:sz w:val="20"/>
              </w:rPr>
              <w:t>整理土地 </w:t>
            </w:r>
            <w:r>
              <w:rPr>
                <w:sz w:val="20"/>
              </w:rPr>
              <w:t>1.01</w:t>
            </w:r>
            <w:r>
              <w:rPr>
                <w:spacing w:val="-8"/>
                <w:sz w:val="20"/>
              </w:rPr>
              <w:t> 万亩，农田水利基础设施</w:t>
            </w:r>
            <w:r>
              <w:rPr>
                <w:spacing w:val="-1"/>
                <w:sz w:val="20"/>
              </w:rPr>
              <w:t>建设和维护，田间耕作道路修建</w:t>
            </w:r>
          </w:p>
        </w:tc>
        <w:tc>
          <w:tcPr>
            <w:tcW w:w="1116" w:type="dxa"/>
          </w:tcPr>
          <w:p>
            <w:pPr>
              <w:pStyle w:val="TableParagraph"/>
              <w:spacing w:before="4"/>
              <w:rPr>
                <w:rFonts w:ascii="黑体"/>
                <w:sz w:val="27"/>
              </w:rPr>
            </w:pPr>
          </w:p>
          <w:p>
            <w:pPr>
              <w:pStyle w:val="TableParagraph"/>
              <w:ind w:left="182" w:right="183"/>
              <w:jc w:val="center"/>
              <w:rPr>
                <w:sz w:val="20"/>
              </w:rPr>
            </w:pPr>
            <w:r>
              <w:rPr>
                <w:sz w:val="20"/>
              </w:rPr>
              <w:t>1168</w:t>
            </w:r>
          </w:p>
        </w:tc>
        <w:tc>
          <w:tcPr>
            <w:tcW w:w="1087" w:type="dxa"/>
          </w:tcPr>
          <w:p>
            <w:pPr>
              <w:pStyle w:val="TableParagraph"/>
              <w:spacing w:before="8"/>
              <w:rPr>
                <w:rFonts w:ascii="黑体"/>
                <w:sz w:val="17"/>
              </w:rPr>
            </w:pPr>
          </w:p>
          <w:p>
            <w:pPr>
              <w:pStyle w:val="TableParagraph"/>
              <w:spacing w:line="237" w:lineRule="auto"/>
              <w:ind w:left="338" w:right="119" w:hanging="200"/>
              <w:rPr>
                <w:sz w:val="20"/>
              </w:rPr>
            </w:pPr>
            <w:r>
              <w:rPr>
                <w:sz w:val="20"/>
              </w:rPr>
              <w:t>国土资源分局</w:t>
            </w:r>
          </w:p>
        </w:tc>
      </w:tr>
      <w:tr>
        <w:trPr>
          <w:trHeight w:val="920" w:hRule="atLeast"/>
        </w:trPr>
        <w:tc>
          <w:tcPr>
            <w:tcW w:w="544" w:type="dxa"/>
          </w:tcPr>
          <w:p>
            <w:pPr>
              <w:pStyle w:val="TableParagraph"/>
              <w:rPr>
                <w:rFonts w:ascii="黑体"/>
                <w:sz w:val="23"/>
              </w:rPr>
            </w:pPr>
          </w:p>
          <w:p>
            <w:pPr>
              <w:pStyle w:val="TableParagraph"/>
              <w:ind w:right="164"/>
              <w:jc w:val="right"/>
              <w:rPr>
                <w:sz w:val="20"/>
              </w:rPr>
            </w:pPr>
            <w:r>
              <w:rPr>
                <w:sz w:val="20"/>
              </w:rPr>
              <w:t>11</w:t>
            </w:r>
          </w:p>
        </w:tc>
        <w:tc>
          <w:tcPr>
            <w:tcW w:w="2160" w:type="dxa"/>
          </w:tcPr>
          <w:p>
            <w:pPr>
              <w:pStyle w:val="TableParagraph"/>
              <w:spacing w:line="237" w:lineRule="auto" w:before="174"/>
              <w:ind w:left="674" w:right="156" w:hanging="500"/>
              <w:rPr>
                <w:sz w:val="20"/>
              </w:rPr>
            </w:pPr>
            <w:r>
              <w:rPr>
                <w:sz w:val="20"/>
              </w:rPr>
              <w:t>五通桥区城乡供水一体化工程</w:t>
            </w:r>
          </w:p>
        </w:tc>
        <w:tc>
          <w:tcPr>
            <w:tcW w:w="1260" w:type="dxa"/>
          </w:tcPr>
          <w:p>
            <w:pPr>
              <w:pStyle w:val="TableParagraph"/>
              <w:rPr>
                <w:rFonts w:ascii="黑体"/>
                <w:sz w:val="23"/>
              </w:rPr>
            </w:pPr>
          </w:p>
          <w:p>
            <w:pPr>
              <w:pStyle w:val="TableParagraph"/>
              <w:ind w:left="154" w:right="154"/>
              <w:jc w:val="center"/>
              <w:rPr>
                <w:sz w:val="20"/>
              </w:rPr>
            </w:pPr>
            <w:r>
              <w:rPr>
                <w:sz w:val="20"/>
              </w:rPr>
              <w:t>2016-2020</w:t>
            </w:r>
          </w:p>
        </w:tc>
        <w:tc>
          <w:tcPr>
            <w:tcW w:w="3768" w:type="dxa"/>
          </w:tcPr>
          <w:p>
            <w:pPr>
              <w:pStyle w:val="TableParagraph"/>
              <w:rPr>
                <w:rFonts w:ascii="黑体"/>
                <w:sz w:val="23"/>
              </w:rPr>
            </w:pPr>
          </w:p>
          <w:p>
            <w:pPr>
              <w:pStyle w:val="TableParagraph"/>
              <w:ind w:left="8" w:right="7"/>
              <w:jc w:val="center"/>
              <w:rPr>
                <w:sz w:val="20"/>
              </w:rPr>
            </w:pPr>
            <w:r>
              <w:rPr>
                <w:sz w:val="20"/>
              </w:rPr>
              <w:t>对城乡主要水厂进行联通，扩容，升级等</w:t>
            </w:r>
          </w:p>
        </w:tc>
        <w:tc>
          <w:tcPr>
            <w:tcW w:w="1116" w:type="dxa"/>
          </w:tcPr>
          <w:p>
            <w:pPr>
              <w:pStyle w:val="TableParagraph"/>
              <w:rPr>
                <w:rFonts w:ascii="黑体"/>
                <w:sz w:val="23"/>
              </w:rPr>
            </w:pPr>
          </w:p>
          <w:p>
            <w:pPr>
              <w:pStyle w:val="TableParagraph"/>
              <w:ind w:left="182" w:right="183"/>
              <w:jc w:val="center"/>
              <w:rPr>
                <w:sz w:val="20"/>
              </w:rPr>
            </w:pPr>
            <w:r>
              <w:rPr>
                <w:sz w:val="20"/>
              </w:rPr>
              <w:t>5000</w:t>
            </w:r>
          </w:p>
        </w:tc>
        <w:tc>
          <w:tcPr>
            <w:tcW w:w="1087" w:type="dxa"/>
          </w:tcPr>
          <w:p>
            <w:pPr>
              <w:pStyle w:val="TableParagraph"/>
              <w:spacing w:line="237" w:lineRule="auto" w:before="174"/>
              <w:ind w:left="338" w:right="119" w:hanging="200"/>
              <w:rPr>
                <w:sz w:val="20"/>
              </w:rPr>
            </w:pPr>
            <w:r>
              <w:rPr>
                <w:sz w:val="20"/>
              </w:rPr>
              <w:t>水务和林业局</w:t>
            </w:r>
          </w:p>
        </w:tc>
      </w:tr>
    </w:tbl>
    <w:p>
      <w:pPr>
        <w:spacing w:after="0" w:line="237" w:lineRule="auto"/>
        <w:rPr>
          <w:sz w:val="20"/>
        </w:rPr>
        <w:sectPr>
          <w:pgSz w:w="11910" w:h="16840"/>
          <w:pgMar w:header="0" w:footer="998" w:top="1460" w:bottom="1120" w:left="880" w:right="860"/>
        </w:sectPr>
      </w:pPr>
    </w:p>
    <w:tbl>
      <w:tblPr>
        <w:tblW w:w="0" w:type="auto"/>
        <w:jc w:val="left"/>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44"/>
        <w:gridCol w:w="2160"/>
        <w:gridCol w:w="1260"/>
        <w:gridCol w:w="3768"/>
        <w:gridCol w:w="1116"/>
        <w:gridCol w:w="1087"/>
      </w:tblGrid>
      <w:tr>
        <w:trPr>
          <w:trHeight w:val="1280" w:hRule="atLeast"/>
        </w:trPr>
        <w:tc>
          <w:tcPr>
            <w:tcW w:w="544" w:type="dxa"/>
          </w:tcPr>
          <w:p>
            <w:pPr>
              <w:pStyle w:val="TableParagraph"/>
              <w:rPr>
                <w:rFonts w:ascii="黑体"/>
                <w:sz w:val="20"/>
              </w:rPr>
            </w:pPr>
          </w:p>
          <w:p>
            <w:pPr>
              <w:pStyle w:val="TableParagraph"/>
              <w:spacing w:before="2"/>
              <w:rPr>
                <w:rFonts w:ascii="黑体"/>
                <w:sz w:val="17"/>
              </w:rPr>
            </w:pPr>
          </w:p>
          <w:p>
            <w:pPr>
              <w:pStyle w:val="TableParagraph"/>
              <w:ind w:left="145" w:right="146"/>
              <w:jc w:val="center"/>
              <w:rPr>
                <w:sz w:val="20"/>
              </w:rPr>
            </w:pPr>
            <w:r>
              <w:rPr>
                <w:sz w:val="20"/>
              </w:rPr>
              <w:t>12</w:t>
            </w:r>
          </w:p>
        </w:tc>
        <w:tc>
          <w:tcPr>
            <w:tcW w:w="2160" w:type="dxa"/>
          </w:tcPr>
          <w:p>
            <w:pPr>
              <w:pStyle w:val="TableParagraph"/>
              <w:spacing w:before="5"/>
              <w:rPr>
                <w:rFonts w:ascii="黑体"/>
                <w:sz w:val="27"/>
              </w:rPr>
            </w:pPr>
          </w:p>
          <w:p>
            <w:pPr>
              <w:pStyle w:val="TableParagraph"/>
              <w:spacing w:line="237" w:lineRule="auto" w:before="1"/>
              <w:ind w:left="374" w:right="156" w:hanging="200"/>
              <w:rPr>
                <w:sz w:val="20"/>
              </w:rPr>
            </w:pPr>
            <w:r>
              <w:rPr>
                <w:sz w:val="20"/>
              </w:rPr>
              <w:t>泊滩堰灌区车子至冠英流域整治工程</w:t>
            </w:r>
          </w:p>
        </w:tc>
        <w:tc>
          <w:tcPr>
            <w:tcW w:w="1260" w:type="dxa"/>
          </w:tcPr>
          <w:p>
            <w:pPr>
              <w:pStyle w:val="TableParagraph"/>
              <w:rPr>
                <w:rFonts w:ascii="黑体"/>
                <w:sz w:val="20"/>
              </w:rPr>
            </w:pPr>
          </w:p>
          <w:p>
            <w:pPr>
              <w:pStyle w:val="TableParagraph"/>
              <w:spacing w:before="2"/>
              <w:rPr>
                <w:rFonts w:ascii="黑体"/>
                <w:sz w:val="17"/>
              </w:rPr>
            </w:pPr>
          </w:p>
          <w:p>
            <w:pPr>
              <w:pStyle w:val="TableParagraph"/>
              <w:ind w:left="154" w:right="154"/>
              <w:jc w:val="center"/>
              <w:rPr>
                <w:sz w:val="20"/>
              </w:rPr>
            </w:pPr>
            <w:r>
              <w:rPr>
                <w:sz w:val="20"/>
              </w:rPr>
              <w:t>2017-2020</w:t>
            </w:r>
          </w:p>
        </w:tc>
        <w:tc>
          <w:tcPr>
            <w:tcW w:w="3768" w:type="dxa"/>
          </w:tcPr>
          <w:p>
            <w:pPr>
              <w:pStyle w:val="TableParagraph"/>
              <w:spacing w:before="3"/>
              <w:rPr>
                <w:rFonts w:ascii="黑体"/>
                <w:sz w:val="27"/>
              </w:rPr>
            </w:pPr>
          </w:p>
          <w:p>
            <w:pPr>
              <w:pStyle w:val="TableParagraph"/>
              <w:spacing w:line="260" w:lineRule="exact"/>
              <w:ind w:left="58" w:right="58"/>
              <w:jc w:val="center"/>
              <w:rPr>
                <w:sz w:val="20"/>
              </w:rPr>
            </w:pPr>
            <w:r>
              <w:rPr>
                <w:spacing w:val="-26"/>
                <w:sz w:val="20"/>
              </w:rPr>
              <w:t>长 </w:t>
            </w:r>
            <w:r>
              <w:rPr>
                <w:sz w:val="20"/>
              </w:rPr>
              <w:t>8.17</w:t>
            </w:r>
            <w:r>
              <w:rPr>
                <w:spacing w:val="-19"/>
                <w:sz w:val="20"/>
              </w:rPr>
              <w:t> 公里，用地红线 </w:t>
            </w:r>
            <w:r>
              <w:rPr>
                <w:sz w:val="20"/>
              </w:rPr>
              <w:t>50</w:t>
            </w:r>
            <w:r>
              <w:rPr>
                <w:spacing w:val="-23"/>
                <w:sz w:val="20"/>
              </w:rPr>
              <w:t> 米，沟宽约 </w:t>
            </w:r>
            <w:r>
              <w:rPr>
                <w:sz w:val="20"/>
              </w:rPr>
              <w:t>20</w:t>
            </w:r>
          </w:p>
          <w:p>
            <w:pPr>
              <w:pStyle w:val="TableParagraph"/>
              <w:spacing w:line="260" w:lineRule="exact"/>
              <w:ind w:left="57" w:right="58"/>
              <w:jc w:val="center"/>
              <w:rPr>
                <w:sz w:val="20"/>
              </w:rPr>
            </w:pPr>
            <w:r>
              <w:rPr>
                <w:sz w:val="20"/>
              </w:rPr>
              <w:t>米，绿化宽约 30 米</w:t>
            </w:r>
          </w:p>
        </w:tc>
        <w:tc>
          <w:tcPr>
            <w:tcW w:w="1116" w:type="dxa"/>
          </w:tcPr>
          <w:p>
            <w:pPr>
              <w:pStyle w:val="TableParagraph"/>
              <w:rPr>
                <w:rFonts w:ascii="黑体"/>
                <w:sz w:val="20"/>
              </w:rPr>
            </w:pPr>
          </w:p>
          <w:p>
            <w:pPr>
              <w:pStyle w:val="TableParagraph"/>
              <w:spacing w:before="2"/>
              <w:rPr>
                <w:rFonts w:ascii="黑体"/>
                <w:sz w:val="17"/>
              </w:rPr>
            </w:pPr>
          </w:p>
          <w:p>
            <w:pPr>
              <w:pStyle w:val="TableParagraph"/>
              <w:ind w:left="183" w:right="183"/>
              <w:jc w:val="center"/>
              <w:rPr>
                <w:sz w:val="20"/>
              </w:rPr>
            </w:pPr>
            <w:r>
              <w:rPr>
                <w:sz w:val="20"/>
              </w:rPr>
              <w:t>26500</w:t>
            </w:r>
          </w:p>
        </w:tc>
        <w:tc>
          <w:tcPr>
            <w:tcW w:w="1087" w:type="dxa"/>
          </w:tcPr>
          <w:p>
            <w:pPr>
              <w:pStyle w:val="TableParagraph"/>
              <w:spacing w:line="228" w:lineRule="exact"/>
              <w:ind w:left="118" w:right="116"/>
              <w:jc w:val="center"/>
              <w:rPr>
                <w:sz w:val="20"/>
              </w:rPr>
            </w:pPr>
            <w:r>
              <w:rPr>
                <w:sz w:val="20"/>
              </w:rPr>
              <w:t>水务和林</w:t>
            </w:r>
          </w:p>
          <w:p>
            <w:pPr>
              <w:pStyle w:val="TableParagraph"/>
              <w:spacing w:line="237" w:lineRule="auto" w:before="1"/>
              <w:ind w:left="138" w:right="134" w:hanging="1"/>
              <w:jc w:val="center"/>
              <w:rPr>
                <w:sz w:val="20"/>
              </w:rPr>
            </w:pPr>
            <w:r>
              <w:rPr>
                <w:sz w:val="20"/>
              </w:rPr>
              <w:t>业局/乐山三江临港经济开发区</w:t>
            </w:r>
          </w:p>
        </w:tc>
      </w:tr>
      <w:tr>
        <w:trPr>
          <w:trHeight w:val="760" w:hRule="atLeast"/>
        </w:trPr>
        <w:tc>
          <w:tcPr>
            <w:tcW w:w="544" w:type="dxa"/>
          </w:tcPr>
          <w:p>
            <w:pPr>
              <w:pStyle w:val="TableParagraph"/>
              <w:rPr>
                <w:rFonts w:ascii="黑体"/>
                <w:sz w:val="17"/>
              </w:rPr>
            </w:pPr>
          </w:p>
          <w:p>
            <w:pPr>
              <w:pStyle w:val="TableParagraph"/>
              <w:spacing w:before="1"/>
              <w:ind w:left="145" w:right="146"/>
              <w:jc w:val="center"/>
              <w:rPr>
                <w:sz w:val="20"/>
              </w:rPr>
            </w:pPr>
            <w:r>
              <w:rPr>
                <w:sz w:val="20"/>
              </w:rPr>
              <w:t>13</w:t>
            </w:r>
          </w:p>
        </w:tc>
        <w:tc>
          <w:tcPr>
            <w:tcW w:w="2160" w:type="dxa"/>
          </w:tcPr>
          <w:p>
            <w:pPr>
              <w:pStyle w:val="TableParagraph"/>
              <w:spacing w:line="237" w:lineRule="auto" w:before="96"/>
              <w:ind w:left="574" w:right="156" w:hanging="400"/>
              <w:rPr>
                <w:sz w:val="20"/>
              </w:rPr>
            </w:pPr>
            <w:r>
              <w:rPr>
                <w:sz w:val="20"/>
              </w:rPr>
              <w:t>茫溪河金山旧桥段防洪治理工程</w:t>
            </w:r>
          </w:p>
        </w:tc>
        <w:tc>
          <w:tcPr>
            <w:tcW w:w="1260" w:type="dxa"/>
          </w:tcPr>
          <w:p>
            <w:pPr>
              <w:pStyle w:val="TableParagraph"/>
              <w:rPr>
                <w:rFonts w:ascii="黑体"/>
                <w:sz w:val="17"/>
              </w:rPr>
            </w:pPr>
          </w:p>
          <w:p>
            <w:pPr>
              <w:pStyle w:val="TableParagraph"/>
              <w:spacing w:before="1"/>
              <w:ind w:left="154" w:right="155"/>
              <w:jc w:val="center"/>
              <w:rPr>
                <w:sz w:val="20"/>
              </w:rPr>
            </w:pPr>
            <w:r>
              <w:rPr>
                <w:sz w:val="20"/>
              </w:rPr>
              <w:t>2016</w:t>
            </w:r>
          </w:p>
        </w:tc>
        <w:tc>
          <w:tcPr>
            <w:tcW w:w="3768" w:type="dxa"/>
          </w:tcPr>
          <w:p>
            <w:pPr>
              <w:pStyle w:val="TableParagraph"/>
              <w:spacing w:line="237" w:lineRule="auto" w:before="96"/>
              <w:ind w:left="728" w:right="119" w:hanging="600"/>
              <w:rPr>
                <w:sz w:val="20"/>
              </w:rPr>
            </w:pPr>
            <w:r>
              <w:rPr>
                <w:spacing w:val="-11"/>
                <w:sz w:val="20"/>
              </w:rPr>
              <w:t>综合治理 </w:t>
            </w:r>
            <w:r>
              <w:rPr>
                <w:sz w:val="20"/>
              </w:rPr>
              <w:t>2.1km，</w:t>
            </w:r>
            <w:r>
              <w:rPr>
                <w:spacing w:val="-11"/>
                <w:sz w:val="20"/>
              </w:rPr>
              <w:t>其中新建 </w:t>
            </w:r>
            <w:r>
              <w:rPr>
                <w:sz w:val="20"/>
              </w:rPr>
              <w:t>1.831km，加</w:t>
            </w:r>
            <w:r>
              <w:rPr>
                <w:spacing w:val="-27"/>
                <w:sz w:val="20"/>
              </w:rPr>
              <w:t>固 </w:t>
            </w:r>
            <w:r>
              <w:rPr>
                <w:sz w:val="20"/>
              </w:rPr>
              <w:t>0.755km，</w:t>
            </w:r>
            <w:r>
              <w:rPr>
                <w:spacing w:val="-19"/>
                <w:sz w:val="20"/>
              </w:rPr>
              <w:t>疏浚 </w:t>
            </w:r>
            <w:r>
              <w:rPr>
                <w:sz w:val="20"/>
              </w:rPr>
              <w:t>2.1km。</w:t>
            </w:r>
          </w:p>
        </w:tc>
        <w:tc>
          <w:tcPr>
            <w:tcW w:w="1116" w:type="dxa"/>
          </w:tcPr>
          <w:p>
            <w:pPr>
              <w:pStyle w:val="TableParagraph"/>
              <w:rPr>
                <w:rFonts w:ascii="黑体"/>
                <w:sz w:val="17"/>
              </w:rPr>
            </w:pPr>
          </w:p>
          <w:p>
            <w:pPr>
              <w:pStyle w:val="TableParagraph"/>
              <w:spacing w:before="1"/>
              <w:ind w:left="182" w:right="183"/>
              <w:jc w:val="center"/>
              <w:rPr>
                <w:sz w:val="20"/>
              </w:rPr>
            </w:pPr>
            <w:r>
              <w:rPr>
                <w:sz w:val="20"/>
              </w:rPr>
              <w:t>1800</w:t>
            </w:r>
          </w:p>
        </w:tc>
        <w:tc>
          <w:tcPr>
            <w:tcW w:w="1087" w:type="dxa"/>
          </w:tcPr>
          <w:p>
            <w:pPr>
              <w:pStyle w:val="TableParagraph"/>
              <w:spacing w:line="237" w:lineRule="auto" w:before="96"/>
              <w:ind w:left="338" w:right="119" w:hanging="200"/>
              <w:rPr>
                <w:sz w:val="20"/>
              </w:rPr>
            </w:pPr>
            <w:r>
              <w:rPr>
                <w:sz w:val="20"/>
              </w:rPr>
              <w:t>水务和林业局</w:t>
            </w:r>
          </w:p>
        </w:tc>
      </w:tr>
      <w:tr>
        <w:trPr>
          <w:trHeight w:val="780" w:hRule="atLeast"/>
        </w:trPr>
        <w:tc>
          <w:tcPr>
            <w:tcW w:w="544" w:type="dxa"/>
          </w:tcPr>
          <w:p>
            <w:pPr>
              <w:pStyle w:val="TableParagraph"/>
              <w:spacing w:before="5"/>
              <w:rPr>
                <w:rFonts w:ascii="黑体"/>
                <w:sz w:val="17"/>
              </w:rPr>
            </w:pPr>
          </w:p>
          <w:p>
            <w:pPr>
              <w:pStyle w:val="TableParagraph"/>
              <w:ind w:left="145" w:right="146"/>
              <w:jc w:val="center"/>
              <w:rPr>
                <w:sz w:val="20"/>
              </w:rPr>
            </w:pPr>
            <w:r>
              <w:rPr>
                <w:sz w:val="20"/>
              </w:rPr>
              <w:t>14</w:t>
            </w:r>
          </w:p>
        </w:tc>
        <w:tc>
          <w:tcPr>
            <w:tcW w:w="2160" w:type="dxa"/>
          </w:tcPr>
          <w:p>
            <w:pPr>
              <w:pStyle w:val="TableParagraph"/>
              <w:spacing w:before="5"/>
              <w:rPr>
                <w:rFonts w:ascii="黑体"/>
                <w:sz w:val="17"/>
              </w:rPr>
            </w:pPr>
          </w:p>
          <w:p>
            <w:pPr>
              <w:pStyle w:val="TableParagraph"/>
              <w:ind w:left="43" w:right="43"/>
              <w:jc w:val="center"/>
              <w:rPr>
                <w:sz w:val="20"/>
              </w:rPr>
            </w:pPr>
            <w:r>
              <w:rPr>
                <w:sz w:val="20"/>
              </w:rPr>
              <w:t>茫溪河竹根段治理</w:t>
            </w:r>
          </w:p>
        </w:tc>
        <w:tc>
          <w:tcPr>
            <w:tcW w:w="1260" w:type="dxa"/>
          </w:tcPr>
          <w:p>
            <w:pPr>
              <w:pStyle w:val="TableParagraph"/>
              <w:spacing w:before="5"/>
              <w:rPr>
                <w:rFonts w:ascii="黑体"/>
                <w:sz w:val="17"/>
              </w:rPr>
            </w:pPr>
          </w:p>
          <w:p>
            <w:pPr>
              <w:pStyle w:val="TableParagraph"/>
              <w:ind w:left="154" w:right="155"/>
              <w:jc w:val="center"/>
              <w:rPr>
                <w:sz w:val="20"/>
              </w:rPr>
            </w:pPr>
            <w:r>
              <w:rPr>
                <w:sz w:val="20"/>
              </w:rPr>
              <w:t>2016</w:t>
            </w:r>
          </w:p>
        </w:tc>
        <w:tc>
          <w:tcPr>
            <w:tcW w:w="3768" w:type="dxa"/>
          </w:tcPr>
          <w:p>
            <w:pPr>
              <w:pStyle w:val="TableParagraph"/>
              <w:spacing w:line="237" w:lineRule="auto" w:before="101"/>
              <w:ind w:left="728" w:right="124" w:hanging="600"/>
              <w:rPr>
                <w:sz w:val="20"/>
              </w:rPr>
            </w:pPr>
            <w:r>
              <w:rPr>
                <w:spacing w:val="-11"/>
                <w:sz w:val="20"/>
              </w:rPr>
              <w:t>综合治理 </w:t>
            </w:r>
            <w:r>
              <w:rPr>
                <w:sz w:val="20"/>
              </w:rPr>
              <w:t>2.69km</w:t>
            </w:r>
            <w:r>
              <w:rPr>
                <w:spacing w:val="-10"/>
                <w:sz w:val="20"/>
              </w:rPr>
              <w:t>，其中新建 </w:t>
            </w:r>
            <w:r>
              <w:rPr>
                <w:sz w:val="20"/>
              </w:rPr>
              <w:t>0.75km，加</w:t>
            </w:r>
            <w:r>
              <w:rPr>
                <w:spacing w:val="-27"/>
                <w:sz w:val="20"/>
              </w:rPr>
              <w:t>固 </w:t>
            </w:r>
            <w:r>
              <w:rPr>
                <w:sz w:val="20"/>
              </w:rPr>
              <w:t>2.75km</w:t>
            </w:r>
            <w:r>
              <w:rPr>
                <w:spacing w:val="-14"/>
                <w:sz w:val="20"/>
              </w:rPr>
              <w:t>，疏浚 </w:t>
            </w:r>
            <w:r>
              <w:rPr>
                <w:sz w:val="20"/>
              </w:rPr>
              <w:t>2.69km。</w:t>
            </w:r>
          </w:p>
        </w:tc>
        <w:tc>
          <w:tcPr>
            <w:tcW w:w="1116" w:type="dxa"/>
          </w:tcPr>
          <w:p>
            <w:pPr>
              <w:pStyle w:val="TableParagraph"/>
              <w:spacing w:before="5"/>
              <w:rPr>
                <w:rFonts w:ascii="黑体"/>
                <w:sz w:val="17"/>
              </w:rPr>
            </w:pPr>
          </w:p>
          <w:p>
            <w:pPr>
              <w:pStyle w:val="TableParagraph"/>
              <w:ind w:left="182" w:right="183"/>
              <w:jc w:val="center"/>
              <w:rPr>
                <w:sz w:val="20"/>
              </w:rPr>
            </w:pPr>
            <w:r>
              <w:rPr>
                <w:sz w:val="20"/>
              </w:rPr>
              <w:t>2500</w:t>
            </w:r>
          </w:p>
        </w:tc>
        <w:tc>
          <w:tcPr>
            <w:tcW w:w="1087" w:type="dxa"/>
          </w:tcPr>
          <w:p>
            <w:pPr>
              <w:pStyle w:val="TableParagraph"/>
              <w:spacing w:line="237" w:lineRule="auto" w:before="101"/>
              <w:ind w:left="338" w:right="119" w:hanging="200"/>
              <w:rPr>
                <w:sz w:val="20"/>
              </w:rPr>
            </w:pPr>
            <w:r>
              <w:rPr>
                <w:sz w:val="20"/>
              </w:rPr>
              <w:t>水务和林业局</w:t>
            </w:r>
          </w:p>
        </w:tc>
      </w:tr>
      <w:tr>
        <w:trPr>
          <w:trHeight w:val="760" w:hRule="atLeast"/>
        </w:trPr>
        <w:tc>
          <w:tcPr>
            <w:tcW w:w="544" w:type="dxa"/>
          </w:tcPr>
          <w:p>
            <w:pPr>
              <w:pStyle w:val="TableParagraph"/>
              <w:spacing w:before="4"/>
              <w:rPr>
                <w:rFonts w:ascii="黑体"/>
                <w:sz w:val="17"/>
              </w:rPr>
            </w:pPr>
          </w:p>
          <w:p>
            <w:pPr>
              <w:pStyle w:val="TableParagraph"/>
              <w:ind w:left="145" w:right="146"/>
              <w:jc w:val="center"/>
              <w:rPr>
                <w:sz w:val="20"/>
              </w:rPr>
            </w:pPr>
            <w:r>
              <w:rPr>
                <w:sz w:val="20"/>
              </w:rPr>
              <w:t>15</w:t>
            </w:r>
          </w:p>
        </w:tc>
        <w:tc>
          <w:tcPr>
            <w:tcW w:w="2160" w:type="dxa"/>
          </w:tcPr>
          <w:p>
            <w:pPr>
              <w:pStyle w:val="TableParagraph"/>
              <w:spacing w:before="4"/>
              <w:rPr>
                <w:rFonts w:ascii="黑体"/>
                <w:sz w:val="17"/>
              </w:rPr>
            </w:pPr>
          </w:p>
          <w:p>
            <w:pPr>
              <w:pStyle w:val="TableParagraph"/>
              <w:ind w:left="42" w:right="43"/>
              <w:jc w:val="center"/>
              <w:rPr>
                <w:sz w:val="20"/>
              </w:rPr>
            </w:pPr>
            <w:r>
              <w:rPr>
                <w:sz w:val="20"/>
              </w:rPr>
              <w:t>沫溪河防洪治理工程</w:t>
            </w:r>
          </w:p>
        </w:tc>
        <w:tc>
          <w:tcPr>
            <w:tcW w:w="1260" w:type="dxa"/>
          </w:tcPr>
          <w:p>
            <w:pPr>
              <w:pStyle w:val="TableParagraph"/>
              <w:spacing w:before="4"/>
              <w:rPr>
                <w:rFonts w:ascii="黑体"/>
                <w:sz w:val="17"/>
              </w:rPr>
            </w:pPr>
          </w:p>
          <w:p>
            <w:pPr>
              <w:pStyle w:val="TableParagraph"/>
              <w:ind w:left="154" w:right="155"/>
              <w:jc w:val="center"/>
              <w:rPr>
                <w:sz w:val="20"/>
              </w:rPr>
            </w:pPr>
            <w:r>
              <w:rPr>
                <w:sz w:val="20"/>
              </w:rPr>
              <w:t>2016</w:t>
            </w:r>
          </w:p>
        </w:tc>
        <w:tc>
          <w:tcPr>
            <w:tcW w:w="3768" w:type="dxa"/>
          </w:tcPr>
          <w:p>
            <w:pPr>
              <w:pStyle w:val="TableParagraph"/>
              <w:spacing w:before="4"/>
              <w:rPr>
                <w:rFonts w:ascii="黑体"/>
                <w:sz w:val="17"/>
              </w:rPr>
            </w:pPr>
          </w:p>
          <w:p>
            <w:pPr>
              <w:pStyle w:val="TableParagraph"/>
              <w:ind w:left="57" w:right="58"/>
              <w:jc w:val="center"/>
              <w:rPr>
                <w:sz w:val="20"/>
              </w:rPr>
            </w:pPr>
            <w:r>
              <w:rPr>
                <w:sz w:val="20"/>
              </w:rPr>
              <w:t>综合治理 2.7km，其中新建 1.937km。</w:t>
            </w:r>
          </w:p>
        </w:tc>
        <w:tc>
          <w:tcPr>
            <w:tcW w:w="1116" w:type="dxa"/>
          </w:tcPr>
          <w:p>
            <w:pPr>
              <w:pStyle w:val="TableParagraph"/>
              <w:spacing w:before="4"/>
              <w:rPr>
                <w:rFonts w:ascii="黑体"/>
                <w:sz w:val="17"/>
              </w:rPr>
            </w:pPr>
          </w:p>
          <w:p>
            <w:pPr>
              <w:pStyle w:val="TableParagraph"/>
              <w:ind w:left="182" w:right="183"/>
              <w:jc w:val="center"/>
              <w:rPr>
                <w:sz w:val="20"/>
              </w:rPr>
            </w:pPr>
            <w:r>
              <w:rPr>
                <w:sz w:val="20"/>
              </w:rPr>
              <w:t>1900</w:t>
            </w:r>
          </w:p>
        </w:tc>
        <w:tc>
          <w:tcPr>
            <w:tcW w:w="1087" w:type="dxa"/>
          </w:tcPr>
          <w:p>
            <w:pPr>
              <w:pStyle w:val="TableParagraph"/>
              <w:spacing w:line="237" w:lineRule="auto" w:before="100"/>
              <w:ind w:left="338" w:right="119" w:hanging="200"/>
              <w:rPr>
                <w:sz w:val="20"/>
              </w:rPr>
            </w:pPr>
            <w:r>
              <w:rPr>
                <w:sz w:val="20"/>
              </w:rPr>
              <w:t>水务和林业局</w:t>
            </w:r>
          </w:p>
        </w:tc>
      </w:tr>
      <w:tr>
        <w:trPr>
          <w:trHeight w:val="740" w:hRule="atLeast"/>
        </w:trPr>
        <w:tc>
          <w:tcPr>
            <w:tcW w:w="544" w:type="dxa"/>
          </w:tcPr>
          <w:p>
            <w:pPr>
              <w:pStyle w:val="TableParagraph"/>
              <w:spacing w:before="2"/>
              <w:rPr>
                <w:rFonts w:ascii="黑体"/>
                <w:sz w:val="16"/>
              </w:rPr>
            </w:pPr>
          </w:p>
          <w:p>
            <w:pPr>
              <w:pStyle w:val="TableParagraph"/>
              <w:ind w:left="145" w:right="146"/>
              <w:jc w:val="center"/>
              <w:rPr>
                <w:sz w:val="20"/>
              </w:rPr>
            </w:pPr>
            <w:r>
              <w:rPr>
                <w:sz w:val="20"/>
              </w:rPr>
              <w:t>16</w:t>
            </w:r>
          </w:p>
        </w:tc>
        <w:tc>
          <w:tcPr>
            <w:tcW w:w="2160" w:type="dxa"/>
          </w:tcPr>
          <w:p>
            <w:pPr>
              <w:pStyle w:val="TableParagraph"/>
              <w:spacing w:line="237" w:lineRule="auto" w:before="84"/>
              <w:ind w:left="574" w:right="156" w:hanging="400"/>
              <w:rPr>
                <w:sz w:val="20"/>
              </w:rPr>
            </w:pPr>
            <w:r>
              <w:rPr>
                <w:sz w:val="20"/>
              </w:rPr>
              <w:t>五通桥区节水型示范区建设项目</w:t>
            </w:r>
          </w:p>
        </w:tc>
        <w:tc>
          <w:tcPr>
            <w:tcW w:w="1260" w:type="dxa"/>
          </w:tcPr>
          <w:p>
            <w:pPr>
              <w:pStyle w:val="TableParagraph"/>
              <w:spacing w:before="2"/>
              <w:rPr>
                <w:rFonts w:ascii="黑体"/>
                <w:sz w:val="16"/>
              </w:rPr>
            </w:pPr>
          </w:p>
          <w:p>
            <w:pPr>
              <w:pStyle w:val="TableParagraph"/>
              <w:ind w:left="154" w:right="155"/>
              <w:jc w:val="center"/>
              <w:rPr>
                <w:sz w:val="20"/>
              </w:rPr>
            </w:pPr>
            <w:r>
              <w:rPr>
                <w:sz w:val="20"/>
              </w:rPr>
              <w:t>2016</w:t>
            </w:r>
          </w:p>
        </w:tc>
        <w:tc>
          <w:tcPr>
            <w:tcW w:w="3768" w:type="dxa"/>
          </w:tcPr>
          <w:p>
            <w:pPr>
              <w:pStyle w:val="TableParagraph"/>
              <w:spacing w:line="237" w:lineRule="auto" w:before="84"/>
              <w:ind w:left="1476" w:right="161" w:hanging="1299"/>
              <w:rPr>
                <w:sz w:val="20"/>
              </w:rPr>
            </w:pPr>
            <w:r>
              <w:rPr>
                <w:sz w:val="20"/>
              </w:rPr>
              <w:t>通过工程措施和宣传手段达到节水型示范区标准</w:t>
            </w:r>
          </w:p>
        </w:tc>
        <w:tc>
          <w:tcPr>
            <w:tcW w:w="1116" w:type="dxa"/>
          </w:tcPr>
          <w:p>
            <w:pPr>
              <w:pStyle w:val="TableParagraph"/>
              <w:spacing w:before="2"/>
              <w:rPr>
                <w:rFonts w:ascii="黑体"/>
                <w:sz w:val="16"/>
              </w:rPr>
            </w:pPr>
          </w:p>
          <w:p>
            <w:pPr>
              <w:pStyle w:val="TableParagraph"/>
              <w:ind w:left="182" w:right="183"/>
              <w:jc w:val="center"/>
              <w:rPr>
                <w:sz w:val="20"/>
              </w:rPr>
            </w:pPr>
            <w:r>
              <w:rPr>
                <w:sz w:val="20"/>
              </w:rPr>
              <w:t>1500</w:t>
            </w:r>
          </w:p>
        </w:tc>
        <w:tc>
          <w:tcPr>
            <w:tcW w:w="1087" w:type="dxa"/>
          </w:tcPr>
          <w:p>
            <w:pPr>
              <w:pStyle w:val="TableParagraph"/>
              <w:spacing w:line="237" w:lineRule="auto" w:before="84"/>
              <w:ind w:left="338" w:right="119" w:hanging="200"/>
              <w:rPr>
                <w:sz w:val="20"/>
              </w:rPr>
            </w:pPr>
            <w:r>
              <w:rPr>
                <w:sz w:val="20"/>
              </w:rPr>
              <w:t>水务和林业局</w:t>
            </w:r>
          </w:p>
        </w:tc>
      </w:tr>
      <w:tr>
        <w:trPr>
          <w:trHeight w:val="620" w:hRule="atLeast"/>
        </w:trPr>
        <w:tc>
          <w:tcPr>
            <w:tcW w:w="544" w:type="dxa"/>
          </w:tcPr>
          <w:p>
            <w:pPr>
              <w:pStyle w:val="TableParagraph"/>
              <w:spacing w:before="152"/>
              <w:ind w:left="145" w:right="146"/>
              <w:jc w:val="center"/>
              <w:rPr>
                <w:sz w:val="20"/>
              </w:rPr>
            </w:pPr>
            <w:r>
              <w:rPr>
                <w:sz w:val="20"/>
              </w:rPr>
              <w:t>17</w:t>
            </w:r>
          </w:p>
        </w:tc>
        <w:tc>
          <w:tcPr>
            <w:tcW w:w="2160" w:type="dxa"/>
          </w:tcPr>
          <w:p>
            <w:pPr>
              <w:pStyle w:val="TableParagraph"/>
              <w:spacing w:before="152"/>
              <w:ind w:left="42" w:right="43"/>
              <w:jc w:val="center"/>
              <w:rPr>
                <w:sz w:val="20"/>
              </w:rPr>
            </w:pPr>
            <w:r>
              <w:rPr>
                <w:sz w:val="20"/>
              </w:rPr>
              <w:t>花溪沟山洪灾害防治</w:t>
            </w:r>
          </w:p>
        </w:tc>
        <w:tc>
          <w:tcPr>
            <w:tcW w:w="1260" w:type="dxa"/>
          </w:tcPr>
          <w:p>
            <w:pPr>
              <w:pStyle w:val="TableParagraph"/>
              <w:spacing w:before="152"/>
              <w:ind w:left="154" w:right="154"/>
              <w:jc w:val="center"/>
              <w:rPr>
                <w:sz w:val="20"/>
              </w:rPr>
            </w:pPr>
            <w:r>
              <w:rPr>
                <w:sz w:val="20"/>
              </w:rPr>
              <w:t>2016-2018</w:t>
            </w:r>
          </w:p>
        </w:tc>
        <w:tc>
          <w:tcPr>
            <w:tcW w:w="3768" w:type="dxa"/>
          </w:tcPr>
          <w:p>
            <w:pPr>
              <w:pStyle w:val="TableParagraph"/>
              <w:spacing w:before="152"/>
              <w:ind w:left="58" w:right="58"/>
              <w:jc w:val="center"/>
              <w:rPr>
                <w:sz w:val="20"/>
              </w:rPr>
            </w:pPr>
            <w:r>
              <w:rPr>
                <w:sz w:val="20"/>
              </w:rPr>
              <w:t>两岸新建堤防 6km，清淤 2.5km，p=10%</w:t>
            </w:r>
          </w:p>
        </w:tc>
        <w:tc>
          <w:tcPr>
            <w:tcW w:w="1116" w:type="dxa"/>
          </w:tcPr>
          <w:p>
            <w:pPr>
              <w:pStyle w:val="TableParagraph"/>
              <w:spacing w:before="152"/>
              <w:ind w:left="182" w:right="183"/>
              <w:jc w:val="center"/>
              <w:rPr>
                <w:sz w:val="20"/>
              </w:rPr>
            </w:pPr>
            <w:r>
              <w:rPr>
                <w:sz w:val="20"/>
              </w:rPr>
              <w:t>3200</w:t>
            </w:r>
          </w:p>
        </w:tc>
        <w:tc>
          <w:tcPr>
            <w:tcW w:w="1087" w:type="dxa"/>
          </w:tcPr>
          <w:p>
            <w:pPr>
              <w:pStyle w:val="TableParagraph"/>
              <w:spacing w:line="237" w:lineRule="auto" w:before="25"/>
              <w:ind w:left="338" w:right="119" w:hanging="200"/>
              <w:rPr>
                <w:sz w:val="20"/>
              </w:rPr>
            </w:pPr>
            <w:r>
              <w:rPr>
                <w:sz w:val="20"/>
              </w:rPr>
              <w:t>水务和林业局</w:t>
            </w:r>
          </w:p>
        </w:tc>
      </w:tr>
      <w:tr>
        <w:trPr>
          <w:trHeight w:val="600" w:hRule="atLeast"/>
        </w:trPr>
        <w:tc>
          <w:tcPr>
            <w:tcW w:w="544" w:type="dxa"/>
          </w:tcPr>
          <w:p>
            <w:pPr>
              <w:pStyle w:val="TableParagraph"/>
              <w:spacing w:before="144"/>
              <w:ind w:left="145" w:right="146"/>
              <w:jc w:val="center"/>
              <w:rPr>
                <w:sz w:val="20"/>
              </w:rPr>
            </w:pPr>
            <w:r>
              <w:rPr>
                <w:sz w:val="20"/>
              </w:rPr>
              <w:t>18</w:t>
            </w:r>
          </w:p>
        </w:tc>
        <w:tc>
          <w:tcPr>
            <w:tcW w:w="2160" w:type="dxa"/>
          </w:tcPr>
          <w:p>
            <w:pPr>
              <w:pStyle w:val="TableParagraph"/>
              <w:spacing w:before="144"/>
              <w:ind w:left="42" w:right="43"/>
              <w:jc w:val="center"/>
              <w:rPr>
                <w:sz w:val="20"/>
              </w:rPr>
            </w:pPr>
            <w:r>
              <w:rPr>
                <w:sz w:val="20"/>
              </w:rPr>
              <w:t>婆婆溪山洪灾害防治</w:t>
            </w:r>
          </w:p>
        </w:tc>
        <w:tc>
          <w:tcPr>
            <w:tcW w:w="1260" w:type="dxa"/>
          </w:tcPr>
          <w:p>
            <w:pPr>
              <w:pStyle w:val="TableParagraph"/>
              <w:spacing w:before="144"/>
              <w:ind w:left="154" w:right="154"/>
              <w:jc w:val="center"/>
              <w:rPr>
                <w:sz w:val="20"/>
              </w:rPr>
            </w:pPr>
            <w:r>
              <w:rPr>
                <w:sz w:val="20"/>
              </w:rPr>
              <w:t>2017-2019</w:t>
            </w:r>
          </w:p>
        </w:tc>
        <w:tc>
          <w:tcPr>
            <w:tcW w:w="3768" w:type="dxa"/>
          </w:tcPr>
          <w:p>
            <w:pPr>
              <w:pStyle w:val="TableParagraph"/>
              <w:spacing w:before="144"/>
              <w:ind w:left="7" w:right="8"/>
              <w:jc w:val="center"/>
              <w:rPr>
                <w:sz w:val="20"/>
              </w:rPr>
            </w:pPr>
            <w:r>
              <w:rPr>
                <w:sz w:val="20"/>
              </w:rPr>
              <w:t>两岸新建堤防 5.5km，清淤 1.8km，p=10%</w:t>
            </w:r>
          </w:p>
        </w:tc>
        <w:tc>
          <w:tcPr>
            <w:tcW w:w="1116" w:type="dxa"/>
          </w:tcPr>
          <w:p>
            <w:pPr>
              <w:pStyle w:val="TableParagraph"/>
              <w:spacing w:before="144"/>
              <w:ind w:left="182" w:right="183"/>
              <w:jc w:val="center"/>
              <w:rPr>
                <w:sz w:val="20"/>
              </w:rPr>
            </w:pPr>
            <w:r>
              <w:rPr>
                <w:sz w:val="20"/>
              </w:rPr>
              <w:t>3000</w:t>
            </w:r>
          </w:p>
        </w:tc>
        <w:tc>
          <w:tcPr>
            <w:tcW w:w="1087" w:type="dxa"/>
          </w:tcPr>
          <w:p>
            <w:pPr>
              <w:pStyle w:val="TableParagraph"/>
              <w:spacing w:line="237" w:lineRule="auto" w:before="17"/>
              <w:ind w:left="338" w:right="119" w:hanging="200"/>
              <w:rPr>
                <w:sz w:val="20"/>
              </w:rPr>
            </w:pPr>
            <w:r>
              <w:rPr>
                <w:sz w:val="20"/>
              </w:rPr>
              <w:t>水务和林业局</w:t>
            </w:r>
          </w:p>
        </w:tc>
      </w:tr>
      <w:tr>
        <w:trPr>
          <w:trHeight w:val="760" w:hRule="atLeast"/>
        </w:trPr>
        <w:tc>
          <w:tcPr>
            <w:tcW w:w="544" w:type="dxa"/>
          </w:tcPr>
          <w:p>
            <w:pPr>
              <w:pStyle w:val="TableParagraph"/>
              <w:spacing w:before="10"/>
              <w:rPr>
                <w:rFonts w:ascii="黑体"/>
                <w:sz w:val="16"/>
              </w:rPr>
            </w:pPr>
          </w:p>
          <w:p>
            <w:pPr>
              <w:pStyle w:val="TableParagraph"/>
              <w:ind w:left="145" w:right="146"/>
              <w:jc w:val="center"/>
              <w:rPr>
                <w:sz w:val="20"/>
              </w:rPr>
            </w:pPr>
            <w:r>
              <w:rPr>
                <w:sz w:val="20"/>
              </w:rPr>
              <w:t>19</w:t>
            </w:r>
          </w:p>
        </w:tc>
        <w:tc>
          <w:tcPr>
            <w:tcW w:w="2160" w:type="dxa"/>
          </w:tcPr>
          <w:p>
            <w:pPr>
              <w:pStyle w:val="TableParagraph"/>
              <w:spacing w:before="10"/>
              <w:rPr>
                <w:rFonts w:ascii="黑体"/>
                <w:sz w:val="16"/>
              </w:rPr>
            </w:pPr>
          </w:p>
          <w:p>
            <w:pPr>
              <w:pStyle w:val="TableParagraph"/>
              <w:ind w:left="42" w:right="43"/>
              <w:jc w:val="center"/>
              <w:rPr>
                <w:sz w:val="20"/>
              </w:rPr>
            </w:pPr>
            <w:r>
              <w:rPr>
                <w:sz w:val="20"/>
              </w:rPr>
              <w:t>印石沟山洪灾害防治</w:t>
            </w:r>
          </w:p>
        </w:tc>
        <w:tc>
          <w:tcPr>
            <w:tcW w:w="1260" w:type="dxa"/>
          </w:tcPr>
          <w:p>
            <w:pPr>
              <w:pStyle w:val="TableParagraph"/>
              <w:spacing w:before="10"/>
              <w:rPr>
                <w:rFonts w:ascii="黑体"/>
                <w:sz w:val="16"/>
              </w:rPr>
            </w:pPr>
          </w:p>
          <w:p>
            <w:pPr>
              <w:pStyle w:val="TableParagraph"/>
              <w:ind w:left="154" w:right="154"/>
              <w:jc w:val="center"/>
              <w:rPr>
                <w:sz w:val="20"/>
              </w:rPr>
            </w:pPr>
            <w:r>
              <w:rPr>
                <w:sz w:val="20"/>
              </w:rPr>
              <w:t>2017-2019</w:t>
            </w:r>
          </w:p>
        </w:tc>
        <w:tc>
          <w:tcPr>
            <w:tcW w:w="3768" w:type="dxa"/>
          </w:tcPr>
          <w:p>
            <w:pPr>
              <w:pStyle w:val="TableParagraph"/>
              <w:spacing w:before="10"/>
              <w:rPr>
                <w:rFonts w:ascii="黑体"/>
                <w:sz w:val="16"/>
              </w:rPr>
            </w:pPr>
          </w:p>
          <w:p>
            <w:pPr>
              <w:pStyle w:val="TableParagraph"/>
              <w:ind w:left="7" w:right="8"/>
              <w:jc w:val="center"/>
              <w:rPr>
                <w:sz w:val="20"/>
              </w:rPr>
            </w:pPr>
            <w:r>
              <w:rPr>
                <w:sz w:val="20"/>
              </w:rPr>
              <w:t>两岸新建堤防 5.5km，清淤 2.5km，p=10%</w:t>
            </w:r>
          </w:p>
        </w:tc>
        <w:tc>
          <w:tcPr>
            <w:tcW w:w="1116" w:type="dxa"/>
          </w:tcPr>
          <w:p>
            <w:pPr>
              <w:pStyle w:val="TableParagraph"/>
              <w:spacing w:before="10"/>
              <w:rPr>
                <w:rFonts w:ascii="黑体"/>
                <w:sz w:val="16"/>
              </w:rPr>
            </w:pPr>
          </w:p>
          <w:p>
            <w:pPr>
              <w:pStyle w:val="TableParagraph"/>
              <w:ind w:left="182" w:right="183"/>
              <w:jc w:val="center"/>
              <w:rPr>
                <w:sz w:val="20"/>
              </w:rPr>
            </w:pPr>
            <w:r>
              <w:rPr>
                <w:sz w:val="20"/>
              </w:rPr>
              <w:t>3000</w:t>
            </w:r>
          </w:p>
        </w:tc>
        <w:tc>
          <w:tcPr>
            <w:tcW w:w="1087" w:type="dxa"/>
          </w:tcPr>
          <w:p>
            <w:pPr>
              <w:pStyle w:val="TableParagraph"/>
              <w:spacing w:before="90"/>
              <w:ind w:left="338" w:right="119" w:hanging="200"/>
              <w:rPr>
                <w:sz w:val="20"/>
              </w:rPr>
            </w:pPr>
            <w:r>
              <w:rPr>
                <w:sz w:val="20"/>
              </w:rPr>
              <w:t>水务和林业局</w:t>
            </w:r>
          </w:p>
        </w:tc>
      </w:tr>
      <w:tr>
        <w:trPr>
          <w:trHeight w:val="600" w:hRule="atLeast"/>
        </w:trPr>
        <w:tc>
          <w:tcPr>
            <w:tcW w:w="544" w:type="dxa"/>
          </w:tcPr>
          <w:p>
            <w:pPr>
              <w:pStyle w:val="TableParagraph"/>
              <w:spacing w:before="146"/>
              <w:ind w:left="145" w:right="146"/>
              <w:jc w:val="center"/>
              <w:rPr>
                <w:sz w:val="20"/>
              </w:rPr>
            </w:pPr>
            <w:r>
              <w:rPr>
                <w:sz w:val="20"/>
              </w:rPr>
              <w:t>20</w:t>
            </w:r>
          </w:p>
        </w:tc>
        <w:tc>
          <w:tcPr>
            <w:tcW w:w="2160" w:type="dxa"/>
          </w:tcPr>
          <w:p>
            <w:pPr>
              <w:pStyle w:val="TableParagraph"/>
              <w:spacing w:before="146"/>
              <w:ind w:left="42" w:right="43"/>
              <w:jc w:val="center"/>
              <w:rPr>
                <w:sz w:val="20"/>
              </w:rPr>
            </w:pPr>
            <w:r>
              <w:rPr>
                <w:sz w:val="20"/>
              </w:rPr>
              <w:t>眠羊溪山洪灾害防治</w:t>
            </w:r>
          </w:p>
        </w:tc>
        <w:tc>
          <w:tcPr>
            <w:tcW w:w="1260" w:type="dxa"/>
          </w:tcPr>
          <w:p>
            <w:pPr>
              <w:pStyle w:val="TableParagraph"/>
              <w:spacing w:before="146"/>
              <w:ind w:left="154" w:right="154"/>
              <w:jc w:val="center"/>
              <w:rPr>
                <w:sz w:val="20"/>
              </w:rPr>
            </w:pPr>
            <w:r>
              <w:rPr>
                <w:sz w:val="20"/>
              </w:rPr>
              <w:t>2017-2019</w:t>
            </w:r>
          </w:p>
        </w:tc>
        <w:tc>
          <w:tcPr>
            <w:tcW w:w="3768" w:type="dxa"/>
          </w:tcPr>
          <w:p>
            <w:pPr>
              <w:pStyle w:val="TableParagraph"/>
              <w:spacing w:before="146"/>
              <w:ind w:left="57" w:right="58"/>
              <w:jc w:val="center"/>
              <w:rPr>
                <w:sz w:val="20"/>
              </w:rPr>
            </w:pPr>
            <w:r>
              <w:rPr>
                <w:sz w:val="20"/>
              </w:rPr>
              <w:t>两岸新建堤防 4km，清淤 1km，p=10%</w:t>
            </w:r>
          </w:p>
        </w:tc>
        <w:tc>
          <w:tcPr>
            <w:tcW w:w="1116" w:type="dxa"/>
          </w:tcPr>
          <w:p>
            <w:pPr>
              <w:pStyle w:val="TableParagraph"/>
              <w:spacing w:before="146"/>
              <w:ind w:left="182" w:right="183"/>
              <w:jc w:val="center"/>
              <w:rPr>
                <w:sz w:val="20"/>
              </w:rPr>
            </w:pPr>
            <w:r>
              <w:rPr>
                <w:sz w:val="20"/>
              </w:rPr>
              <w:t>2400</w:t>
            </w:r>
          </w:p>
        </w:tc>
        <w:tc>
          <w:tcPr>
            <w:tcW w:w="1087" w:type="dxa"/>
          </w:tcPr>
          <w:p>
            <w:pPr>
              <w:pStyle w:val="TableParagraph"/>
              <w:spacing w:line="237" w:lineRule="auto" w:before="19"/>
              <w:ind w:left="338" w:right="119" w:hanging="200"/>
              <w:rPr>
                <w:sz w:val="20"/>
              </w:rPr>
            </w:pPr>
            <w:r>
              <w:rPr>
                <w:sz w:val="20"/>
              </w:rPr>
              <w:t>水务和林业局</w:t>
            </w:r>
          </w:p>
        </w:tc>
      </w:tr>
      <w:tr>
        <w:trPr>
          <w:trHeight w:val="920" w:hRule="atLeast"/>
        </w:trPr>
        <w:tc>
          <w:tcPr>
            <w:tcW w:w="544" w:type="dxa"/>
          </w:tcPr>
          <w:p>
            <w:pPr>
              <w:pStyle w:val="TableParagraph"/>
              <w:spacing w:before="6"/>
              <w:rPr>
                <w:rFonts w:ascii="黑体"/>
                <w:sz w:val="23"/>
              </w:rPr>
            </w:pPr>
          </w:p>
          <w:p>
            <w:pPr>
              <w:pStyle w:val="TableParagraph"/>
              <w:ind w:left="145" w:right="146"/>
              <w:jc w:val="center"/>
              <w:rPr>
                <w:sz w:val="20"/>
              </w:rPr>
            </w:pPr>
            <w:r>
              <w:rPr>
                <w:sz w:val="20"/>
              </w:rPr>
              <w:t>21</w:t>
            </w:r>
          </w:p>
        </w:tc>
        <w:tc>
          <w:tcPr>
            <w:tcW w:w="2160" w:type="dxa"/>
          </w:tcPr>
          <w:p>
            <w:pPr>
              <w:pStyle w:val="TableParagraph"/>
              <w:spacing w:before="6"/>
              <w:rPr>
                <w:rFonts w:ascii="黑体"/>
                <w:sz w:val="23"/>
              </w:rPr>
            </w:pPr>
          </w:p>
          <w:p>
            <w:pPr>
              <w:pStyle w:val="TableParagraph"/>
              <w:ind w:left="43" w:right="43"/>
              <w:jc w:val="center"/>
              <w:rPr>
                <w:sz w:val="20"/>
              </w:rPr>
            </w:pPr>
            <w:r>
              <w:rPr>
                <w:sz w:val="20"/>
              </w:rPr>
              <w:t>山洪灾害防治项目</w:t>
            </w:r>
          </w:p>
        </w:tc>
        <w:tc>
          <w:tcPr>
            <w:tcW w:w="1260" w:type="dxa"/>
          </w:tcPr>
          <w:p>
            <w:pPr>
              <w:pStyle w:val="TableParagraph"/>
              <w:spacing w:before="6"/>
              <w:rPr>
                <w:rFonts w:ascii="黑体"/>
                <w:sz w:val="23"/>
              </w:rPr>
            </w:pPr>
          </w:p>
          <w:p>
            <w:pPr>
              <w:pStyle w:val="TableParagraph"/>
              <w:ind w:left="154" w:right="155"/>
              <w:jc w:val="center"/>
              <w:rPr>
                <w:sz w:val="20"/>
              </w:rPr>
            </w:pPr>
            <w:r>
              <w:rPr>
                <w:sz w:val="20"/>
              </w:rPr>
              <w:t>2016</w:t>
            </w:r>
          </w:p>
        </w:tc>
        <w:tc>
          <w:tcPr>
            <w:tcW w:w="3768" w:type="dxa"/>
          </w:tcPr>
          <w:p>
            <w:pPr>
              <w:pStyle w:val="TableParagraph"/>
              <w:spacing w:line="237" w:lineRule="auto" w:before="51"/>
              <w:ind w:left="103" w:right="51" w:hanging="50"/>
              <w:jc w:val="center"/>
              <w:rPr>
                <w:sz w:val="20"/>
              </w:rPr>
            </w:pPr>
            <w:r>
              <w:rPr>
                <w:sz w:val="20"/>
              </w:rPr>
              <w:t>县级检测预警平台升级完善，平台延伸到乡镇，调查评价成果检验、率定和复核， 学校预警设备、群测群防体系建设等</w:t>
            </w:r>
          </w:p>
        </w:tc>
        <w:tc>
          <w:tcPr>
            <w:tcW w:w="1116" w:type="dxa"/>
          </w:tcPr>
          <w:p>
            <w:pPr>
              <w:pStyle w:val="TableParagraph"/>
              <w:spacing w:before="6"/>
              <w:rPr>
                <w:rFonts w:ascii="黑体"/>
                <w:sz w:val="23"/>
              </w:rPr>
            </w:pPr>
          </w:p>
          <w:p>
            <w:pPr>
              <w:pStyle w:val="TableParagraph"/>
              <w:ind w:left="182" w:right="183"/>
              <w:jc w:val="center"/>
              <w:rPr>
                <w:sz w:val="20"/>
              </w:rPr>
            </w:pPr>
            <w:r>
              <w:rPr>
                <w:sz w:val="20"/>
              </w:rPr>
              <w:t>100</w:t>
            </w:r>
          </w:p>
        </w:tc>
        <w:tc>
          <w:tcPr>
            <w:tcW w:w="1087" w:type="dxa"/>
          </w:tcPr>
          <w:p>
            <w:pPr>
              <w:pStyle w:val="TableParagraph"/>
              <w:spacing w:before="10"/>
              <w:rPr>
                <w:rFonts w:ascii="黑体"/>
                <w:sz w:val="13"/>
              </w:rPr>
            </w:pPr>
          </w:p>
          <w:p>
            <w:pPr>
              <w:pStyle w:val="TableParagraph"/>
              <w:spacing w:line="237" w:lineRule="auto"/>
              <w:ind w:left="338" w:right="119" w:hanging="200"/>
              <w:rPr>
                <w:sz w:val="20"/>
              </w:rPr>
            </w:pPr>
            <w:r>
              <w:rPr>
                <w:sz w:val="20"/>
              </w:rPr>
              <w:t>水务和林业局</w:t>
            </w:r>
          </w:p>
        </w:tc>
      </w:tr>
      <w:tr>
        <w:trPr>
          <w:trHeight w:val="600" w:hRule="atLeast"/>
        </w:trPr>
        <w:tc>
          <w:tcPr>
            <w:tcW w:w="544" w:type="dxa"/>
          </w:tcPr>
          <w:p>
            <w:pPr>
              <w:pStyle w:val="TableParagraph"/>
              <w:spacing w:before="144"/>
              <w:ind w:left="145" w:right="146"/>
              <w:jc w:val="center"/>
              <w:rPr>
                <w:sz w:val="20"/>
              </w:rPr>
            </w:pPr>
            <w:r>
              <w:rPr>
                <w:sz w:val="20"/>
              </w:rPr>
              <w:t>22</w:t>
            </w:r>
          </w:p>
        </w:tc>
        <w:tc>
          <w:tcPr>
            <w:tcW w:w="2160" w:type="dxa"/>
          </w:tcPr>
          <w:p>
            <w:pPr>
              <w:pStyle w:val="TableParagraph"/>
              <w:spacing w:line="237" w:lineRule="auto" w:before="17"/>
              <w:ind w:left="674" w:right="156" w:hanging="500"/>
              <w:rPr>
                <w:sz w:val="20"/>
              </w:rPr>
            </w:pPr>
            <w:r>
              <w:rPr>
                <w:sz w:val="20"/>
              </w:rPr>
              <w:t>五通桥区争鸣水厂改扩建工程</w:t>
            </w:r>
          </w:p>
        </w:tc>
        <w:tc>
          <w:tcPr>
            <w:tcW w:w="1260" w:type="dxa"/>
          </w:tcPr>
          <w:p>
            <w:pPr>
              <w:pStyle w:val="TableParagraph"/>
              <w:spacing w:before="144"/>
              <w:ind w:left="154" w:right="154"/>
              <w:jc w:val="center"/>
              <w:rPr>
                <w:sz w:val="20"/>
              </w:rPr>
            </w:pPr>
            <w:r>
              <w:rPr>
                <w:sz w:val="20"/>
              </w:rPr>
              <w:t>2016-2017</w:t>
            </w:r>
          </w:p>
        </w:tc>
        <w:tc>
          <w:tcPr>
            <w:tcW w:w="3768" w:type="dxa"/>
          </w:tcPr>
          <w:p>
            <w:pPr>
              <w:pStyle w:val="TableParagraph"/>
              <w:spacing w:before="144"/>
              <w:ind w:left="57" w:right="58"/>
              <w:jc w:val="center"/>
              <w:rPr>
                <w:sz w:val="20"/>
              </w:rPr>
            </w:pPr>
            <w:r>
              <w:rPr>
                <w:sz w:val="20"/>
              </w:rPr>
              <w:t>解决辉山镇 1.2 万人饮水不安全问题</w:t>
            </w:r>
          </w:p>
        </w:tc>
        <w:tc>
          <w:tcPr>
            <w:tcW w:w="1116" w:type="dxa"/>
          </w:tcPr>
          <w:p>
            <w:pPr>
              <w:pStyle w:val="TableParagraph"/>
              <w:spacing w:before="144"/>
              <w:ind w:left="182" w:right="183"/>
              <w:jc w:val="center"/>
              <w:rPr>
                <w:sz w:val="20"/>
              </w:rPr>
            </w:pPr>
            <w:r>
              <w:rPr>
                <w:sz w:val="20"/>
              </w:rPr>
              <w:t>1800</w:t>
            </w:r>
          </w:p>
        </w:tc>
        <w:tc>
          <w:tcPr>
            <w:tcW w:w="1087" w:type="dxa"/>
          </w:tcPr>
          <w:p>
            <w:pPr>
              <w:pStyle w:val="TableParagraph"/>
              <w:spacing w:line="237" w:lineRule="auto" w:before="17"/>
              <w:ind w:left="338" w:right="119" w:hanging="200"/>
              <w:rPr>
                <w:sz w:val="20"/>
              </w:rPr>
            </w:pPr>
            <w:r>
              <w:rPr>
                <w:sz w:val="20"/>
              </w:rPr>
              <w:t>水务和林业局</w:t>
            </w:r>
          </w:p>
        </w:tc>
      </w:tr>
      <w:tr>
        <w:trPr>
          <w:trHeight w:val="900" w:hRule="atLeast"/>
        </w:trPr>
        <w:tc>
          <w:tcPr>
            <w:tcW w:w="544" w:type="dxa"/>
          </w:tcPr>
          <w:p>
            <w:pPr>
              <w:pStyle w:val="TableParagraph"/>
              <w:spacing w:before="2"/>
              <w:rPr>
                <w:rFonts w:ascii="黑体"/>
                <w:sz w:val="22"/>
              </w:rPr>
            </w:pPr>
          </w:p>
          <w:p>
            <w:pPr>
              <w:pStyle w:val="TableParagraph"/>
              <w:ind w:left="145" w:right="146"/>
              <w:jc w:val="center"/>
              <w:rPr>
                <w:sz w:val="20"/>
              </w:rPr>
            </w:pPr>
            <w:r>
              <w:rPr>
                <w:sz w:val="20"/>
              </w:rPr>
              <w:t>23</w:t>
            </w:r>
          </w:p>
        </w:tc>
        <w:tc>
          <w:tcPr>
            <w:tcW w:w="2160" w:type="dxa"/>
          </w:tcPr>
          <w:p>
            <w:pPr>
              <w:pStyle w:val="TableParagraph"/>
              <w:spacing w:line="237" w:lineRule="auto" w:before="163"/>
              <w:ind w:left="274" w:right="156" w:hanging="100"/>
              <w:rPr>
                <w:sz w:val="20"/>
              </w:rPr>
            </w:pPr>
            <w:r>
              <w:rPr>
                <w:sz w:val="20"/>
              </w:rPr>
              <w:t>五通桥区城乡供水一体化管网联通工程</w:t>
            </w:r>
          </w:p>
        </w:tc>
        <w:tc>
          <w:tcPr>
            <w:tcW w:w="1260" w:type="dxa"/>
          </w:tcPr>
          <w:p>
            <w:pPr>
              <w:pStyle w:val="TableParagraph"/>
              <w:spacing w:before="2"/>
              <w:rPr>
                <w:rFonts w:ascii="黑体"/>
                <w:sz w:val="22"/>
              </w:rPr>
            </w:pPr>
          </w:p>
          <w:p>
            <w:pPr>
              <w:pStyle w:val="TableParagraph"/>
              <w:ind w:left="154" w:right="154"/>
              <w:jc w:val="center"/>
              <w:rPr>
                <w:sz w:val="20"/>
              </w:rPr>
            </w:pPr>
            <w:r>
              <w:rPr>
                <w:sz w:val="20"/>
              </w:rPr>
              <w:t>2016-2020</w:t>
            </w:r>
          </w:p>
        </w:tc>
        <w:tc>
          <w:tcPr>
            <w:tcW w:w="3768" w:type="dxa"/>
          </w:tcPr>
          <w:p>
            <w:pPr>
              <w:pStyle w:val="TableParagraph"/>
              <w:spacing w:line="237" w:lineRule="auto" w:before="34"/>
              <w:ind w:left="59" w:right="58"/>
              <w:jc w:val="center"/>
              <w:rPr>
                <w:sz w:val="20"/>
              </w:rPr>
            </w:pPr>
            <w:r>
              <w:rPr>
                <w:sz w:val="20"/>
              </w:rPr>
              <w:t>通过并网连通各农村水厂，解决我区供水不均的情况，大大提高我区供水保障率和管理效率</w:t>
            </w:r>
          </w:p>
        </w:tc>
        <w:tc>
          <w:tcPr>
            <w:tcW w:w="1116" w:type="dxa"/>
          </w:tcPr>
          <w:p>
            <w:pPr>
              <w:pStyle w:val="TableParagraph"/>
              <w:spacing w:before="2"/>
              <w:rPr>
                <w:rFonts w:ascii="黑体"/>
                <w:sz w:val="22"/>
              </w:rPr>
            </w:pPr>
          </w:p>
          <w:p>
            <w:pPr>
              <w:pStyle w:val="TableParagraph"/>
              <w:ind w:left="182" w:right="183"/>
              <w:jc w:val="center"/>
              <w:rPr>
                <w:sz w:val="20"/>
              </w:rPr>
            </w:pPr>
            <w:r>
              <w:rPr>
                <w:sz w:val="20"/>
              </w:rPr>
              <w:t>3500</w:t>
            </w:r>
          </w:p>
        </w:tc>
        <w:tc>
          <w:tcPr>
            <w:tcW w:w="1087" w:type="dxa"/>
          </w:tcPr>
          <w:p>
            <w:pPr>
              <w:pStyle w:val="TableParagraph"/>
              <w:spacing w:line="237" w:lineRule="auto" w:before="163"/>
              <w:ind w:left="338" w:right="119" w:hanging="200"/>
              <w:rPr>
                <w:sz w:val="20"/>
              </w:rPr>
            </w:pPr>
            <w:r>
              <w:rPr>
                <w:sz w:val="20"/>
              </w:rPr>
              <w:t>水务和林业局</w:t>
            </w:r>
          </w:p>
        </w:tc>
      </w:tr>
      <w:tr>
        <w:trPr>
          <w:trHeight w:val="1080" w:hRule="atLeast"/>
        </w:trPr>
        <w:tc>
          <w:tcPr>
            <w:tcW w:w="544" w:type="dxa"/>
          </w:tcPr>
          <w:p>
            <w:pPr>
              <w:pStyle w:val="TableParagraph"/>
              <w:spacing w:before="3"/>
              <w:rPr>
                <w:rFonts w:ascii="黑体"/>
                <w:sz w:val="29"/>
              </w:rPr>
            </w:pPr>
          </w:p>
          <w:p>
            <w:pPr>
              <w:pStyle w:val="TableParagraph"/>
              <w:ind w:left="145" w:right="146"/>
              <w:jc w:val="center"/>
              <w:rPr>
                <w:sz w:val="20"/>
              </w:rPr>
            </w:pPr>
            <w:r>
              <w:rPr>
                <w:sz w:val="20"/>
              </w:rPr>
              <w:t>24</w:t>
            </w:r>
          </w:p>
        </w:tc>
        <w:tc>
          <w:tcPr>
            <w:tcW w:w="2160" w:type="dxa"/>
          </w:tcPr>
          <w:p>
            <w:pPr>
              <w:pStyle w:val="TableParagraph"/>
              <w:spacing w:before="7"/>
              <w:rPr>
                <w:rFonts w:ascii="黑体"/>
                <w:sz w:val="19"/>
              </w:rPr>
            </w:pPr>
          </w:p>
          <w:p>
            <w:pPr>
              <w:pStyle w:val="TableParagraph"/>
              <w:spacing w:line="237" w:lineRule="auto"/>
              <w:ind w:left="574" w:right="156" w:hanging="400"/>
              <w:rPr>
                <w:sz w:val="20"/>
              </w:rPr>
            </w:pPr>
            <w:r>
              <w:rPr>
                <w:sz w:val="20"/>
              </w:rPr>
              <w:t>五通桥区农村水厂提质升效项目</w:t>
            </w:r>
          </w:p>
        </w:tc>
        <w:tc>
          <w:tcPr>
            <w:tcW w:w="1260" w:type="dxa"/>
          </w:tcPr>
          <w:p>
            <w:pPr>
              <w:pStyle w:val="TableParagraph"/>
              <w:spacing w:before="3"/>
              <w:rPr>
                <w:rFonts w:ascii="黑体"/>
                <w:sz w:val="29"/>
              </w:rPr>
            </w:pPr>
          </w:p>
          <w:p>
            <w:pPr>
              <w:pStyle w:val="TableParagraph"/>
              <w:ind w:left="154" w:right="154"/>
              <w:jc w:val="center"/>
              <w:rPr>
                <w:sz w:val="20"/>
              </w:rPr>
            </w:pPr>
            <w:r>
              <w:rPr>
                <w:sz w:val="20"/>
              </w:rPr>
              <w:t>2016-2020</w:t>
            </w:r>
          </w:p>
        </w:tc>
        <w:tc>
          <w:tcPr>
            <w:tcW w:w="3768" w:type="dxa"/>
          </w:tcPr>
          <w:p>
            <w:pPr>
              <w:pStyle w:val="TableParagraph"/>
              <w:spacing w:line="237" w:lineRule="auto" w:before="126"/>
              <w:ind w:left="131" w:right="130"/>
              <w:jc w:val="center"/>
              <w:rPr>
                <w:sz w:val="20"/>
              </w:rPr>
            </w:pPr>
            <w:r>
              <w:rPr>
                <w:sz w:val="20"/>
              </w:rPr>
              <w:t>通过提质升效解决我区农村水厂设备老</w:t>
            </w:r>
            <w:r>
              <w:rPr>
                <w:spacing w:val="-8"/>
                <w:sz w:val="20"/>
              </w:rPr>
              <w:t>化等问题，大大提高我区农村水厂供水保障率</w:t>
            </w:r>
          </w:p>
        </w:tc>
        <w:tc>
          <w:tcPr>
            <w:tcW w:w="1116" w:type="dxa"/>
          </w:tcPr>
          <w:p>
            <w:pPr>
              <w:pStyle w:val="TableParagraph"/>
              <w:spacing w:before="3"/>
              <w:rPr>
                <w:rFonts w:ascii="黑体"/>
                <w:sz w:val="29"/>
              </w:rPr>
            </w:pPr>
          </w:p>
          <w:p>
            <w:pPr>
              <w:pStyle w:val="TableParagraph"/>
              <w:ind w:left="182" w:right="183"/>
              <w:jc w:val="center"/>
              <w:rPr>
                <w:sz w:val="20"/>
              </w:rPr>
            </w:pPr>
            <w:r>
              <w:rPr>
                <w:sz w:val="20"/>
              </w:rPr>
              <w:t>5500</w:t>
            </w:r>
          </w:p>
        </w:tc>
        <w:tc>
          <w:tcPr>
            <w:tcW w:w="1087" w:type="dxa"/>
          </w:tcPr>
          <w:p>
            <w:pPr>
              <w:pStyle w:val="TableParagraph"/>
              <w:spacing w:before="7"/>
              <w:rPr>
                <w:rFonts w:ascii="黑体"/>
                <w:sz w:val="19"/>
              </w:rPr>
            </w:pPr>
          </w:p>
          <w:p>
            <w:pPr>
              <w:pStyle w:val="TableParagraph"/>
              <w:spacing w:line="237" w:lineRule="auto"/>
              <w:ind w:left="338" w:right="119" w:hanging="200"/>
              <w:rPr>
                <w:sz w:val="20"/>
              </w:rPr>
            </w:pPr>
            <w:r>
              <w:rPr>
                <w:sz w:val="20"/>
              </w:rPr>
              <w:t>水务和林业局</w:t>
            </w:r>
          </w:p>
        </w:tc>
      </w:tr>
      <w:tr>
        <w:trPr>
          <w:trHeight w:val="500" w:hRule="atLeast"/>
        </w:trPr>
        <w:tc>
          <w:tcPr>
            <w:tcW w:w="544" w:type="dxa"/>
          </w:tcPr>
          <w:p>
            <w:pPr>
              <w:pStyle w:val="TableParagraph"/>
              <w:spacing w:before="97"/>
              <w:ind w:left="145" w:right="146"/>
              <w:jc w:val="center"/>
              <w:rPr>
                <w:sz w:val="20"/>
              </w:rPr>
            </w:pPr>
            <w:r>
              <w:rPr>
                <w:sz w:val="20"/>
              </w:rPr>
              <w:t>25</w:t>
            </w:r>
          </w:p>
        </w:tc>
        <w:tc>
          <w:tcPr>
            <w:tcW w:w="2160" w:type="dxa"/>
          </w:tcPr>
          <w:p>
            <w:pPr>
              <w:pStyle w:val="TableParagraph"/>
              <w:spacing w:before="97"/>
              <w:ind w:left="43" w:right="43"/>
              <w:jc w:val="center"/>
              <w:rPr>
                <w:sz w:val="20"/>
              </w:rPr>
            </w:pPr>
            <w:r>
              <w:rPr>
                <w:sz w:val="20"/>
              </w:rPr>
              <w:t>沫江堰五通桥灌区</w:t>
            </w:r>
          </w:p>
        </w:tc>
        <w:tc>
          <w:tcPr>
            <w:tcW w:w="1260" w:type="dxa"/>
          </w:tcPr>
          <w:p>
            <w:pPr>
              <w:pStyle w:val="TableParagraph"/>
              <w:spacing w:before="97"/>
              <w:ind w:left="154" w:right="154"/>
              <w:jc w:val="center"/>
              <w:rPr>
                <w:sz w:val="20"/>
              </w:rPr>
            </w:pPr>
            <w:r>
              <w:rPr>
                <w:sz w:val="20"/>
              </w:rPr>
              <w:t>2016-2020</w:t>
            </w:r>
          </w:p>
        </w:tc>
        <w:tc>
          <w:tcPr>
            <w:tcW w:w="3768" w:type="dxa"/>
          </w:tcPr>
          <w:p>
            <w:pPr>
              <w:pStyle w:val="TableParagraph"/>
              <w:spacing w:before="97"/>
              <w:ind w:left="58" w:right="58"/>
              <w:jc w:val="center"/>
              <w:rPr>
                <w:sz w:val="20"/>
              </w:rPr>
            </w:pPr>
            <w:r>
              <w:rPr>
                <w:sz w:val="20"/>
              </w:rPr>
              <w:t>改造主、支骨干渠 111.86km</w:t>
            </w:r>
          </w:p>
        </w:tc>
        <w:tc>
          <w:tcPr>
            <w:tcW w:w="1116" w:type="dxa"/>
          </w:tcPr>
          <w:p>
            <w:pPr>
              <w:pStyle w:val="TableParagraph"/>
              <w:spacing w:before="97"/>
              <w:ind w:left="182" w:right="183"/>
              <w:jc w:val="center"/>
              <w:rPr>
                <w:sz w:val="20"/>
              </w:rPr>
            </w:pPr>
            <w:r>
              <w:rPr>
                <w:sz w:val="20"/>
              </w:rPr>
              <w:t>7800</w:t>
            </w:r>
          </w:p>
        </w:tc>
        <w:tc>
          <w:tcPr>
            <w:tcW w:w="1087" w:type="dxa"/>
          </w:tcPr>
          <w:p>
            <w:pPr>
              <w:pStyle w:val="TableParagraph"/>
              <w:spacing w:line="228" w:lineRule="exact"/>
              <w:ind w:left="118" w:right="116"/>
              <w:jc w:val="center"/>
              <w:rPr>
                <w:sz w:val="20"/>
              </w:rPr>
            </w:pPr>
            <w:r>
              <w:rPr>
                <w:sz w:val="20"/>
              </w:rPr>
              <w:t>水务和林</w:t>
            </w:r>
          </w:p>
          <w:p>
            <w:pPr>
              <w:pStyle w:val="TableParagraph"/>
              <w:spacing w:line="260" w:lineRule="exact"/>
              <w:ind w:left="117" w:right="117"/>
              <w:jc w:val="center"/>
              <w:rPr>
                <w:sz w:val="20"/>
              </w:rPr>
            </w:pPr>
            <w:r>
              <w:rPr>
                <w:sz w:val="20"/>
              </w:rPr>
              <w:t>业局</w:t>
            </w:r>
          </w:p>
        </w:tc>
      </w:tr>
      <w:tr>
        <w:trPr>
          <w:trHeight w:val="700" w:hRule="atLeast"/>
        </w:trPr>
        <w:tc>
          <w:tcPr>
            <w:tcW w:w="544" w:type="dxa"/>
          </w:tcPr>
          <w:p>
            <w:pPr>
              <w:pStyle w:val="TableParagraph"/>
              <w:spacing w:before="1"/>
              <w:rPr>
                <w:rFonts w:ascii="黑体"/>
                <w:sz w:val="15"/>
              </w:rPr>
            </w:pPr>
          </w:p>
          <w:p>
            <w:pPr>
              <w:pStyle w:val="TableParagraph"/>
              <w:spacing w:before="1"/>
              <w:ind w:left="145" w:right="146"/>
              <w:jc w:val="center"/>
              <w:rPr>
                <w:sz w:val="20"/>
              </w:rPr>
            </w:pPr>
            <w:r>
              <w:rPr>
                <w:sz w:val="20"/>
              </w:rPr>
              <w:t>26</w:t>
            </w:r>
          </w:p>
        </w:tc>
        <w:tc>
          <w:tcPr>
            <w:tcW w:w="2160" w:type="dxa"/>
          </w:tcPr>
          <w:p>
            <w:pPr>
              <w:pStyle w:val="TableParagraph"/>
              <w:spacing w:line="237" w:lineRule="auto" w:before="71"/>
              <w:ind w:left="475" w:right="155" w:hanging="300"/>
              <w:rPr>
                <w:sz w:val="20"/>
              </w:rPr>
            </w:pPr>
            <w:r>
              <w:rPr>
                <w:sz w:val="20"/>
              </w:rPr>
              <w:t>五通桥区泊滩堰灌区渠系整治工程</w:t>
            </w:r>
          </w:p>
        </w:tc>
        <w:tc>
          <w:tcPr>
            <w:tcW w:w="1260" w:type="dxa"/>
          </w:tcPr>
          <w:p>
            <w:pPr>
              <w:pStyle w:val="TableParagraph"/>
              <w:spacing w:before="1"/>
              <w:rPr>
                <w:rFonts w:ascii="黑体"/>
                <w:sz w:val="15"/>
              </w:rPr>
            </w:pPr>
          </w:p>
          <w:p>
            <w:pPr>
              <w:pStyle w:val="TableParagraph"/>
              <w:spacing w:before="1"/>
              <w:ind w:left="154" w:right="154"/>
              <w:jc w:val="center"/>
              <w:rPr>
                <w:sz w:val="20"/>
              </w:rPr>
            </w:pPr>
            <w:r>
              <w:rPr>
                <w:sz w:val="20"/>
              </w:rPr>
              <w:t>2016-2019</w:t>
            </w:r>
          </w:p>
        </w:tc>
        <w:tc>
          <w:tcPr>
            <w:tcW w:w="3768" w:type="dxa"/>
          </w:tcPr>
          <w:p>
            <w:pPr>
              <w:pStyle w:val="TableParagraph"/>
              <w:spacing w:before="1"/>
              <w:rPr>
                <w:rFonts w:ascii="黑体"/>
                <w:sz w:val="15"/>
              </w:rPr>
            </w:pPr>
          </w:p>
          <w:p>
            <w:pPr>
              <w:pStyle w:val="TableParagraph"/>
              <w:spacing w:before="1"/>
              <w:ind w:left="57" w:right="58"/>
              <w:jc w:val="center"/>
              <w:rPr>
                <w:sz w:val="20"/>
              </w:rPr>
            </w:pPr>
            <w:r>
              <w:rPr>
                <w:sz w:val="20"/>
              </w:rPr>
              <w:t>改造主、支骨干渠 62km</w:t>
            </w:r>
          </w:p>
        </w:tc>
        <w:tc>
          <w:tcPr>
            <w:tcW w:w="1116" w:type="dxa"/>
          </w:tcPr>
          <w:p>
            <w:pPr>
              <w:pStyle w:val="TableParagraph"/>
              <w:spacing w:before="1"/>
              <w:rPr>
                <w:rFonts w:ascii="黑体"/>
                <w:sz w:val="15"/>
              </w:rPr>
            </w:pPr>
          </w:p>
          <w:p>
            <w:pPr>
              <w:pStyle w:val="TableParagraph"/>
              <w:spacing w:before="1"/>
              <w:ind w:left="183" w:right="183"/>
              <w:jc w:val="center"/>
              <w:rPr>
                <w:sz w:val="20"/>
              </w:rPr>
            </w:pPr>
            <w:r>
              <w:rPr>
                <w:sz w:val="20"/>
              </w:rPr>
              <w:t>2300</w:t>
            </w:r>
          </w:p>
        </w:tc>
        <w:tc>
          <w:tcPr>
            <w:tcW w:w="1087" w:type="dxa"/>
          </w:tcPr>
          <w:p>
            <w:pPr>
              <w:pStyle w:val="TableParagraph"/>
              <w:spacing w:line="237" w:lineRule="auto" w:before="71"/>
              <w:ind w:left="338" w:right="119" w:hanging="200"/>
              <w:rPr>
                <w:sz w:val="20"/>
              </w:rPr>
            </w:pPr>
            <w:r>
              <w:rPr>
                <w:sz w:val="20"/>
              </w:rPr>
              <w:t>水务和林业局</w:t>
            </w:r>
          </w:p>
        </w:tc>
      </w:tr>
      <w:tr>
        <w:trPr>
          <w:trHeight w:val="740" w:hRule="atLeast"/>
        </w:trPr>
        <w:tc>
          <w:tcPr>
            <w:tcW w:w="544" w:type="dxa"/>
          </w:tcPr>
          <w:p>
            <w:pPr>
              <w:pStyle w:val="TableParagraph"/>
              <w:spacing w:before="6"/>
              <w:rPr>
                <w:rFonts w:ascii="黑体"/>
                <w:sz w:val="16"/>
              </w:rPr>
            </w:pPr>
          </w:p>
          <w:p>
            <w:pPr>
              <w:pStyle w:val="TableParagraph"/>
              <w:spacing w:before="1"/>
              <w:ind w:left="145" w:right="146"/>
              <w:jc w:val="center"/>
              <w:rPr>
                <w:sz w:val="20"/>
              </w:rPr>
            </w:pPr>
            <w:r>
              <w:rPr>
                <w:sz w:val="20"/>
              </w:rPr>
              <w:t>27</w:t>
            </w:r>
          </w:p>
        </w:tc>
        <w:tc>
          <w:tcPr>
            <w:tcW w:w="2160" w:type="dxa"/>
          </w:tcPr>
          <w:p>
            <w:pPr>
              <w:pStyle w:val="TableParagraph"/>
              <w:spacing w:line="237" w:lineRule="auto" w:before="89"/>
              <w:ind w:left="574" w:right="156" w:hanging="400"/>
              <w:rPr>
                <w:sz w:val="20"/>
              </w:rPr>
            </w:pPr>
            <w:r>
              <w:rPr>
                <w:sz w:val="20"/>
              </w:rPr>
              <w:t>五通桥区水库除险加固整治工程</w:t>
            </w:r>
          </w:p>
        </w:tc>
        <w:tc>
          <w:tcPr>
            <w:tcW w:w="1260" w:type="dxa"/>
          </w:tcPr>
          <w:p>
            <w:pPr>
              <w:pStyle w:val="TableParagraph"/>
              <w:spacing w:before="6"/>
              <w:rPr>
                <w:rFonts w:ascii="黑体"/>
                <w:sz w:val="16"/>
              </w:rPr>
            </w:pPr>
          </w:p>
          <w:p>
            <w:pPr>
              <w:pStyle w:val="TableParagraph"/>
              <w:spacing w:before="1"/>
              <w:ind w:left="154" w:right="154"/>
              <w:jc w:val="center"/>
              <w:rPr>
                <w:sz w:val="20"/>
              </w:rPr>
            </w:pPr>
            <w:r>
              <w:rPr>
                <w:sz w:val="20"/>
              </w:rPr>
              <w:t>2017-2019</w:t>
            </w:r>
          </w:p>
        </w:tc>
        <w:tc>
          <w:tcPr>
            <w:tcW w:w="3768" w:type="dxa"/>
          </w:tcPr>
          <w:p>
            <w:pPr>
              <w:pStyle w:val="TableParagraph"/>
              <w:spacing w:line="237" w:lineRule="auto" w:before="89"/>
              <w:ind w:left="1577" w:right="36" w:hanging="1475"/>
              <w:rPr>
                <w:sz w:val="20"/>
              </w:rPr>
            </w:pPr>
            <w:r>
              <w:rPr>
                <w:sz w:val="20"/>
              </w:rPr>
              <w:t>整治大坝、溢洪道、防水设施，治理白蚁危害等</w:t>
            </w:r>
          </w:p>
        </w:tc>
        <w:tc>
          <w:tcPr>
            <w:tcW w:w="1116" w:type="dxa"/>
          </w:tcPr>
          <w:p>
            <w:pPr>
              <w:pStyle w:val="TableParagraph"/>
              <w:spacing w:before="6"/>
              <w:rPr>
                <w:rFonts w:ascii="黑体"/>
                <w:sz w:val="16"/>
              </w:rPr>
            </w:pPr>
          </w:p>
          <w:p>
            <w:pPr>
              <w:pStyle w:val="TableParagraph"/>
              <w:spacing w:before="1"/>
              <w:ind w:left="182" w:right="183"/>
              <w:jc w:val="center"/>
              <w:rPr>
                <w:sz w:val="20"/>
              </w:rPr>
            </w:pPr>
            <w:r>
              <w:rPr>
                <w:sz w:val="20"/>
              </w:rPr>
              <w:t>500</w:t>
            </w:r>
          </w:p>
        </w:tc>
        <w:tc>
          <w:tcPr>
            <w:tcW w:w="1087" w:type="dxa"/>
          </w:tcPr>
          <w:p>
            <w:pPr>
              <w:pStyle w:val="TableParagraph"/>
              <w:spacing w:line="237" w:lineRule="auto" w:before="89"/>
              <w:ind w:left="338" w:right="119" w:hanging="200"/>
              <w:rPr>
                <w:sz w:val="20"/>
              </w:rPr>
            </w:pPr>
            <w:r>
              <w:rPr>
                <w:sz w:val="20"/>
              </w:rPr>
              <w:t>水务和林业局</w:t>
            </w:r>
          </w:p>
        </w:tc>
      </w:tr>
      <w:tr>
        <w:trPr>
          <w:trHeight w:val="1020" w:hRule="atLeast"/>
        </w:trPr>
        <w:tc>
          <w:tcPr>
            <w:tcW w:w="544" w:type="dxa"/>
          </w:tcPr>
          <w:p>
            <w:pPr>
              <w:pStyle w:val="TableParagraph"/>
              <w:spacing w:before="11"/>
              <w:rPr>
                <w:rFonts w:ascii="黑体"/>
                <w:sz w:val="26"/>
              </w:rPr>
            </w:pPr>
          </w:p>
          <w:p>
            <w:pPr>
              <w:pStyle w:val="TableParagraph"/>
              <w:ind w:left="145" w:right="146"/>
              <w:jc w:val="center"/>
              <w:rPr>
                <w:sz w:val="20"/>
              </w:rPr>
            </w:pPr>
            <w:r>
              <w:rPr>
                <w:sz w:val="20"/>
              </w:rPr>
              <w:t>28</w:t>
            </w:r>
          </w:p>
        </w:tc>
        <w:tc>
          <w:tcPr>
            <w:tcW w:w="2160" w:type="dxa"/>
          </w:tcPr>
          <w:p>
            <w:pPr>
              <w:pStyle w:val="TableParagraph"/>
              <w:spacing w:line="237" w:lineRule="auto" w:before="95"/>
              <w:ind w:left="102" w:right="98"/>
              <w:jc w:val="center"/>
              <w:rPr>
                <w:sz w:val="20"/>
              </w:rPr>
            </w:pPr>
            <w:r>
              <w:rPr>
                <w:sz w:val="20"/>
              </w:rPr>
              <w:t>五通桥区涌斯江管理处病险水闸除险加固工程</w:t>
            </w:r>
          </w:p>
        </w:tc>
        <w:tc>
          <w:tcPr>
            <w:tcW w:w="1260" w:type="dxa"/>
          </w:tcPr>
          <w:p>
            <w:pPr>
              <w:pStyle w:val="TableParagraph"/>
              <w:spacing w:before="11"/>
              <w:rPr>
                <w:rFonts w:ascii="黑体"/>
                <w:sz w:val="26"/>
              </w:rPr>
            </w:pPr>
          </w:p>
          <w:p>
            <w:pPr>
              <w:pStyle w:val="TableParagraph"/>
              <w:ind w:left="154" w:right="154"/>
              <w:jc w:val="center"/>
              <w:rPr>
                <w:sz w:val="20"/>
              </w:rPr>
            </w:pPr>
            <w:r>
              <w:rPr>
                <w:sz w:val="20"/>
              </w:rPr>
              <w:t>2017-2018</w:t>
            </w:r>
          </w:p>
        </w:tc>
        <w:tc>
          <w:tcPr>
            <w:tcW w:w="3768" w:type="dxa"/>
          </w:tcPr>
          <w:p>
            <w:pPr>
              <w:pStyle w:val="TableParagraph"/>
              <w:spacing w:before="2"/>
              <w:rPr>
                <w:rFonts w:ascii="黑体"/>
                <w:sz w:val="17"/>
              </w:rPr>
            </w:pPr>
          </w:p>
          <w:p>
            <w:pPr>
              <w:pStyle w:val="TableParagraph"/>
              <w:spacing w:line="237" w:lineRule="auto"/>
              <w:ind w:left="1077" w:right="36" w:hanging="975"/>
              <w:rPr>
                <w:sz w:val="20"/>
              </w:rPr>
            </w:pPr>
            <w:r>
              <w:rPr>
                <w:sz w:val="20"/>
              </w:rPr>
              <w:t>更换起闭设备、更新闸门、整治护坦、消力坎，维修管理房</w:t>
            </w:r>
          </w:p>
        </w:tc>
        <w:tc>
          <w:tcPr>
            <w:tcW w:w="1116" w:type="dxa"/>
          </w:tcPr>
          <w:p>
            <w:pPr>
              <w:pStyle w:val="TableParagraph"/>
              <w:spacing w:before="11"/>
              <w:rPr>
                <w:rFonts w:ascii="黑体"/>
                <w:sz w:val="26"/>
              </w:rPr>
            </w:pPr>
          </w:p>
          <w:p>
            <w:pPr>
              <w:pStyle w:val="TableParagraph"/>
              <w:ind w:left="182" w:right="183"/>
              <w:jc w:val="center"/>
              <w:rPr>
                <w:sz w:val="20"/>
              </w:rPr>
            </w:pPr>
            <w:r>
              <w:rPr>
                <w:sz w:val="20"/>
              </w:rPr>
              <w:t>700</w:t>
            </w:r>
          </w:p>
        </w:tc>
        <w:tc>
          <w:tcPr>
            <w:tcW w:w="1087" w:type="dxa"/>
          </w:tcPr>
          <w:p>
            <w:pPr>
              <w:pStyle w:val="TableParagraph"/>
              <w:spacing w:before="2"/>
              <w:rPr>
                <w:rFonts w:ascii="黑体"/>
                <w:sz w:val="17"/>
              </w:rPr>
            </w:pPr>
          </w:p>
          <w:p>
            <w:pPr>
              <w:pStyle w:val="TableParagraph"/>
              <w:spacing w:line="237" w:lineRule="auto"/>
              <w:ind w:left="338" w:right="119" w:hanging="200"/>
              <w:rPr>
                <w:sz w:val="20"/>
              </w:rPr>
            </w:pPr>
            <w:r>
              <w:rPr>
                <w:sz w:val="20"/>
              </w:rPr>
              <w:t>水务和林业局</w:t>
            </w:r>
          </w:p>
        </w:tc>
      </w:tr>
    </w:tbl>
    <w:p>
      <w:pPr>
        <w:spacing w:after="0" w:line="237" w:lineRule="auto"/>
        <w:rPr>
          <w:sz w:val="20"/>
        </w:rPr>
        <w:sectPr>
          <w:pgSz w:w="11910" w:h="16840"/>
          <w:pgMar w:header="0" w:footer="938" w:top="1440" w:bottom="1120" w:left="880" w:right="860"/>
        </w:sectPr>
      </w:pPr>
    </w:p>
    <w:tbl>
      <w:tblPr>
        <w:tblW w:w="0" w:type="auto"/>
        <w:jc w:val="left"/>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44"/>
        <w:gridCol w:w="2160"/>
        <w:gridCol w:w="1260"/>
        <w:gridCol w:w="3768"/>
        <w:gridCol w:w="1116"/>
        <w:gridCol w:w="1087"/>
      </w:tblGrid>
      <w:tr>
        <w:trPr>
          <w:trHeight w:val="1080" w:hRule="atLeast"/>
        </w:trPr>
        <w:tc>
          <w:tcPr>
            <w:tcW w:w="544" w:type="dxa"/>
          </w:tcPr>
          <w:p>
            <w:pPr>
              <w:pStyle w:val="TableParagraph"/>
              <w:spacing w:before="12"/>
              <w:rPr>
                <w:rFonts w:ascii="黑体"/>
                <w:sz w:val="28"/>
              </w:rPr>
            </w:pPr>
          </w:p>
          <w:p>
            <w:pPr>
              <w:pStyle w:val="TableParagraph"/>
              <w:spacing w:before="1"/>
              <w:ind w:left="145" w:right="146"/>
              <w:jc w:val="center"/>
              <w:rPr>
                <w:sz w:val="20"/>
              </w:rPr>
            </w:pPr>
            <w:r>
              <w:rPr>
                <w:sz w:val="20"/>
              </w:rPr>
              <w:t>29</w:t>
            </w:r>
          </w:p>
        </w:tc>
        <w:tc>
          <w:tcPr>
            <w:tcW w:w="2160" w:type="dxa"/>
          </w:tcPr>
          <w:p>
            <w:pPr>
              <w:pStyle w:val="TableParagraph"/>
              <w:spacing w:before="3"/>
              <w:rPr>
                <w:rFonts w:ascii="黑体"/>
                <w:sz w:val="19"/>
              </w:rPr>
            </w:pPr>
          </w:p>
          <w:p>
            <w:pPr>
              <w:pStyle w:val="TableParagraph"/>
              <w:spacing w:line="237" w:lineRule="auto"/>
              <w:ind w:left="574" w:right="156" w:hanging="400"/>
              <w:rPr>
                <w:sz w:val="20"/>
              </w:rPr>
            </w:pPr>
            <w:r>
              <w:rPr>
                <w:sz w:val="20"/>
              </w:rPr>
              <w:t>五通桥区农田水利设施建设工程</w:t>
            </w:r>
          </w:p>
        </w:tc>
        <w:tc>
          <w:tcPr>
            <w:tcW w:w="1260" w:type="dxa"/>
          </w:tcPr>
          <w:p>
            <w:pPr>
              <w:pStyle w:val="TableParagraph"/>
              <w:spacing w:before="12"/>
              <w:rPr>
                <w:rFonts w:ascii="黑体"/>
                <w:sz w:val="28"/>
              </w:rPr>
            </w:pPr>
          </w:p>
          <w:p>
            <w:pPr>
              <w:pStyle w:val="TableParagraph"/>
              <w:spacing w:before="1"/>
              <w:ind w:left="154" w:right="154"/>
              <w:jc w:val="center"/>
              <w:rPr>
                <w:sz w:val="20"/>
              </w:rPr>
            </w:pPr>
            <w:r>
              <w:rPr>
                <w:sz w:val="20"/>
              </w:rPr>
              <w:t>2016-2020</w:t>
            </w:r>
          </w:p>
        </w:tc>
        <w:tc>
          <w:tcPr>
            <w:tcW w:w="3768" w:type="dxa"/>
          </w:tcPr>
          <w:p>
            <w:pPr>
              <w:pStyle w:val="TableParagraph"/>
              <w:spacing w:before="3"/>
              <w:rPr>
                <w:rFonts w:ascii="黑体"/>
                <w:sz w:val="19"/>
              </w:rPr>
            </w:pPr>
          </w:p>
          <w:p>
            <w:pPr>
              <w:pStyle w:val="TableParagraph"/>
              <w:spacing w:line="237" w:lineRule="auto"/>
              <w:ind w:left="153" w:hanging="51"/>
              <w:rPr>
                <w:sz w:val="20"/>
              </w:rPr>
            </w:pPr>
            <w:r>
              <w:rPr>
                <w:spacing w:val="-10"/>
                <w:sz w:val="20"/>
              </w:rPr>
              <w:t>新建蓄水池</w:t>
            </w:r>
            <w:r>
              <w:rPr>
                <w:sz w:val="20"/>
              </w:rPr>
              <w:t>（窖</w:t>
            </w:r>
            <w:r>
              <w:rPr>
                <w:spacing w:val="-13"/>
                <w:sz w:val="20"/>
              </w:rPr>
              <w:t>）550</w:t>
            </w:r>
            <w:r>
              <w:rPr>
                <w:spacing w:val="-19"/>
                <w:sz w:val="20"/>
              </w:rPr>
              <w:t> 口、整治山坪塘 </w:t>
            </w:r>
            <w:r>
              <w:rPr>
                <w:sz w:val="20"/>
              </w:rPr>
              <w:t>100 </w:t>
            </w:r>
            <w:r>
              <w:rPr>
                <w:spacing w:val="-7"/>
                <w:sz w:val="20"/>
              </w:rPr>
              <w:t>口、整治石河堰 </w:t>
            </w:r>
            <w:r>
              <w:rPr>
                <w:sz w:val="20"/>
              </w:rPr>
              <w:t>50</w:t>
            </w:r>
            <w:r>
              <w:rPr>
                <w:spacing w:val="-15"/>
                <w:sz w:val="20"/>
              </w:rPr>
              <w:t> 座、整治渠道 </w:t>
            </w:r>
            <w:r>
              <w:rPr>
                <w:sz w:val="20"/>
              </w:rPr>
              <w:t>150KM</w:t>
            </w:r>
          </w:p>
        </w:tc>
        <w:tc>
          <w:tcPr>
            <w:tcW w:w="1116" w:type="dxa"/>
          </w:tcPr>
          <w:p>
            <w:pPr>
              <w:pStyle w:val="TableParagraph"/>
              <w:spacing w:before="12"/>
              <w:rPr>
                <w:rFonts w:ascii="黑体"/>
                <w:sz w:val="28"/>
              </w:rPr>
            </w:pPr>
          </w:p>
          <w:p>
            <w:pPr>
              <w:pStyle w:val="TableParagraph"/>
              <w:spacing w:before="1"/>
              <w:ind w:left="182" w:right="183"/>
              <w:jc w:val="center"/>
              <w:rPr>
                <w:sz w:val="20"/>
              </w:rPr>
            </w:pPr>
            <w:r>
              <w:rPr>
                <w:sz w:val="20"/>
              </w:rPr>
              <w:t>4130</w:t>
            </w:r>
          </w:p>
        </w:tc>
        <w:tc>
          <w:tcPr>
            <w:tcW w:w="1087" w:type="dxa"/>
          </w:tcPr>
          <w:p>
            <w:pPr>
              <w:pStyle w:val="TableParagraph"/>
              <w:spacing w:before="3"/>
              <w:rPr>
                <w:rFonts w:ascii="黑体"/>
                <w:sz w:val="19"/>
              </w:rPr>
            </w:pPr>
          </w:p>
          <w:p>
            <w:pPr>
              <w:pStyle w:val="TableParagraph"/>
              <w:spacing w:line="237" w:lineRule="auto"/>
              <w:ind w:left="338" w:right="119" w:hanging="200"/>
              <w:rPr>
                <w:sz w:val="20"/>
              </w:rPr>
            </w:pPr>
            <w:r>
              <w:rPr>
                <w:sz w:val="20"/>
              </w:rPr>
              <w:t>水务和林业局</w:t>
            </w:r>
          </w:p>
        </w:tc>
      </w:tr>
      <w:tr>
        <w:trPr>
          <w:trHeight w:val="760" w:hRule="atLeast"/>
        </w:trPr>
        <w:tc>
          <w:tcPr>
            <w:tcW w:w="544" w:type="dxa"/>
          </w:tcPr>
          <w:p>
            <w:pPr>
              <w:pStyle w:val="TableParagraph"/>
              <w:rPr>
                <w:rFonts w:ascii="黑体"/>
                <w:sz w:val="17"/>
              </w:rPr>
            </w:pPr>
          </w:p>
          <w:p>
            <w:pPr>
              <w:pStyle w:val="TableParagraph"/>
              <w:spacing w:before="1"/>
              <w:ind w:left="145" w:right="146"/>
              <w:jc w:val="center"/>
              <w:rPr>
                <w:sz w:val="20"/>
              </w:rPr>
            </w:pPr>
            <w:r>
              <w:rPr>
                <w:sz w:val="20"/>
              </w:rPr>
              <w:t>30</w:t>
            </w:r>
          </w:p>
        </w:tc>
        <w:tc>
          <w:tcPr>
            <w:tcW w:w="2160" w:type="dxa"/>
          </w:tcPr>
          <w:p>
            <w:pPr>
              <w:pStyle w:val="TableParagraph"/>
              <w:spacing w:line="237" w:lineRule="auto" w:before="96"/>
              <w:ind w:left="574" w:right="156" w:hanging="400"/>
              <w:rPr>
                <w:sz w:val="20"/>
              </w:rPr>
            </w:pPr>
            <w:r>
              <w:rPr>
                <w:sz w:val="20"/>
              </w:rPr>
              <w:t>五通桥区应急抗旱水源建设工程</w:t>
            </w:r>
          </w:p>
        </w:tc>
        <w:tc>
          <w:tcPr>
            <w:tcW w:w="1260" w:type="dxa"/>
          </w:tcPr>
          <w:p>
            <w:pPr>
              <w:pStyle w:val="TableParagraph"/>
              <w:rPr>
                <w:rFonts w:ascii="黑体"/>
                <w:sz w:val="17"/>
              </w:rPr>
            </w:pPr>
          </w:p>
          <w:p>
            <w:pPr>
              <w:pStyle w:val="TableParagraph"/>
              <w:spacing w:before="1"/>
              <w:ind w:left="154" w:right="154"/>
              <w:jc w:val="center"/>
              <w:rPr>
                <w:sz w:val="20"/>
              </w:rPr>
            </w:pPr>
            <w:r>
              <w:rPr>
                <w:sz w:val="20"/>
              </w:rPr>
              <w:t>2016-2020</w:t>
            </w:r>
          </w:p>
        </w:tc>
        <w:tc>
          <w:tcPr>
            <w:tcW w:w="3768" w:type="dxa"/>
          </w:tcPr>
          <w:p>
            <w:pPr>
              <w:pStyle w:val="TableParagraph"/>
              <w:spacing w:line="260" w:lineRule="exact" w:before="94"/>
              <w:ind w:left="7" w:right="8"/>
              <w:jc w:val="center"/>
              <w:rPr>
                <w:sz w:val="20"/>
              </w:rPr>
            </w:pPr>
            <w:r>
              <w:rPr>
                <w:sz w:val="20"/>
              </w:rPr>
              <w:t>新建蓄水池 642 口、整治山坪塘 42 口、</w:t>
            </w:r>
          </w:p>
          <w:p>
            <w:pPr>
              <w:pStyle w:val="TableParagraph"/>
              <w:spacing w:line="260" w:lineRule="exact"/>
              <w:ind w:left="57" w:right="58"/>
              <w:jc w:val="center"/>
              <w:rPr>
                <w:sz w:val="20"/>
              </w:rPr>
            </w:pPr>
            <w:r>
              <w:rPr>
                <w:sz w:val="20"/>
              </w:rPr>
              <w:t>整治石河堰 25 座、新建提灌站 14 处</w:t>
            </w:r>
          </w:p>
        </w:tc>
        <w:tc>
          <w:tcPr>
            <w:tcW w:w="1116" w:type="dxa"/>
          </w:tcPr>
          <w:p>
            <w:pPr>
              <w:pStyle w:val="TableParagraph"/>
              <w:rPr>
                <w:rFonts w:ascii="黑体"/>
                <w:sz w:val="17"/>
              </w:rPr>
            </w:pPr>
          </w:p>
          <w:p>
            <w:pPr>
              <w:pStyle w:val="TableParagraph"/>
              <w:spacing w:before="1"/>
              <w:ind w:left="182" w:right="183"/>
              <w:jc w:val="center"/>
              <w:rPr>
                <w:sz w:val="20"/>
              </w:rPr>
            </w:pPr>
            <w:r>
              <w:rPr>
                <w:sz w:val="20"/>
              </w:rPr>
              <w:t>5320</w:t>
            </w:r>
          </w:p>
        </w:tc>
        <w:tc>
          <w:tcPr>
            <w:tcW w:w="1087" w:type="dxa"/>
          </w:tcPr>
          <w:p>
            <w:pPr>
              <w:pStyle w:val="TableParagraph"/>
              <w:spacing w:line="237" w:lineRule="auto" w:before="96"/>
              <w:ind w:left="338" w:right="119" w:hanging="200"/>
              <w:rPr>
                <w:sz w:val="20"/>
              </w:rPr>
            </w:pPr>
            <w:r>
              <w:rPr>
                <w:sz w:val="20"/>
              </w:rPr>
              <w:t>水务和林业局</w:t>
            </w:r>
          </w:p>
        </w:tc>
      </w:tr>
      <w:tr>
        <w:trPr>
          <w:trHeight w:val="780" w:hRule="atLeast"/>
        </w:trPr>
        <w:tc>
          <w:tcPr>
            <w:tcW w:w="544" w:type="dxa"/>
          </w:tcPr>
          <w:p>
            <w:pPr>
              <w:pStyle w:val="TableParagraph"/>
              <w:spacing w:before="5"/>
              <w:rPr>
                <w:rFonts w:ascii="黑体"/>
                <w:sz w:val="17"/>
              </w:rPr>
            </w:pPr>
          </w:p>
          <w:p>
            <w:pPr>
              <w:pStyle w:val="TableParagraph"/>
              <w:ind w:left="145" w:right="146"/>
              <w:jc w:val="center"/>
              <w:rPr>
                <w:sz w:val="20"/>
              </w:rPr>
            </w:pPr>
            <w:r>
              <w:rPr>
                <w:sz w:val="20"/>
              </w:rPr>
              <w:t>31</w:t>
            </w:r>
          </w:p>
        </w:tc>
        <w:tc>
          <w:tcPr>
            <w:tcW w:w="2160" w:type="dxa"/>
          </w:tcPr>
          <w:p>
            <w:pPr>
              <w:pStyle w:val="TableParagraph"/>
              <w:spacing w:line="237" w:lineRule="auto" w:before="101"/>
              <w:ind w:left="574" w:right="156" w:hanging="400"/>
              <w:rPr>
                <w:sz w:val="20"/>
              </w:rPr>
            </w:pPr>
            <w:r>
              <w:rPr>
                <w:sz w:val="20"/>
              </w:rPr>
              <w:t>五通桥区石麟电站扩容改造工程</w:t>
            </w:r>
          </w:p>
        </w:tc>
        <w:tc>
          <w:tcPr>
            <w:tcW w:w="1260" w:type="dxa"/>
          </w:tcPr>
          <w:p>
            <w:pPr>
              <w:pStyle w:val="TableParagraph"/>
              <w:spacing w:before="5"/>
              <w:rPr>
                <w:rFonts w:ascii="黑体"/>
                <w:sz w:val="17"/>
              </w:rPr>
            </w:pPr>
          </w:p>
          <w:p>
            <w:pPr>
              <w:pStyle w:val="TableParagraph"/>
              <w:ind w:left="154" w:right="154"/>
              <w:jc w:val="center"/>
              <w:rPr>
                <w:sz w:val="20"/>
              </w:rPr>
            </w:pPr>
            <w:r>
              <w:rPr>
                <w:sz w:val="20"/>
              </w:rPr>
              <w:t>2017-2018</w:t>
            </w:r>
          </w:p>
        </w:tc>
        <w:tc>
          <w:tcPr>
            <w:tcW w:w="3768" w:type="dxa"/>
          </w:tcPr>
          <w:p>
            <w:pPr>
              <w:pStyle w:val="TableParagraph"/>
              <w:spacing w:before="5"/>
              <w:rPr>
                <w:rFonts w:ascii="黑体"/>
                <w:sz w:val="17"/>
              </w:rPr>
            </w:pPr>
          </w:p>
          <w:p>
            <w:pPr>
              <w:pStyle w:val="TableParagraph"/>
              <w:ind w:left="57" w:right="58"/>
              <w:jc w:val="center"/>
              <w:rPr>
                <w:sz w:val="20"/>
              </w:rPr>
            </w:pPr>
            <w:r>
              <w:rPr>
                <w:sz w:val="20"/>
              </w:rPr>
              <w:t>对石麟电站进行扩容升级改造</w:t>
            </w:r>
          </w:p>
        </w:tc>
        <w:tc>
          <w:tcPr>
            <w:tcW w:w="1116" w:type="dxa"/>
          </w:tcPr>
          <w:p>
            <w:pPr>
              <w:pStyle w:val="TableParagraph"/>
              <w:spacing w:before="5"/>
              <w:rPr>
                <w:rFonts w:ascii="黑体"/>
                <w:sz w:val="17"/>
              </w:rPr>
            </w:pPr>
          </w:p>
          <w:p>
            <w:pPr>
              <w:pStyle w:val="TableParagraph"/>
              <w:ind w:left="182" w:right="183"/>
              <w:jc w:val="center"/>
              <w:rPr>
                <w:sz w:val="20"/>
              </w:rPr>
            </w:pPr>
            <w:r>
              <w:rPr>
                <w:sz w:val="20"/>
              </w:rPr>
              <w:t>1200</w:t>
            </w:r>
          </w:p>
        </w:tc>
        <w:tc>
          <w:tcPr>
            <w:tcW w:w="1087" w:type="dxa"/>
          </w:tcPr>
          <w:p>
            <w:pPr>
              <w:pStyle w:val="TableParagraph"/>
              <w:spacing w:line="237" w:lineRule="auto" w:before="101"/>
              <w:ind w:left="338" w:right="119" w:hanging="200"/>
              <w:rPr>
                <w:sz w:val="20"/>
              </w:rPr>
            </w:pPr>
            <w:r>
              <w:rPr>
                <w:sz w:val="20"/>
              </w:rPr>
              <w:t>水务和林业局</w:t>
            </w:r>
          </w:p>
        </w:tc>
      </w:tr>
      <w:tr>
        <w:trPr>
          <w:trHeight w:val="500" w:hRule="atLeast"/>
        </w:trPr>
        <w:tc>
          <w:tcPr>
            <w:tcW w:w="544" w:type="dxa"/>
          </w:tcPr>
          <w:p>
            <w:pPr>
              <w:pStyle w:val="TableParagraph"/>
              <w:spacing w:before="97"/>
              <w:ind w:left="145" w:right="146"/>
              <w:jc w:val="center"/>
              <w:rPr>
                <w:sz w:val="20"/>
              </w:rPr>
            </w:pPr>
            <w:r>
              <w:rPr>
                <w:sz w:val="20"/>
              </w:rPr>
              <w:t>32</w:t>
            </w:r>
          </w:p>
        </w:tc>
        <w:tc>
          <w:tcPr>
            <w:tcW w:w="2160" w:type="dxa"/>
          </w:tcPr>
          <w:p>
            <w:pPr>
              <w:pStyle w:val="TableParagraph"/>
              <w:spacing w:line="228" w:lineRule="exact"/>
              <w:ind w:left="44" w:right="43"/>
              <w:jc w:val="center"/>
              <w:rPr>
                <w:sz w:val="20"/>
              </w:rPr>
            </w:pPr>
            <w:r>
              <w:rPr>
                <w:sz w:val="20"/>
              </w:rPr>
              <w:t>五通桥区天仙桥电站</w:t>
            </w:r>
          </w:p>
          <w:p>
            <w:pPr>
              <w:pStyle w:val="TableParagraph"/>
              <w:spacing w:line="260" w:lineRule="exact"/>
              <w:ind w:left="44" w:right="43"/>
              <w:jc w:val="center"/>
              <w:rPr>
                <w:sz w:val="20"/>
              </w:rPr>
            </w:pPr>
            <w:r>
              <w:rPr>
                <w:sz w:val="20"/>
              </w:rPr>
              <w:t>扩容改造工程</w:t>
            </w:r>
          </w:p>
        </w:tc>
        <w:tc>
          <w:tcPr>
            <w:tcW w:w="1260" w:type="dxa"/>
          </w:tcPr>
          <w:p>
            <w:pPr>
              <w:pStyle w:val="TableParagraph"/>
              <w:spacing w:before="97"/>
              <w:ind w:left="154" w:right="154"/>
              <w:jc w:val="center"/>
              <w:rPr>
                <w:sz w:val="20"/>
              </w:rPr>
            </w:pPr>
            <w:r>
              <w:rPr>
                <w:sz w:val="20"/>
              </w:rPr>
              <w:t>2018-2019</w:t>
            </w:r>
          </w:p>
        </w:tc>
        <w:tc>
          <w:tcPr>
            <w:tcW w:w="3768" w:type="dxa"/>
          </w:tcPr>
          <w:p>
            <w:pPr>
              <w:pStyle w:val="TableParagraph"/>
              <w:spacing w:before="97"/>
              <w:ind w:left="58" w:right="58"/>
              <w:jc w:val="center"/>
              <w:rPr>
                <w:sz w:val="20"/>
              </w:rPr>
            </w:pPr>
            <w:r>
              <w:rPr>
                <w:sz w:val="20"/>
              </w:rPr>
              <w:t>对天仙桥电站进行扩容升级改造</w:t>
            </w:r>
          </w:p>
        </w:tc>
        <w:tc>
          <w:tcPr>
            <w:tcW w:w="1116" w:type="dxa"/>
          </w:tcPr>
          <w:p>
            <w:pPr>
              <w:pStyle w:val="TableParagraph"/>
              <w:spacing w:before="97"/>
              <w:ind w:left="182" w:right="183"/>
              <w:jc w:val="center"/>
              <w:rPr>
                <w:sz w:val="20"/>
              </w:rPr>
            </w:pPr>
            <w:r>
              <w:rPr>
                <w:sz w:val="20"/>
              </w:rPr>
              <w:t>800</w:t>
            </w:r>
          </w:p>
        </w:tc>
        <w:tc>
          <w:tcPr>
            <w:tcW w:w="1087" w:type="dxa"/>
          </w:tcPr>
          <w:p>
            <w:pPr>
              <w:pStyle w:val="TableParagraph"/>
              <w:spacing w:line="228" w:lineRule="exact"/>
              <w:ind w:left="118" w:right="116"/>
              <w:jc w:val="center"/>
              <w:rPr>
                <w:sz w:val="20"/>
              </w:rPr>
            </w:pPr>
            <w:r>
              <w:rPr>
                <w:sz w:val="20"/>
              </w:rPr>
              <w:t>水务和林</w:t>
            </w:r>
          </w:p>
          <w:p>
            <w:pPr>
              <w:pStyle w:val="TableParagraph"/>
              <w:spacing w:line="260" w:lineRule="exact"/>
              <w:ind w:left="117" w:right="117"/>
              <w:jc w:val="center"/>
              <w:rPr>
                <w:sz w:val="20"/>
              </w:rPr>
            </w:pPr>
            <w:r>
              <w:rPr>
                <w:sz w:val="20"/>
              </w:rPr>
              <w:t>业局</w:t>
            </w:r>
          </w:p>
        </w:tc>
      </w:tr>
      <w:tr>
        <w:trPr>
          <w:trHeight w:val="1300" w:hRule="atLeast"/>
        </w:trPr>
        <w:tc>
          <w:tcPr>
            <w:tcW w:w="544" w:type="dxa"/>
          </w:tcPr>
          <w:p>
            <w:pPr>
              <w:pStyle w:val="TableParagraph"/>
              <w:rPr>
                <w:rFonts w:ascii="黑体"/>
                <w:sz w:val="20"/>
              </w:rPr>
            </w:pPr>
          </w:p>
          <w:p>
            <w:pPr>
              <w:pStyle w:val="TableParagraph"/>
              <w:spacing w:before="9"/>
              <w:rPr>
                <w:rFonts w:ascii="黑体"/>
                <w:sz w:val="17"/>
              </w:rPr>
            </w:pPr>
          </w:p>
          <w:p>
            <w:pPr>
              <w:pStyle w:val="TableParagraph"/>
              <w:ind w:left="145" w:right="146"/>
              <w:jc w:val="center"/>
              <w:rPr>
                <w:sz w:val="20"/>
              </w:rPr>
            </w:pPr>
            <w:r>
              <w:rPr>
                <w:sz w:val="20"/>
              </w:rPr>
              <w:t>33</w:t>
            </w:r>
          </w:p>
        </w:tc>
        <w:tc>
          <w:tcPr>
            <w:tcW w:w="2160" w:type="dxa"/>
          </w:tcPr>
          <w:p>
            <w:pPr>
              <w:pStyle w:val="TableParagraph"/>
              <w:rPr>
                <w:rFonts w:ascii="黑体"/>
                <w:sz w:val="28"/>
              </w:rPr>
            </w:pPr>
          </w:p>
          <w:p>
            <w:pPr>
              <w:pStyle w:val="TableParagraph"/>
              <w:spacing w:line="237" w:lineRule="auto"/>
              <w:ind w:left="374" w:right="156" w:hanging="200"/>
              <w:rPr>
                <w:sz w:val="20"/>
              </w:rPr>
            </w:pPr>
            <w:r>
              <w:rPr>
                <w:sz w:val="20"/>
              </w:rPr>
              <w:t>五通桥区城市供水后备水源连结工程</w:t>
            </w:r>
          </w:p>
        </w:tc>
        <w:tc>
          <w:tcPr>
            <w:tcW w:w="1260" w:type="dxa"/>
          </w:tcPr>
          <w:p>
            <w:pPr>
              <w:pStyle w:val="TableParagraph"/>
              <w:rPr>
                <w:rFonts w:ascii="黑体"/>
                <w:sz w:val="20"/>
              </w:rPr>
            </w:pPr>
          </w:p>
          <w:p>
            <w:pPr>
              <w:pStyle w:val="TableParagraph"/>
              <w:spacing w:before="9"/>
              <w:rPr>
                <w:rFonts w:ascii="黑体"/>
                <w:sz w:val="17"/>
              </w:rPr>
            </w:pPr>
          </w:p>
          <w:p>
            <w:pPr>
              <w:pStyle w:val="TableParagraph"/>
              <w:ind w:left="154" w:right="154"/>
              <w:jc w:val="center"/>
              <w:rPr>
                <w:sz w:val="20"/>
              </w:rPr>
            </w:pPr>
            <w:r>
              <w:rPr>
                <w:sz w:val="20"/>
              </w:rPr>
              <w:t>2018-2020</w:t>
            </w:r>
          </w:p>
        </w:tc>
        <w:tc>
          <w:tcPr>
            <w:tcW w:w="3768" w:type="dxa"/>
          </w:tcPr>
          <w:p>
            <w:pPr>
              <w:pStyle w:val="TableParagraph"/>
              <w:spacing w:line="237" w:lineRule="auto" w:before="107"/>
              <w:ind w:left="131" w:right="130"/>
              <w:jc w:val="center"/>
              <w:rPr>
                <w:sz w:val="20"/>
              </w:rPr>
            </w:pPr>
            <w:r>
              <w:rPr>
                <w:sz w:val="20"/>
              </w:rPr>
              <w:t>观斗山水厂与五通城区供水管网并网工</w:t>
            </w:r>
            <w:r>
              <w:rPr>
                <w:spacing w:val="-9"/>
                <w:sz w:val="20"/>
              </w:rPr>
              <w:t>程；安谷水厂与五通城区供水管网并网工程；市中区城市管网与五通城区供水管网并网工程</w:t>
            </w:r>
          </w:p>
        </w:tc>
        <w:tc>
          <w:tcPr>
            <w:tcW w:w="1116" w:type="dxa"/>
          </w:tcPr>
          <w:p>
            <w:pPr>
              <w:pStyle w:val="TableParagraph"/>
              <w:rPr>
                <w:rFonts w:ascii="黑体"/>
                <w:sz w:val="20"/>
              </w:rPr>
            </w:pPr>
          </w:p>
          <w:p>
            <w:pPr>
              <w:pStyle w:val="TableParagraph"/>
              <w:spacing w:before="9"/>
              <w:rPr>
                <w:rFonts w:ascii="黑体"/>
                <w:sz w:val="17"/>
              </w:rPr>
            </w:pPr>
          </w:p>
          <w:p>
            <w:pPr>
              <w:pStyle w:val="TableParagraph"/>
              <w:ind w:left="182" w:right="183"/>
              <w:jc w:val="center"/>
              <w:rPr>
                <w:sz w:val="20"/>
              </w:rPr>
            </w:pPr>
            <w:r>
              <w:rPr>
                <w:sz w:val="20"/>
              </w:rPr>
              <w:t>7000</w:t>
            </w:r>
          </w:p>
        </w:tc>
        <w:tc>
          <w:tcPr>
            <w:tcW w:w="1087" w:type="dxa"/>
          </w:tcPr>
          <w:p>
            <w:pPr>
              <w:pStyle w:val="TableParagraph"/>
              <w:rPr>
                <w:rFonts w:ascii="黑体"/>
                <w:sz w:val="28"/>
              </w:rPr>
            </w:pPr>
          </w:p>
          <w:p>
            <w:pPr>
              <w:pStyle w:val="TableParagraph"/>
              <w:spacing w:line="237" w:lineRule="auto"/>
              <w:ind w:left="338" w:right="119" w:hanging="200"/>
              <w:rPr>
                <w:sz w:val="20"/>
              </w:rPr>
            </w:pPr>
            <w:r>
              <w:rPr>
                <w:sz w:val="20"/>
              </w:rPr>
              <w:t>水务和林业局</w:t>
            </w:r>
          </w:p>
        </w:tc>
      </w:tr>
      <w:tr>
        <w:trPr>
          <w:trHeight w:val="760" w:hRule="atLeast"/>
        </w:trPr>
        <w:tc>
          <w:tcPr>
            <w:tcW w:w="544" w:type="dxa"/>
          </w:tcPr>
          <w:p>
            <w:pPr>
              <w:pStyle w:val="TableParagraph"/>
              <w:spacing w:before="4"/>
              <w:rPr>
                <w:rFonts w:ascii="黑体"/>
                <w:sz w:val="17"/>
              </w:rPr>
            </w:pPr>
          </w:p>
          <w:p>
            <w:pPr>
              <w:pStyle w:val="TableParagraph"/>
              <w:ind w:left="145" w:right="146"/>
              <w:jc w:val="center"/>
              <w:rPr>
                <w:sz w:val="20"/>
              </w:rPr>
            </w:pPr>
            <w:r>
              <w:rPr>
                <w:sz w:val="20"/>
              </w:rPr>
              <w:t>34</w:t>
            </w:r>
          </w:p>
        </w:tc>
        <w:tc>
          <w:tcPr>
            <w:tcW w:w="2160" w:type="dxa"/>
          </w:tcPr>
          <w:p>
            <w:pPr>
              <w:pStyle w:val="TableParagraph"/>
              <w:spacing w:line="237" w:lineRule="auto" w:before="100"/>
              <w:ind w:left="874" w:right="156" w:hanging="700"/>
              <w:rPr>
                <w:sz w:val="20"/>
              </w:rPr>
            </w:pPr>
            <w:r>
              <w:rPr>
                <w:sz w:val="20"/>
              </w:rPr>
              <w:t>五通桥水厂扩容改造工程</w:t>
            </w:r>
          </w:p>
        </w:tc>
        <w:tc>
          <w:tcPr>
            <w:tcW w:w="1260" w:type="dxa"/>
          </w:tcPr>
          <w:p>
            <w:pPr>
              <w:pStyle w:val="TableParagraph"/>
              <w:spacing w:before="4"/>
              <w:rPr>
                <w:rFonts w:ascii="黑体"/>
                <w:sz w:val="17"/>
              </w:rPr>
            </w:pPr>
          </w:p>
          <w:p>
            <w:pPr>
              <w:pStyle w:val="TableParagraph"/>
              <w:ind w:left="154" w:right="154"/>
              <w:jc w:val="center"/>
              <w:rPr>
                <w:sz w:val="20"/>
              </w:rPr>
            </w:pPr>
            <w:r>
              <w:rPr>
                <w:sz w:val="20"/>
              </w:rPr>
              <w:t>2018-2020</w:t>
            </w:r>
          </w:p>
        </w:tc>
        <w:tc>
          <w:tcPr>
            <w:tcW w:w="3768" w:type="dxa"/>
          </w:tcPr>
          <w:p>
            <w:pPr>
              <w:pStyle w:val="TableParagraph"/>
              <w:spacing w:before="4"/>
              <w:rPr>
                <w:rFonts w:ascii="黑体"/>
                <w:sz w:val="17"/>
              </w:rPr>
            </w:pPr>
          </w:p>
          <w:p>
            <w:pPr>
              <w:pStyle w:val="TableParagraph"/>
              <w:ind w:left="58" w:right="58"/>
              <w:jc w:val="center"/>
              <w:rPr>
                <w:sz w:val="20"/>
              </w:rPr>
            </w:pPr>
            <w:r>
              <w:rPr>
                <w:sz w:val="20"/>
              </w:rPr>
              <w:t>对五通桥区城市供水水厂进行扩容改造</w:t>
            </w:r>
          </w:p>
        </w:tc>
        <w:tc>
          <w:tcPr>
            <w:tcW w:w="1116" w:type="dxa"/>
          </w:tcPr>
          <w:p>
            <w:pPr>
              <w:pStyle w:val="TableParagraph"/>
              <w:spacing w:before="4"/>
              <w:rPr>
                <w:rFonts w:ascii="黑体"/>
                <w:sz w:val="17"/>
              </w:rPr>
            </w:pPr>
          </w:p>
          <w:p>
            <w:pPr>
              <w:pStyle w:val="TableParagraph"/>
              <w:ind w:left="182" w:right="183"/>
              <w:jc w:val="center"/>
              <w:rPr>
                <w:sz w:val="20"/>
              </w:rPr>
            </w:pPr>
            <w:r>
              <w:rPr>
                <w:sz w:val="20"/>
              </w:rPr>
              <w:t>3200</w:t>
            </w:r>
          </w:p>
        </w:tc>
        <w:tc>
          <w:tcPr>
            <w:tcW w:w="1087" w:type="dxa"/>
          </w:tcPr>
          <w:p>
            <w:pPr>
              <w:pStyle w:val="TableParagraph"/>
              <w:spacing w:line="237" w:lineRule="auto" w:before="100"/>
              <w:ind w:left="338" w:right="119" w:hanging="200"/>
              <w:rPr>
                <w:sz w:val="20"/>
              </w:rPr>
            </w:pPr>
            <w:r>
              <w:rPr>
                <w:sz w:val="20"/>
              </w:rPr>
              <w:t>水务和林业局</w:t>
            </w:r>
          </w:p>
        </w:tc>
      </w:tr>
      <w:tr>
        <w:trPr>
          <w:trHeight w:val="780" w:hRule="atLeast"/>
        </w:trPr>
        <w:tc>
          <w:tcPr>
            <w:tcW w:w="544" w:type="dxa"/>
          </w:tcPr>
          <w:p>
            <w:pPr>
              <w:pStyle w:val="TableParagraph"/>
              <w:spacing w:before="5"/>
              <w:rPr>
                <w:rFonts w:ascii="黑体"/>
                <w:sz w:val="17"/>
              </w:rPr>
            </w:pPr>
          </w:p>
          <w:p>
            <w:pPr>
              <w:pStyle w:val="TableParagraph"/>
              <w:ind w:left="145" w:right="146"/>
              <w:jc w:val="center"/>
              <w:rPr>
                <w:sz w:val="20"/>
              </w:rPr>
            </w:pPr>
            <w:r>
              <w:rPr>
                <w:sz w:val="20"/>
              </w:rPr>
              <w:t>35</w:t>
            </w:r>
          </w:p>
        </w:tc>
        <w:tc>
          <w:tcPr>
            <w:tcW w:w="2160" w:type="dxa"/>
          </w:tcPr>
          <w:p>
            <w:pPr>
              <w:pStyle w:val="TableParagraph"/>
              <w:spacing w:before="98"/>
              <w:ind w:left="274" w:right="156" w:hanging="100"/>
              <w:rPr>
                <w:sz w:val="20"/>
              </w:rPr>
            </w:pPr>
            <w:r>
              <w:rPr>
                <w:sz w:val="20"/>
              </w:rPr>
              <w:t>五通桥区观斗山水厂后备水源建设项目</w:t>
            </w:r>
          </w:p>
        </w:tc>
        <w:tc>
          <w:tcPr>
            <w:tcW w:w="1260" w:type="dxa"/>
          </w:tcPr>
          <w:p>
            <w:pPr>
              <w:pStyle w:val="TableParagraph"/>
              <w:spacing w:before="5"/>
              <w:rPr>
                <w:rFonts w:ascii="黑体"/>
                <w:sz w:val="17"/>
              </w:rPr>
            </w:pPr>
          </w:p>
          <w:p>
            <w:pPr>
              <w:pStyle w:val="TableParagraph"/>
              <w:ind w:left="154" w:right="154"/>
              <w:jc w:val="center"/>
              <w:rPr>
                <w:sz w:val="20"/>
              </w:rPr>
            </w:pPr>
            <w:r>
              <w:rPr>
                <w:sz w:val="20"/>
              </w:rPr>
              <w:t>2016-2017</w:t>
            </w:r>
          </w:p>
        </w:tc>
        <w:tc>
          <w:tcPr>
            <w:tcW w:w="3768" w:type="dxa"/>
          </w:tcPr>
          <w:p>
            <w:pPr>
              <w:pStyle w:val="TableParagraph"/>
              <w:spacing w:before="98"/>
              <w:ind w:left="977" w:right="36" w:hanging="875"/>
              <w:rPr>
                <w:sz w:val="20"/>
              </w:rPr>
            </w:pPr>
            <w:r>
              <w:rPr>
                <w:sz w:val="20"/>
              </w:rPr>
              <w:t>观斗山水厂后备水源点建设，拟从西溶水库提水到观斗山水厂</w:t>
            </w:r>
          </w:p>
        </w:tc>
        <w:tc>
          <w:tcPr>
            <w:tcW w:w="1116" w:type="dxa"/>
          </w:tcPr>
          <w:p>
            <w:pPr>
              <w:pStyle w:val="TableParagraph"/>
              <w:spacing w:before="5"/>
              <w:rPr>
                <w:rFonts w:ascii="黑体"/>
                <w:sz w:val="17"/>
              </w:rPr>
            </w:pPr>
          </w:p>
          <w:p>
            <w:pPr>
              <w:pStyle w:val="TableParagraph"/>
              <w:ind w:left="182" w:right="183"/>
              <w:jc w:val="center"/>
              <w:rPr>
                <w:sz w:val="20"/>
              </w:rPr>
            </w:pPr>
            <w:r>
              <w:rPr>
                <w:sz w:val="20"/>
              </w:rPr>
              <w:t>1200</w:t>
            </w:r>
          </w:p>
        </w:tc>
        <w:tc>
          <w:tcPr>
            <w:tcW w:w="1087" w:type="dxa"/>
          </w:tcPr>
          <w:p>
            <w:pPr>
              <w:pStyle w:val="TableParagraph"/>
              <w:spacing w:before="98"/>
              <w:ind w:left="338" w:right="119" w:hanging="200"/>
              <w:rPr>
                <w:sz w:val="20"/>
              </w:rPr>
            </w:pPr>
            <w:r>
              <w:rPr>
                <w:sz w:val="20"/>
              </w:rPr>
              <w:t>水务和林业局</w:t>
            </w:r>
          </w:p>
        </w:tc>
      </w:tr>
      <w:tr>
        <w:trPr>
          <w:trHeight w:val="760" w:hRule="atLeast"/>
        </w:trPr>
        <w:tc>
          <w:tcPr>
            <w:tcW w:w="544" w:type="dxa"/>
          </w:tcPr>
          <w:p>
            <w:pPr>
              <w:pStyle w:val="TableParagraph"/>
              <w:spacing w:before="10"/>
              <w:rPr>
                <w:rFonts w:ascii="黑体"/>
                <w:sz w:val="16"/>
              </w:rPr>
            </w:pPr>
          </w:p>
          <w:p>
            <w:pPr>
              <w:pStyle w:val="TableParagraph"/>
              <w:ind w:left="145" w:right="146"/>
              <w:jc w:val="center"/>
              <w:rPr>
                <w:sz w:val="20"/>
              </w:rPr>
            </w:pPr>
            <w:r>
              <w:rPr>
                <w:sz w:val="20"/>
              </w:rPr>
              <w:t>36</w:t>
            </w:r>
          </w:p>
        </w:tc>
        <w:tc>
          <w:tcPr>
            <w:tcW w:w="2160" w:type="dxa"/>
          </w:tcPr>
          <w:p>
            <w:pPr>
              <w:pStyle w:val="TableParagraph"/>
              <w:spacing w:line="237" w:lineRule="auto" w:before="93"/>
              <w:ind w:left="773" w:right="156" w:hanging="599"/>
              <w:rPr>
                <w:sz w:val="20"/>
              </w:rPr>
            </w:pPr>
            <w:r>
              <w:rPr>
                <w:sz w:val="20"/>
              </w:rPr>
              <w:t>刘家山水厂水源地保护工程</w:t>
            </w:r>
          </w:p>
        </w:tc>
        <w:tc>
          <w:tcPr>
            <w:tcW w:w="1260" w:type="dxa"/>
          </w:tcPr>
          <w:p>
            <w:pPr>
              <w:pStyle w:val="TableParagraph"/>
              <w:spacing w:before="10"/>
              <w:rPr>
                <w:rFonts w:ascii="黑体"/>
                <w:sz w:val="16"/>
              </w:rPr>
            </w:pPr>
          </w:p>
          <w:p>
            <w:pPr>
              <w:pStyle w:val="TableParagraph"/>
              <w:ind w:left="154" w:right="154"/>
              <w:jc w:val="center"/>
              <w:rPr>
                <w:sz w:val="20"/>
              </w:rPr>
            </w:pPr>
            <w:r>
              <w:rPr>
                <w:sz w:val="20"/>
              </w:rPr>
              <w:t>2016-2020</w:t>
            </w:r>
          </w:p>
        </w:tc>
        <w:tc>
          <w:tcPr>
            <w:tcW w:w="3768" w:type="dxa"/>
          </w:tcPr>
          <w:p>
            <w:pPr>
              <w:pStyle w:val="TableParagraph"/>
              <w:spacing w:before="10"/>
              <w:rPr>
                <w:rFonts w:ascii="黑体"/>
                <w:sz w:val="16"/>
              </w:rPr>
            </w:pPr>
          </w:p>
          <w:p>
            <w:pPr>
              <w:pStyle w:val="TableParagraph"/>
              <w:ind w:left="58" w:right="58"/>
              <w:jc w:val="center"/>
              <w:rPr>
                <w:sz w:val="20"/>
              </w:rPr>
            </w:pPr>
            <w:r>
              <w:rPr>
                <w:sz w:val="20"/>
              </w:rPr>
              <w:t>界碑设置、污染物隔离、防护及处理</w:t>
            </w:r>
          </w:p>
        </w:tc>
        <w:tc>
          <w:tcPr>
            <w:tcW w:w="1116" w:type="dxa"/>
          </w:tcPr>
          <w:p>
            <w:pPr>
              <w:pStyle w:val="TableParagraph"/>
              <w:spacing w:before="10"/>
              <w:rPr>
                <w:rFonts w:ascii="黑体"/>
                <w:sz w:val="16"/>
              </w:rPr>
            </w:pPr>
          </w:p>
          <w:p>
            <w:pPr>
              <w:pStyle w:val="TableParagraph"/>
              <w:ind w:left="182" w:right="183"/>
              <w:jc w:val="center"/>
              <w:rPr>
                <w:sz w:val="20"/>
              </w:rPr>
            </w:pPr>
            <w:r>
              <w:rPr>
                <w:sz w:val="20"/>
              </w:rPr>
              <w:t>500</w:t>
            </w:r>
          </w:p>
        </w:tc>
        <w:tc>
          <w:tcPr>
            <w:tcW w:w="1087" w:type="dxa"/>
          </w:tcPr>
          <w:p>
            <w:pPr>
              <w:pStyle w:val="TableParagraph"/>
              <w:spacing w:line="237" w:lineRule="auto" w:before="93"/>
              <w:ind w:left="338" w:right="119" w:hanging="200"/>
              <w:rPr>
                <w:sz w:val="20"/>
              </w:rPr>
            </w:pPr>
            <w:r>
              <w:rPr>
                <w:sz w:val="20"/>
              </w:rPr>
              <w:t>水务和林业局</w:t>
            </w:r>
          </w:p>
        </w:tc>
      </w:tr>
      <w:tr>
        <w:trPr>
          <w:trHeight w:val="760" w:hRule="atLeast"/>
        </w:trPr>
        <w:tc>
          <w:tcPr>
            <w:tcW w:w="544" w:type="dxa"/>
          </w:tcPr>
          <w:p>
            <w:pPr>
              <w:pStyle w:val="TableParagraph"/>
              <w:spacing w:before="5"/>
              <w:rPr>
                <w:rFonts w:ascii="黑体"/>
                <w:sz w:val="17"/>
              </w:rPr>
            </w:pPr>
          </w:p>
          <w:p>
            <w:pPr>
              <w:pStyle w:val="TableParagraph"/>
              <w:ind w:left="145" w:right="146"/>
              <w:jc w:val="center"/>
              <w:rPr>
                <w:sz w:val="20"/>
              </w:rPr>
            </w:pPr>
            <w:r>
              <w:rPr>
                <w:sz w:val="20"/>
              </w:rPr>
              <w:t>37</w:t>
            </w:r>
          </w:p>
        </w:tc>
        <w:tc>
          <w:tcPr>
            <w:tcW w:w="2160" w:type="dxa"/>
          </w:tcPr>
          <w:p>
            <w:pPr>
              <w:pStyle w:val="TableParagraph"/>
              <w:spacing w:line="237" w:lineRule="auto" w:before="101"/>
              <w:ind w:left="773" w:right="156" w:hanging="599"/>
              <w:rPr>
                <w:sz w:val="20"/>
              </w:rPr>
            </w:pPr>
            <w:r>
              <w:rPr>
                <w:sz w:val="20"/>
              </w:rPr>
              <w:t>观斗山水厂水源地保护工程</w:t>
            </w:r>
          </w:p>
        </w:tc>
        <w:tc>
          <w:tcPr>
            <w:tcW w:w="1260" w:type="dxa"/>
          </w:tcPr>
          <w:p>
            <w:pPr>
              <w:pStyle w:val="TableParagraph"/>
              <w:spacing w:before="5"/>
              <w:rPr>
                <w:rFonts w:ascii="黑体"/>
                <w:sz w:val="17"/>
              </w:rPr>
            </w:pPr>
          </w:p>
          <w:p>
            <w:pPr>
              <w:pStyle w:val="TableParagraph"/>
              <w:ind w:left="154" w:right="154"/>
              <w:jc w:val="center"/>
              <w:rPr>
                <w:sz w:val="20"/>
              </w:rPr>
            </w:pPr>
            <w:r>
              <w:rPr>
                <w:sz w:val="20"/>
              </w:rPr>
              <w:t>2016-2020</w:t>
            </w:r>
          </w:p>
        </w:tc>
        <w:tc>
          <w:tcPr>
            <w:tcW w:w="3768" w:type="dxa"/>
          </w:tcPr>
          <w:p>
            <w:pPr>
              <w:pStyle w:val="TableParagraph"/>
              <w:spacing w:before="5"/>
              <w:rPr>
                <w:rFonts w:ascii="黑体"/>
                <w:sz w:val="17"/>
              </w:rPr>
            </w:pPr>
          </w:p>
          <w:p>
            <w:pPr>
              <w:pStyle w:val="TableParagraph"/>
              <w:ind w:left="58" w:right="58"/>
              <w:jc w:val="center"/>
              <w:rPr>
                <w:sz w:val="20"/>
              </w:rPr>
            </w:pPr>
            <w:r>
              <w:rPr>
                <w:sz w:val="20"/>
              </w:rPr>
              <w:t>界碑设置、污染物隔离、防护及处理</w:t>
            </w:r>
          </w:p>
        </w:tc>
        <w:tc>
          <w:tcPr>
            <w:tcW w:w="1116" w:type="dxa"/>
          </w:tcPr>
          <w:p>
            <w:pPr>
              <w:pStyle w:val="TableParagraph"/>
              <w:spacing w:before="5"/>
              <w:rPr>
                <w:rFonts w:ascii="黑体"/>
                <w:sz w:val="17"/>
              </w:rPr>
            </w:pPr>
          </w:p>
          <w:p>
            <w:pPr>
              <w:pStyle w:val="TableParagraph"/>
              <w:ind w:left="182" w:right="183"/>
              <w:jc w:val="center"/>
              <w:rPr>
                <w:sz w:val="20"/>
              </w:rPr>
            </w:pPr>
            <w:r>
              <w:rPr>
                <w:sz w:val="20"/>
              </w:rPr>
              <w:t>1000</w:t>
            </w:r>
          </w:p>
        </w:tc>
        <w:tc>
          <w:tcPr>
            <w:tcW w:w="1087" w:type="dxa"/>
          </w:tcPr>
          <w:p>
            <w:pPr>
              <w:pStyle w:val="TableParagraph"/>
              <w:spacing w:line="237" w:lineRule="auto" w:before="101"/>
              <w:ind w:left="338" w:right="119" w:hanging="200"/>
              <w:rPr>
                <w:sz w:val="20"/>
              </w:rPr>
            </w:pPr>
            <w:r>
              <w:rPr>
                <w:sz w:val="20"/>
              </w:rPr>
              <w:t>水务和林业局</w:t>
            </w:r>
          </w:p>
        </w:tc>
      </w:tr>
      <w:tr>
        <w:trPr>
          <w:trHeight w:val="600" w:hRule="atLeast"/>
        </w:trPr>
        <w:tc>
          <w:tcPr>
            <w:tcW w:w="544" w:type="dxa"/>
          </w:tcPr>
          <w:p>
            <w:pPr>
              <w:pStyle w:val="TableParagraph"/>
              <w:spacing w:before="139"/>
              <w:ind w:left="145" w:right="146"/>
              <w:jc w:val="center"/>
              <w:rPr>
                <w:sz w:val="20"/>
              </w:rPr>
            </w:pPr>
            <w:r>
              <w:rPr>
                <w:sz w:val="20"/>
              </w:rPr>
              <w:t>38</w:t>
            </w:r>
          </w:p>
        </w:tc>
        <w:tc>
          <w:tcPr>
            <w:tcW w:w="2160" w:type="dxa"/>
          </w:tcPr>
          <w:p>
            <w:pPr>
              <w:pStyle w:val="TableParagraph"/>
              <w:spacing w:line="237" w:lineRule="auto" w:before="12"/>
              <w:ind w:left="874" w:right="156" w:hanging="700"/>
              <w:rPr>
                <w:sz w:val="20"/>
              </w:rPr>
            </w:pPr>
            <w:r>
              <w:rPr>
                <w:sz w:val="20"/>
              </w:rPr>
              <w:t>争鸣水厂水源地保护工程</w:t>
            </w:r>
          </w:p>
        </w:tc>
        <w:tc>
          <w:tcPr>
            <w:tcW w:w="1260" w:type="dxa"/>
          </w:tcPr>
          <w:p>
            <w:pPr>
              <w:pStyle w:val="TableParagraph"/>
              <w:spacing w:before="139"/>
              <w:ind w:left="154" w:right="154"/>
              <w:jc w:val="center"/>
              <w:rPr>
                <w:sz w:val="20"/>
              </w:rPr>
            </w:pPr>
            <w:r>
              <w:rPr>
                <w:sz w:val="20"/>
              </w:rPr>
              <w:t>2016-2020</w:t>
            </w:r>
          </w:p>
        </w:tc>
        <w:tc>
          <w:tcPr>
            <w:tcW w:w="3768" w:type="dxa"/>
          </w:tcPr>
          <w:p>
            <w:pPr>
              <w:pStyle w:val="TableParagraph"/>
              <w:spacing w:before="139"/>
              <w:ind w:left="58" w:right="58"/>
              <w:jc w:val="center"/>
              <w:rPr>
                <w:sz w:val="20"/>
              </w:rPr>
            </w:pPr>
            <w:r>
              <w:rPr>
                <w:sz w:val="20"/>
              </w:rPr>
              <w:t>界碑设置、污染物隔离、防护及处理</w:t>
            </w:r>
          </w:p>
        </w:tc>
        <w:tc>
          <w:tcPr>
            <w:tcW w:w="1116" w:type="dxa"/>
          </w:tcPr>
          <w:p>
            <w:pPr>
              <w:pStyle w:val="TableParagraph"/>
              <w:spacing w:before="139"/>
              <w:ind w:left="182" w:right="183"/>
              <w:jc w:val="center"/>
              <w:rPr>
                <w:sz w:val="20"/>
              </w:rPr>
            </w:pPr>
            <w:r>
              <w:rPr>
                <w:sz w:val="20"/>
              </w:rPr>
              <w:t>800</w:t>
            </w:r>
          </w:p>
        </w:tc>
        <w:tc>
          <w:tcPr>
            <w:tcW w:w="1087" w:type="dxa"/>
          </w:tcPr>
          <w:p>
            <w:pPr>
              <w:pStyle w:val="TableParagraph"/>
              <w:spacing w:line="237" w:lineRule="auto" w:before="12"/>
              <w:ind w:left="338" w:right="119" w:hanging="200"/>
              <w:rPr>
                <w:sz w:val="20"/>
              </w:rPr>
            </w:pPr>
            <w:r>
              <w:rPr>
                <w:sz w:val="20"/>
              </w:rPr>
              <w:t>水务和林业局</w:t>
            </w:r>
          </w:p>
        </w:tc>
      </w:tr>
      <w:tr>
        <w:trPr>
          <w:trHeight w:val="620" w:hRule="atLeast"/>
        </w:trPr>
        <w:tc>
          <w:tcPr>
            <w:tcW w:w="544" w:type="dxa"/>
          </w:tcPr>
          <w:p>
            <w:pPr>
              <w:pStyle w:val="TableParagraph"/>
              <w:spacing w:before="151"/>
              <w:ind w:left="145" w:right="146"/>
              <w:jc w:val="center"/>
              <w:rPr>
                <w:sz w:val="20"/>
              </w:rPr>
            </w:pPr>
            <w:r>
              <w:rPr>
                <w:sz w:val="20"/>
              </w:rPr>
              <w:t>39</w:t>
            </w:r>
          </w:p>
        </w:tc>
        <w:tc>
          <w:tcPr>
            <w:tcW w:w="2160" w:type="dxa"/>
          </w:tcPr>
          <w:p>
            <w:pPr>
              <w:pStyle w:val="TableParagraph"/>
              <w:spacing w:line="237" w:lineRule="auto" w:before="24"/>
              <w:ind w:left="773" w:right="156" w:hanging="599"/>
              <w:rPr>
                <w:sz w:val="20"/>
              </w:rPr>
            </w:pPr>
            <w:r>
              <w:rPr>
                <w:sz w:val="20"/>
              </w:rPr>
              <w:t>苦竹嘴水厂水源地保护工程</w:t>
            </w:r>
          </w:p>
        </w:tc>
        <w:tc>
          <w:tcPr>
            <w:tcW w:w="1260" w:type="dxa"/>
          </w:tcPr>
          <w:p>
            <w:pPr>
              <w:pStyle w:val="TableParagraph"/>
              <w:spacing w:before="151"/>
              <w:ind w:left="154" w:right="154"/>
              <w:jc w:val="center"/>
              <w:rPr>
                <w:sz w:val="20"/>
              </w:rPr>
            </w:pPr>
            <w:r>
              <w:rPr>
                <w:sz w:val="20"/>
              </w:rPr>
              <w:t>2016-2020</w:t>
            </w:r>
          </w:p>
        </w:tc>
        <w:tc>
          <w:tcPr>
            <w:tcW w:w="3768" w:type="dxa"/>
          </w:tcPr>
          <w:p>
            <w:pPr>
              <w:pStyle w:val="TableParagraph"/>
              <w:spacing w:before="151"/>
              <w:ind w:left="58" w:right="58"/>
              <w:jc w:val="center"/>
              <w:rPr>
                <w:sz w:val="20"/>
              </w:rPr>
            </w:pPr>
            <w:r>
              <w:rPr>
                <w:sz w:val="20"/>
              </w:rPr>
              <w:t>界碑设置、污染物隔离、防护及处理</w:t>
            </w:r>
          </w:p>
        </w:tc>
        <w:tc>
          <w:tcPr>
            <w:tcW w:w="1116" w:type="dxa"/>
          </w:tcPr>
          <w:p>
            <w:pPr>
              <w:pStyle w:val="TableParagraph"/>
              <w:spacing w:before="151"/>
              <w:ind w:left="182" w:right="183"/>
              <w:jc w:val="center"/>
              <w:rPr>
                <w:sz w:val="20"/>
              </w:rPr>
            </w:pPr>
            <w:r>
              <w:rPr>
                <w:sz w:val="20"/>
              </w:rPr>
              <w:t>200</w:t>
            </w:r>
          </w:p>
        </w:tc>
        <w:tc>
          <w:tcPr>
            <w:tcW w:w="1087" w:type="dxa"/>
          </w:tcPr>
          <w:p>
            <w:pPr>
              <w:pStyle w:val="TableParagraph"/>
              <w:spacing w:line="237" w:lineRule="auto" w:before="24"/>
              <w:ind w:left="338" w:right="119" w:hanging="200"/>
              <w:rPr>
                <w:sz w:val="20"/>
              </w:rPr>
            </w:pPr>
            <w:r>
              <w:rPr>
                <w:sz w:val="20"/>
              </w:rPr>
              <w:t>水务和林业局</w:t>
            </w:r>
          </w:p>
        </w:tc>
      </w:tr>
      <w:tr>
        <w:trPr>
          <w:trHeight w:val="580" w:hRule="atLeast"/>
        </w:trPr>
        <w:tc>
          <w:tcPr>
            <w:tcW w:w="544" w:type="dxa"/>
          </w:tcPr>
          <w:p>
            <w:pPr>
              <w:pStyle w:val="TableParagraph"/>
              <w:spacing w:before="134"/>
              <w:ind w:left="145" w:right="146"/>
              <w:jc w:val="center"/>
              <w:rPr>
                <w:sz w:val="20"/>
              </w:rPr>
            </w:pPr>
            <w:r>
              <w:rPr>
                <w:sz w:val="20"/>
              </w:rPr>
              <w:t>40</w:t>
            </w:r>
          </w:p>
        </w:tc>
        <w:tc>
          <w:tcPr>
            <w:tcW w:w="2160" w:type="dxa"/>
          </w:tcPr>
          <w:p>
            <w:pPr>
              <w:pStyle w:val="TableParagraph"/>
              <w:spacing w:line="237" w:lineRule="auto" w:before="7"/>
              <w:ind w:left="773" w:right="156" w:hanging="599"/>
              <w:rPr>
                <w:sz w:val="20"/>
              </w:rPr>
            </w:pPr>
            <w:r>
              <w:rPr>
                <w:sz w:val="20"/>
              </w:rPr>
              <w:t>金家滩水厂水源地保护工程</w:t>
            </w:r>
          </w:p>
        </w:tc>
        <w:tc>
          <w:tcPr>
            <w:tcW w:w="1260" w:type="dxa"/>
          </w:tcPr>
          <w:p>
            <w:pPr>
              <w:pStyle w:val="TableParagraph"/>
              <w:spacing w:before="134"/>
              <w:ind w:left="154" w:right="154"/>
              <w:jc w:val="center"/>
              <w:rPr>
                <w:sz w:val="20"/>
              </w:rPr>
            </w:pPr>
            <w:r>
              <w:rPr>
                <w:sz w:val="20"/>
              </w:rPr>
              <w:t>2016-2020</w:t>
            </w:r>
          </w:p>
        </w:tc>
        <w:tc>
          <w:tcPr>
            <w:tcW w:w="3768" w:type="dxa"/>
          </w:tcPr>
          <w:p>
            <w:pPr>
              <w:pStyle w:val="TableParagraph"/>
              <w:spacing w:before="134"/>
              <w:ind w:left="58" w:right="58"/>
              <w:jc w:val="center"/>
              <w:rPr>
                <w:sz w:val="20"/>
              </w:rPr>
            </w:pPr>
            <w:r>
              <w:rPr>
                <w:sz w:val="20"/>
              </w:rPr>
              <w:t>界碑设置、污染物隔离、防护及处理</w:t>
            </w:r>
          </w:p>
        </w:tc>
        <w:tc>
          <w:tcPr>
            <w:tcW w:w="1116" w:type="dxa"/>
          </w:tcPr>
          <w:p>
            <w:pPr>
              <w:pStyle w:val="TableParagraph"/>
              <w:spacing w:before="134"/>
              <w:ind w:left="182" w:right="183"/>
              <w:jc w:val="center"/>
              <w:rPr>
                <w:sz w:val="20"/>
              </w:rPr>
            </w:pPr>
            <w:r>
              <w:rPr>
                <w:sz w:val="20"/>
              </w:rPr>
              <w:t>100</w:t>
            </w:r>
          </w:p>
        </w:tc>
        <w:tc>
          <w:tcPr>
            <w:tcW w:w="1087" w:type="dxa"/>
          </w:tcPr>
          <w:p>
            <w:pPr>
              <w:pStyle w:val="TableParagraph"/>
              <w:spacing w:line="237" w:lineRule="auto" w:before="7"/>
              <w:ind w:left="338" w:right="119" w:hanging="200"/>
              <w:rPr>
                <w:sz w:val="20"/>
              </w:rPr>
            </w:pPr>
            <w:r>
              <w:rPr>
                <w:sz w:val="20"/>
              </w:rPr>
              <w:t>水务和林业局</w:t>
            </w:r>
          </w:p>
        </w:tc>
      </w:tr>
      <w:tr>
        <w:trPr>
          <w:trHeight w:val="780" w:hRule="atLeast"/>
        </w:trPr>
        <w:tc>
          <w:tcPr>
            <w:tcW w:w="544" w:type="dxa"/>
          </w:tcPr>
          <w:p>
            <w:pPr>
              <w:pStyle w:val="TableParagraph"/>
              <w:spacing w:before="8"/>
              <w:rPr>
                <w:rFonts w:ascii="黑体"/>
                <w:sz w:val="17"/>
              </w:rPr>
            </w:pPr>
          </w:p>
          <w:p>
            <w:pPr>
              <w:pStyle w:val="TableParagraph"/>
              <w:ind w:left="145" w:right="146"/>
              <w:jc w:val="center"/>
              <w:rPr>
                <w:sz w:val="20"/>
              </w:rPr>
            </w:pPr>
            <w:r>
              <w:rPr>
                <w:sz w:val="20"/>
              </w:rPr>
              <w:t>41</w:t>
            </w:r>
          </w:p>
        </w:tc>
        <w:tc>
          <w:tcPr>
            <w:tcW w:w="2160" w:type="dxa"/>
          </w:tcPr>
          <w:p>
            <w:pPr>
              <w:pStyle w:val="TableParagraph"/>
              <w:spacing w:line="237" w:lineRule="auto" w:before="103"/>
              <w:ind w:left="574" w:right="115" w:hanging="450"/>
              <w:rPr>
                <w:sz w:val="20"/>
              </w:rPr>
            </w:pPr>
            <w:r>
              <w:rPr>
                <w:spacing w:val="-10"/>
                <w:sz w:val="20"/>
              </w:rPr>
              <w:t>五通桥区 </w:t>
            </w:r>
            <w:r>
              <w:rPr>
                <w:sz w:val="20"/>
              </w:rPr>
              <w:t>12</w:t>
            </w:r>
            <w:r>
              <w:rPr>
                <w:spacing w:val="-12"/>
                <w:sz w:val="20"/>
              </w:rPr>
              <w:t> 座水库水</w:t>
            </w:r>
            <w:r>
              <w:rPr>
                <w:spacing w:val="-1"/>
                <w:sz w:val="20"/>
              </w:rPr>
              <w:t>质治理工程</w:t>
            </w:r>
          </w:p>
        </w:tc>
        <w:tc>
          <w:tcPr>
            <w:tcW w:w="1260" w:type="dxa"/>
          </w:tcPr>
          <w:p>
            <w:pPr>
              <w:pStyle w:val="TableParagraph"/>
              <w:spacing w:before="8"/>
              <w:rPr>
                <w:rFonts w:ascii="黑体"/>
                <w:sz w:val="17"/>
              </w:rPr>
            </w:pPr>
          </w:p>
          <w:p>
            <w:pPr>
              <w:pStyle w:val="TableParagraph"/>
              <w:ind w:left="154" w:right="154"/>
              <w:jc w:val="center"/>
              <w:rPr>
                <w:sz w:val="20"/>
              </w:rPr>
            </w:pPr>
            <w:r>
              <w:rPr>
                <w:sz w:val="20"/>
              </w:rPr>
              <w:t>2016-2020</w:t>
            </w:r>
          </w:p>
        </w:tc>
        <w:tc>
          <w:tcPr>
            <w:tcW w:w="3768" w:type="dxa"/>
          </w:tcPr>
          <w:p>
            <w:pPr>
              <w:pStyle w:val="TableParagraph"/>
              <w:spacing w:line="237" w:lineRule="auto" w:before="103"/>
              <w:ind w:left="977" w:right="36" w:hanging="875"/>
              <w:rPr>
                <w:sz w:val="20"/>
              </w:rPr>
            </w:pPr>
            <w:r>
              <w:rPr>
                <w:sz w:val="20"/>
              </w:rPr>
              <w:t>对水库进行清淤、消毒、生物净化等手段对水库水质进行治理</w:t>
            </w:r>
          </w:p>
        </w:tc>
        <w:tc>
          <w:tcPr>
            <w:tcW w:w="1116" w:type="dxa"/>
          </w:tcPr>
          <w:p>
            <w:pPr>
              <w:pStyle w:val="TableParagraph"/>
              <w:spacing w:before="8"/>
              <w:rPr>
                <w:rFonts w:ascii="黑体"/>
                <w:sz w:val="17"/>
              </w:rPr>
            </w:pPr>
          </w:p>
          <w:p>
            <w:pPr>
              <w:pStyle w:val="TableParagraph"/>
              <w:ind w:left="182" w:right="183"/>
              <w:jc w:val="center"/>
              <w:rPr>
                <w:sz w:val="20"/>
              </w:rPr>
            </w:pPr>
            <w:r>
              <w:rPr>
                <w:sz w:val="20"/>
              </w:rPr>
              <w:t>2400</w:t>
            </w:r>
          </w:p>
        </w:tc>
        <w:tc>
          <w:tcPr>
            <w:tcW w:w="1087" w:type="dxa"/>
          </w:tcPr>
          <w:p>
            <w:pPr>
              <w:pStyle w:val="TableParagraph"/>
              <w:spacing w:line="237" w:lineRule="auto" w:before="103"/>
              <w:ind w:left="338" w:right="119" w:hanging="200"/>
              <w:rPr>
                <w:sz w:val="20"/>
              </w:rPr>
            </w:pPr>
            <w:r>
              <w:rPr>
                <w:sz w:val="20"/>
              </w:rPr>
              <w:t>水务和林业局</w:t>
            </w:r>
          </w:p>
        </w:tc>
      </w:tr>
      <w:tr>
        <w:trPr>
          <w:trHeight w:val="920" w:hRule="atLeast"/>
        </w:trPr>
        <w:tc>
          <w:tcPr>
            <w:tcW w:w="544" w:type="dxa"/>
          </w:tcPr>
          <w:p>
            <w:pPr>
              <w:pStyle w:val="TableParagraph"/>
              <w:spacing w:before="4"/>
              <w:rPr>
                <w:rFonts w:ascii="黑体"/>
                <w:sz w:val="23"/>
              </w:rPr>
            </w:pPr>
          </w:p>
          <w:p>
            <w:pPr>
              <w:pStyle w:val="TableParagraph"/>
              <w:ind w:left="145" w:right="146"/>
              <w:jc w:val="center"/>
              <w:rPr>
                <w:sz w:val="20"/>
              </w:rPr>
            </w:pPr>
            <w:r>
              <w:rPr>
                <w:sz w:val="20"/>
              </w:rPr>
              <w:t>42</w:t>
            </w:r>
          </w:p>
        </w:tc>
        <w:tc>
          <w:tcPr>
            <w:tcW w:w="2160" w:type="dxa"/>
          </w:tcPr>
          <w:p>
            <w:pPr>
              <w:pStyle w:val="TableParagraph"/>
              <w:spacing w:line="237" w:lineRule="auto" w:before="178"/>
              <w:ind w:left="475" w:right="155" w:hanging="300"/>
              <w:rPr>
                <w:sz w:val="20"/>
              </w:rPr>
            </w:pPr>
            <w:r>
              <w:rPr>
                <w:sz w:val="20"/>
              </w:rPr>
              <w:t>五通桥区水利信息化平台建设项目</w:t>
            </w:r>
          </w:p>
        </w:tc>
        <w:tc>
          <w:tcPr>
            <w:tcW w:w="1260" w:type="dxa"/>
          </w:tcPr>
          <w:p>
            <w:pPr>
              <w:pStyle w:val="TableParagraph"/>
              <w:spacing w:before="4"/>
              <w:rPr>
                <w:rFonts w:ascii="黑体"/>
                <w:sz w:val="23"/>
              </w:rPr>
            </w:pPr>
          </w:p>
          <w:p>
            <w:pPr>
              <w:pStyle w:val="TableParagraph"/>
              <w:ind w:left="154" w:right="154"/>
              <w:jc w:val="center"/>
              <w:rPr>
                <w:sz w:val="20"/>
              </w:rPr>
            </w:pPr>
            <w:r>
              <w:rPr>
                <w:sz w:val="20"/>
              </w:rPr>
              <w:t>2018-2020</w:t>
            </w:r>
          </w:p>
        </w:tc>
        <w:tc>
          <w:tcPr>
            <w:tcW w:w="3768" w:type="dxa"/>
          </w:tcPr>
          <w:p>
            <w:pPr>
              <w:pStyle w:val="TableParagraph"/>
              <w:spacing w:line="237" w:lineRule="auto" w:before="48"/>
              <w:ind w:left="62" w:right="58"/>
              <w:jc w:val="center"/>
              <w:rPr>
                <w:sz w:val="20"/>
              </w:rPr>
            </w:pPr>
            <w:r>
              <w:rPr>
                <w:sz w:val="20"/>
              </w:rPr>
              <w:t>建立一个集防汛抗旱、饮用水安全、河道采砂、水利工程建设等为一体的现代化数字管理平台</w:t>
            </w:r>
          </w:p>
        </w:tc>
        <w:tc>
          <w:tcPr>
            <w:tcW w:w="1116" w:type="dxa"/>
          </w:tcPr>
          <w:p>
            <w:pPr>
              <w:pStyle w:val="TableParagraph"/>
              <w:spacing w:before="4"/>
              <w:rPr>
                <w:rFonts w:ascii="黑体"/>
                <w:sz w:val="23"/>
              </w:rPr>
            </w:pPr>
          </w:p>
          <w:p>
            <w:pPr>
              <w:pStyle w:val="TableParagraph"/>
              <w:ind w:left="182" w:right="183"/>
              <w:jc w:val="center"/>
              <w:rPr>
                <w:sz w:val="20"/>
              </w:rPr>
            </w:pPr>
            <w:r>
              <w:rPr>
                <w:sz w:val="20"/>
              </w:rPr>
              <w:t>500</w:t>
            </w:r>
          </w:p>
        </w:tc>
        <w:tc>
          <w:tcPr>
            <w:tcW w:w="1087" w:type="dxa"/>
          </w:tcPr>
          <w:p>
            <w:pPr>
              <w:pStyle w:val="TableParagraph"/>
              <w:spacing w:line="237" w:lineRule="auto" w:before="178"/>
              <w:ind w:left="338" w:right="119" w:hanging="200"/>
              <w:rPr>
                <w:sz w:val="20"/>
              </w:rPr>
            </w:pPr>
            <w:r>
              <w:rPr>
                <w:sz w:val="20"/>
              </w:rPr>
              <w:t>水务和林业局</w:t>
            </w:r>
          </w:p>
        </w:tc>
      </w:tr>
      <w:tr>
        <w:trPr>
          <w:trHeight w:val="1220" w:hRule="atLeast"/>
        </w:trPr>
        <w:tc>
          <w:tcPr>
            <w:tcW w:w="544" w:type="dxa"/>
          </w:tcPr>
          <w:p>
            <w:pPr>
              <w:pStyle w:val="TableParagraph"/>
              <w:rPr>
                <w:rFonts w:ascii="黑体"/>
                <w:sz w:val="20"/>
              </w:rPr>
            </w:pPr>
          </w:p>
          <w:p>
            <w:pPr>
              <w:pStyle w:val="TableParagraph"/>
              <w:spacing w:before="7"/>
              <w:rPr>
                <w:rFonts w:ascii="黑体"/>
                <w:sz w:val="14"/>
              </w:rPr>
            </w:pPr>
          </w:p>
          <w:p>
            <w:pPr>
              <w:pStyle w:val="TableParagraph"/>
              <w:ind w:left="145" w:right="146"/>
              <w:jc w:val="center"/>
              <w:rPr>
                <w:sz w:val="20"/>
              </w:rPr>
            </w:pPr>
            <w:r>
              <w:rPr>
                <w:sz w:val="20"/>
              </w:rPr>
              <w:t>43</w:t>
            </w:r>
          </w:p>
        </w:tc>
        <w:tc>
          <w:tcPr>
            <w:tcW w:w="2160" w:type="dxa"/>
          </w:tcPr>
          <w:p>
            <w:pPr>
              <w:pStyle w:val="TableParagraph"/>
              <w:spacing w:before="8"/>
              <w:rPr>
                <w:rFonts w:ascii="黑体"/>
                <w:sz w:val="24"/>
              </w:rPr>
            </w:pPr>
          </w:p>
          <w:p>
            <w:pPr>
              <w:pStyle w:val="TableParagraph"/>
              <w:spacing w:before="1"/>
              <w:ind w:left="173" w:right="82" w:hanging="25"/>
              <w:rPr>
                <w:sz w:val="20"/>
              </w:rPr>
            </w:pPr>
            <w:r>
              <w:rPr>
                <w:sz w:val="20"/>
              </w:rPr>
              <w:t>2016 年度五通桥区小农水重点县建设项目</w:t>
            </w:r>
          </w:p>
        </w:tc>
        <w:tc>
          <w:tcPr>
            <w:tcW w:w="1260" w:type="dxa"/>
          </w:tcPr>
          <w:p>
            <w:pPr>
              <w:pStyle w:val="TableParagraph"/>
              <w:rPr>
                <w:rFonts w:ascii="黑体"/>
                <w:sz w:val="20"/>
              </w:rPr>
            </w:pPr>
          </w:p>
          <w:p>
            <w:pPr>
              <w:pStyle w:val="TableParagraph"/>
              <w:spacing w:before="7"/>
              <w:rPr>
                <w:rFonts w:ascii="黑体"/>
                <w:sz w:val="14"/>
              </w:rPr>
            </w:pPr>
          </w:p>
          <w:p>
            <w:pPr>
              <w:pStyle w:val="TableParagraph"/>
              <w:ind w:left="154" w:right="155"/>
              <w:jc w:val="center"/>
              <w:rPr>
                <w:sz w:val="20"/>
              </w:rPr>
            </w:pPr>
            <w:r>
              <w:rPr>
                <w:sz w:val="20"/>
              </w:rPr>
              <w:t>2016</w:t>
            </w:r>
          </w:p>
        </w:tc>
        <w:tc>
          <w:tcPr>
            <w:tcW w:w="3768" w:type="dxa"/>
          </w:tcPr>
          <w:p>
            <w:pPr>
              <w:pStyle w:val="TableParagraph"/>
              <w:spacing w:before="62"/>
              <w:ind w:left="59" w:right="58"/>
              <w:jc w:val="center"/>
              <w:rPr>
                <w:sz w:val="20"/>
              </w:rPr>
            </w:pPr>
            <w:r>
              <w:rPr>
                <w:spacing w:val="-10"/>
                <w:sz w:val="20"/>
              </w:rPr>
              <w:t>新建渠道 </w:t>
            </w:r>
            <w:r>
              <w:rPr>
                <w:spacing w:val="-4"/>
                <w:sz w:val="20"/>
              </w:rPr>
              <w:t>38.98km</w:t>
            </w:r>
            <w:r>
              <w:rPr>
                <w:spacing w:val="-10"/>
                <w:sz w:val="20"/>
              </w:rPr>
              <w:t>，整治渠道 </w:t>
            </w:r>
            <w:r>
              <w:rPr>
                <w:spacing w:val="-5"/>
                <w:sz w:val="20"/>
              </w:rPr>
              <w:t>9.58km</w:t>
            </w:r>
            <w:r>
              <w:rPr>
                <w:spacing w:val="-3"/>
                <w:sz w:val="20"/>
              </w:rPr>
              <w:t>，整</w:t>
            </w:r>
            <w:r>
              <w:rPr>
                <w:spacing w:val="-13"/>
                <w:sz w:val="20"/>
              </w:rPr>
              <w:t>治山坪塘 </w:t>
            </w:r>
            <w:r>
              <w:rPr>
                <w:sz w:val="20"/>
              </w:rPr>
              <w:t>19</w:t>
            </w:r>
            <w:r>
              <w:rPr>
                <w:spacing w:val="-13"/>
                <w:sz w:val="20"/>
              </w:rPr>
              <w:t> 座，整治石河堰 </w:t>
            </w:r>
            <w:r>
              <w:rPr>
                <w:sz w:val="20"/>
              </w:rPr>
              <w:t>1</w:t>
            </w:r>
            <w:r>
              <w:rPr>
                <w:spacing w:val="-11"/>
                <w:sz w:val="20"/>
              </w:rPr>
              <w:t> 处，新建</w:t>
            </w:r>
          </w:p>
          <w:p>
            <w:pPr>
              <w:pStyle w:val="TableParagraph"/>
              <w:spacing w:line="237" w:lineRule="auto"/>
              <w:ind w:left="58" w:right="58"/>
              <w:jc w:val="center"/>
              <w:rPr>
                <w:sz w:val="20"/>
              </w:rPr>
            </w:pPr>
            <w:r>
              <w:rPr>
                <w:spacing w:val="-13"/>
                <w:sz w:val="20"/>
              </w:rPr>
              <w:t>石河堰 </w:t>
            </w:r>
            <w:r>
              <w:rPr>
                <w:sz w:val="20"/>
              </w:rPr>
              <w:t>5</w:t>
            </w:r>
            <w:r>
              <w:rPr>
                <w:spacing w:val="-15"/>
                <w:sz w:val="20"/>
              </w:rPr>
              <w:t> 处，改造泵站 </w:t>
            </w:r>
            <w:r>
              <w:rPr>
                <w:sz w:val="20"/>
              </w:rPr>
              <w:t>1</w:t>
            </w:r>
            <w:r>
              <w:rPr>
                <w:spacing w:val="-15"/>
                <w:sz w:val="20"/>
              </w:rPr>
              <w:t> 处，新建泵站 </w:t>
            </w:r>
            <w:r>
              <w:rPr>
                <w:sz w:val="20"/>
              </w:rPr>
              <w:t>6 处，新建蓄水窖（池）88</w:t>
            </w:r>
            <w:r>
              <w:rPr>
                <w:spacing w:val="-21"/>
                <w:sz w:val="20"/>
              </w:rPr>
              <w:t> 口。</w:t>
            </w:r>
          </w:p>
        </w:tc>
        <w:tc>
          <w:tcPr>
            <w:tcW w:w="1116" w:type="dxa"/>
          </w:tcPr>
          <w:p>
            <w:pPr>
              <w:pStyle w:val="TableParagraph"/>
              <w:rPr>
                <w:rFonts w:ascii="黑体"/>
                <w:sz w:val="20"/>
              </w:rPr>
            </w:pPr>
          </w:p>
          <w:p>
            <w:pPr>
              <w:pStyle w:val="TableParagraph"/>
              <w:spacing w:before="7"/>
              <w:rPr>
                <w:rFonts w:ascii="黑体"/>
                <w:sz w:val="14"/>
              </w:rPr>
            </w:pPr>
          </w:p>
          <w:p>
            <w:pPr>
              <w:pStyle w:val="TableParagraph"/>
              <w:ind w:left="182" w:right="183"/>
              <w:jc w:val="center"/>
              <w:rPr>
                <w:sz w:val="20"/>
              </w:rPr>
            </w:pPr>
            <w:r>
              <w:rPr>
                <w:sz w:val="20"/>
              </w:rPr>
              <w:t>1430</w:t>
            </w:r>
          </w:p>
        </w:tc>
        <w:tc>
          <w:tcPr>
            <w:tcW w:w="1087" w:type="dxa"/>
          </w:tcPr>
          <w:p>
            <w:pPr>
              <w:pStyle w:val="TableParagraph"/>
              <w:spacing w:before="8"/>
              <w:rPr>
                <w:rFonts w:ascii="黑体"/>
                <w:sz w:val="24"/>
              </w:rPr>
            </w:pPr>
          </w:p>
          <w:p>
            <w:pPr>
              <w:pStyle w:val="TableParagraph"/>
              <w:spacing w:before="1"/>
              <w:ind w:left="338" w:right="119" w:hanging="200"/>
              <w:rPr>
                <w:sz w:val="20"/>
              </w:rPr>
            </w:pPr>
            <w:r>
              <w:rPr>
                <w:sz w:val="20"/>
              </w:rPr>
              <w:t>水务和林业局</w:t>
            </w:r>
          </w:p>
        </w:tc>
      </w:tr>
      <w:tr>
        <w:trPr>
          <w:trHeight w:val="600" w:hRule="atLeast"/>
        </w:trPr>
        <w:tc>
          <w:tcPr>
            <w:tcW w:w="544" w:type="dxa"/>
          </w:tcPr>
          <w:p>
            <w:pPr>
              <w:pStyle w:val="TableParagraph"/>
              <w:spacing w:before="144"/>
              <w:ind w:left="145" w:right="146"/>
              <w:jc w:val="center"/>
              <w:rPr>
                <w:sz w:val="20"/>
              </w:rPr>
            </w:pPr>
            <w:r>
              <w:rPr>
                <w:sz w:val="20"/>
              </w:rPr>
              <w:t>44</w:t>
            </w:r>
          </w:p>
        </w:tc>
        <w:tc>
          <w:tcPr>
            <w:tcW w:w="2160" w:type="dxa"/>
          </w:tcPr>
          <w:p>
            <w:pPr>
              <w:pStyle w:val="TableParagraph"/>
              <w:spacing w:line="237" w:lineRule="auto" w:before="17"/>
              <w:ind w:left="773" w:right="82" w:hanging="625"/>
              <w:rPr>
                <w:sz w:val="20"/>
              </w:rPr>
            </w:pPr>
            <w:r>
              <w:rPr>
                <w:sz w:val="20"/>
              </w:rPr>
              <w:t>2016 年度农村饮水安全项目</w:t>
            </w:r>
          </w:p>
        </w:tc>
        <w:tc>
          <w:tcPr>
            <w:tcW w:w="1260" w:type="dxa"/>
          </w:tcPr>
          <w:p>
            <w:pPr>
              <w:pStyle w:val="TableParagraph"/>
              <w:spacing w:before="144"/>
              <w:ind w:left="154" w:right="154"/>
              <w:jc w:val="center"/>
              <w:rPr>
                <w:sz w:val="20"/>
              </w:rPr>
            </w:pPr>
            <w:r>
              <w:rPr>
                <w:sz w:val="20"/>
              </w:rPr>
              <w:t>2016-2017</w:t>
            </w:r>
          </w:p>
        </w:tc>
        <w:tc>
          <w:tcPr>
            <w:tcW w:w="3768" w:type="dxa"/>
          </w:tcPr>
          <w:p>
            <w:pPr>
              <w:pStyle w:val="TableParagraph"/>
              <w:spacing w:before="144"/>
              <w:ind w:left="58" w:right="58"/>
              <w:jc w:val="center"/>
              <w:rPr>
                <w:sz w:val="20"/>
              </w:rPr>
            </w:pPr>
            <w:r>
              <w:rPr>
                <w:sz w:val="20"/>
              </w:rPr>
              <w:t>解决 6500 人的饮水不安全问题</w:t>
            </w:r>
          </w:p>
        </w:tc>
        <w:tc>
          <w:tcPr>
            <w:tcW w:w="1116" w:type="dxa"/>
          </w:tcPr>
          <w:p>
            <w:pPr>
              <w:pStyle w:val="TableParagraph"/>
              <w:spacing w:before="144"/>
              <w:ind w:left="183" w:right="183"/>
              <w:jc w:val="center"/>
              <w:rPr>
                <w:sz w:val="20"/>
              </w:rPr>
            </w:pPr>
            <w:r>
              <w:rPr>
                <w:sz w:val="20"/>
              </w:rPr>
              <w:t>700</w:t>
            </w:r>
          </w:p>
        </w:tc>
        <w:tc>
          <w:tcPr>
            <w:tcW w:w="1087" w:type="dxa"/>
          </w:tcPr>
          <w:p>
            <w:pPr>
              <w:pStyle w:val="TableParagraph"/>
              <w:spacing w:line="237" w:lineRule="auto" w:before="17"/>
              <w:ind w:left="338" w:right="119" w:hanging="200"/>
              <w:rPr>
                <w:sz w:val="20"/>
              </w:rPr>
            </w:pPr>
            <w:r>
              <w:rPr>
                <w:sz w:val="20"/>
              </w:rPr>
              <w:t>水务和林业局</w:t>
            </w:r>
          </w:p>
        </w:tc>
      </w:tr>
      <w:tr>
        <w:trPr>
          <w:trHeight w:val="700" w:hRule="atLeast"/>
        </w:trPr>
        <w:tc>
          <w:tcPr>
            <w:tcW w:w="544" w:type="dxa"/>
          </w:tcPr>
          <w:p>
            <w:pPr>
              <w:pStyle w:val="TableParagraph"/>
              <w:rPr>
                <w:rFonts w:ascii="Times New Roman"/>
                <w:sz w:val="20"/>
              </w:rPr>
            </w:pPr>
          </w:p>
        </w:tc>
        <w:tc>
          <w:tcPr>
            <w:tcW w:w="2160" w:type="dxa"/>
          </w:tcPr>
          <w:p>
            <w:pPr>
              <w:pStyle w:val="TableParagraph"/>
              <w:rPr>
                <w:rFonts w:ascii="黑体"/>
                <w:sz w:val="15"/>
              </w:rPr>
            </w:pPr>
          </w:p>
          <w:p>
            <w:pPr>
              <w:pStyle w:val="TableParagraph"/>
              <w:ind w:left="43" w:right="43"/>
              <w:jc w:val="center"/>
              <w:rPr>
                <w:sz w:val="20"/>
              </w:rPr>
            </w:pPr>
            <w:r>
              <w:rPr>
                <w:sz w:val="20"/>
              </w:rPr>
              <w:t>小计</w:t>
            </w:r>
          </w:p>
        </w:tc>
        <w:tc>
          <w:tcPr>
            <w:tcW w:w="1260" w:type="dxa"/>
          </w:tcPr>
          <w:p>
            <w:pPr>
              <w:pStyle w:val="TableParagraph"/>
              <w:rPr>
                <w:rFonts w:ascii="Times New Roman"/>
                <w:sz w:val="20"/>
              </w:rPr>
            </w:pPr>
          </w:p>
        </w:tc>
        <w:tc>
          <w:tcPr>
            <w:tcW w:w="3768" w:type="dxa"/>
          </w:tcPr>
          <w:p>
            <w:pPr>
              <w:pStyle w:val="TableParagraph"/>
              <w:rPr>
                <w:rFonts w:ascii="Times New Roman"/>
                <w:sz w:val="20"/>
              </w:rPr>
            </w:pPr>
          </w:p>
        </w:tc>
        <w:tc>
          <w:tcPr>
            <w:tcW w:w="1116" w:type="dxa"/>
          </w:tcPr>
          <w:p>
            <w:pPr>
              <w:pStyle w:val="TableParagraph"/>
              <w:rPr>
                <w:rFonts w:ascii="黑体"/>
                <w:sz w:val="15"/>
              </w:rPr>
            </w:pPr>
          </w:p>
          <w:p>
            <w:pPr>
              <w:pStyle w:val="TableParagraph"/>
              <w:ind w:left="182" w:right="183"/>
              <w:jc w:val="center"/>
              <w:rPr>
                <w:sz w:val="20"/>
              </w:rPr>
            </w:pPr>
            <w:r>
              <w:rPr>
                <w:sz w:val="20"/>
              </w:rPr>
              <w:t>236996</w:t>
            </w:r>
          </w:p>
        </w:tc>
        <w:tc>
          <w:tcPr>
            <w:tcW w:w="1087" w:type="dxa"/>
          </w:tcPr>
          <w:p>
            <w:pPr>
              <w:pStyle w:val="TableParagraph"/>
              <w:rPr>
                <w:rFonts w:ascii="Times New Roman"/>
                <w:sz w:val="20"/>
              </w:rPr>
            </w:pPr>
          </w:p>
        </w:tc>
      </w:tr>
    </w:tbl>
    <w:p>
      <w:pPr>
        <w:spacing w:after="0"/>
        <w:rPr>
          <w:rFonts w:ascii="Times New Roman"/>
          <w:sz w:val="20"/>
        </w:rPr>
        <w:sectPr>
          <w:pgSz w:w="11910" w:h="16840"/>
          <w:pgMar w:header="0" w:footer="998" w:top="1440" w:bottom="1120" w:left="880" w:right="860"/>
        </w:sectPr>
      </w:pPr>
    </w:p>
    <w:p>
      <w:pPr>
        <w:pStyle w:val="BodyText"/>
        <w:tabs>
          <w:tab w:pos="2797" w:val="left" w:leader="none"/>
        </w:tabs>
        <w:spacing w:line="408" w:lineRule="exact"/>
        <w:ind w:left="1517"/>
        <w:rPr>
          <w:rFonts w:ascii="黑体" w:hAnsi="黑体" w:eastAsia="黑体" w:hint="eastAsia"/>
        </w:rPr>
      </w:pPr>
      <w:r>
        <w:rPr>
          <w:rFonts w:ascii="黑体" w:hAnsi="黑体" w:eastAsia="黑体" w:hint="eastAsia"/>
        </w:rPr>
        <w:t>附表三</w:t>
        <w:tab/>
      </w:r>
      <w:r>
        <w:rPr>
          <w:rFonts w:ascii="黑体" w:hAnsi="黑体" w:eastAsia="黑体" w:hint="eastAsia"/>
          <w:spacing w:val="-1"/>
        </w:rPr>
        <w:t>五通桥区“十三五”第三产业项目规划表</w:t>
      </w:r>
    </w:p>
    <w:p>
      <w:pPr>
        <w:pStyle w:val="BodyText"/>
        <w:spacing w:before="10"/>
        <w:ind w:left="0"/>
        <w:rPr>
          <w:rFonts w:ascii="黑体"/>
          <w:sz w:val="14"/>
        </w:rPr>
      </w:pPr>
    </w:p>
    <w:tbl>
      <w:tblPr>
        <w:tblW w:w="0" w:type="auto"/>
        <w:jc w:val="left"/>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44"/>
        <w:gridCol w:w="2160"/>
        <w:gridCol w:w="1260"/>
        <w:gridCol w:w="3534"/>
        <w:gridCol w:w="1116"/>
        <w:gridCol w:w="1253"/>
      </w:tblGrid>
      <w:tr>
        <w:trPr>
          <w:trHeight w:val="560" w:hRule="atLeast"/>
        </w:trPr>
        <w:tc>
          <w:tcPr>
            <w:tcW w:w="544" w:type="dxa"/>
          </w:tcPr>
          <w:p>
            <w:pPr>
              <w:pStyle w:val="TableParagraph"/>
              <w:rPr>
                <w:rFonts w:ascii="Times New Roman"/>
                <w:sz w:val="20"/>
              </w:rPr>
            </w:pPr>
          </w:p>
        </w:tc>
        <w:tc>
          <w:tcPr>
            <w:tcW w:w="2160" w:type="dxa"/>
          </w:tcPr>
          <w:p>
            <w:pPr>
              <w:pStyle w:val="TableParagraph"/>
              <w:spacing w:before="127"/>
              <w:ind w:left="674"/>
              <w:rPr>
                <w:sz w:val="20"/>
              </w:rPr>
            </w:pPr>
            <w:r>
              <w:rPr>
                <w:sz w:val="20"/>
              </w:rPr>
              <w:t>项目名称</w:t>
            </w:r>
          </w:p>
        </w:tc>
        <w:tc>
          <w:tcPr>
            <w:tcW w:w="1260" w:type="dxa"/>
          </w:tcPr>
          <w:p>
            <w:pPr>
              <w:pStyle w:val="TableParagraph"/>
              <w:spacing w:before="127"/>
              <w:ind w:left="154" w:right="154"/>
              <w:jc w:val="center"/>
              <w:rPr>
                <w:sz w:val="20"/>
              </w:rPr>
            </w:pPr>
            <w:r>
              <w:rPr>
                <w:sz w:val="20"/>
              </w:rPr>
              <w:t>建设年限</w:t>
            </w:r>
          </w:p>
        </w:tc>
        <w:tc>
          <w:tcPr>
            <w:tcW w:w="3534" w:type="dxa"/>
          </w:tcPr>
          <w:p>
            <w:pPr>
              <w:pStyle w:val="TableParagraph"/>
              <w:spacing w:before="127"/>
              <w:ind w:left="1" w:right="2"/>
              <w:jc w:val="center"/>
              <w:rPr>
                <w:sz w:val="20"/>
              </w:rPr>
            </w:pPr>
            <w:r>
              <w:rPr>
                <w:sz w:val="20"/>
              </w:rPr>
              <w:t>建设规模</w:t>
            </w:r>
          </w:p>
        </w:tc>
        <w:tc>
          <w:tcPr>
            <w:tcW w:w="1116" w:type="dxa"/>
          </w:tcPr>
          <w:p>
            <w:pPr>
              <w:pStyle w:val="TableParagraph"/>
              <w:spacing w:line="258" w:lineRule="exact"/>
              <w:ind w:left="251"/>
              <w:rPr>
                <w:sz w:val="20"/>
              </w:rPr>
            </w:pPr>
            <w:r>
              <w:rPr>
                <w:sz w:val="20"/>
              </w:rPr>
              <w:t>总投资</w:t>
            </w:r>
          </w:p>
          <w:p>
            <w:pPr>
              <w:pStyle w:val="TableParagraph"/>
              <w:spacing w:line="260" w:lineRule="exact"/>
              <w:ind w:left="152"/>
              <w:rPr>
                <w:sz w:val="20"/>
              </w:rPr>
            </w:pPr>
            <w:r>
              <w:rPr>
                <w:sz w:val="20"/>
              </w:rPr>
              <w:t>（万元）</w:t>
            </w:r>
          </w:p>
        </w:tc>
        <w:tc>
          <w:tcPr>
            <w:tcW w:w="1253" w:type="dxa"/>
          </w:tcPr>
          <w:p>
            <w:pPr>
              <w:pStyle w:val="TableParagraph"/>
              <w:spacing w:before="127"/>
              <w:ind w:left="101" w:right="101"/>
              <w:jc w:val="center"/>
              <w:rPr>
                <w:sz w:val="20"/>
              </w:rPr>
            </w:pPr>
            <w:r>
              <w:rPr>
                <w:sz w:val="20"/>
              </w:rPr>
              <w:t>责任单位</w:t>
            </w:r>
          </w:p>
        </w:tc>
      </w:tr>
      <w:tr>
        <w:trPr>
          <w:trHeight w:val="1180" w:hRule="atLeast"/>
        </w:trPr>
        <w:tc>
          <w:tcPr>
            <w:tcW w:w="544" w:type="dxa"/>
          </w:tcPr>
          <w:p>
            <w:pPr>
              <w:pStyle w:val="TableParagraph"/>
              <w:rPr>
                <w:rFonts w:ascii="黑体"/>
                <w:sz w:val="20"/>
              </w:rPr>
            </w:pPr>
          </w:p>
          <w:p>
            <w:pPr>
              <w:pStyle w:val="TableParagraph"/>
              <w:spacing w:before="176"/>
              <w:ind w:right="215"/>
              <w:jc w:val="right"/>
              <w:rPr>
                <w:sz w:val="20"/>
              </w:rPr>
            </w:pPr>
            <w:r>
              <w:rPr>
                <w:w w:val="100"/>
                <w:sz w:val="20"/>
              </w:rPr>
              <w:t>1</w:t>
            </w:r>
          </w:p>
        </w:tc>
        <w:tc>
          <w:tcPr>
            <w:tcW w:w="2160" w:type="dxa"/>
          </w:tcPr>
          <w:p>
            <w:pPr>
              <w:pStyle w:val="TableParagraph"/>
              <w:spacing w:before="10"/>
              <w:rPr>
                <w:rFonts w:ascii="黑体"/>
                <w:sz w:val="23"/>
              </w:rPr>
            </w:pPr>
          </w:p>
          <w:p>
            <w:pPr>
              <w:pStyle w:val="TableParagraph"/>
              <w:spacing w:line="237" w:lineRule="auto"/>
              <w:ind w:left="874" w:right="28" w:hanging="772"/>
              <w:rPr>
                <w:sz w:val="20"/>
              </w:rPr>
            </w:pPr>
            <w:r>
              <w:rPr>
                <w:sz w:val="20"/>
              </w:rPr>
              <w:t>中国根书艺术馆二期、三期</w:t>
            </w:r>
          </w:p>
        </w:tc>
        <w:tc>
          <w:tcPr>
            <w:tcW w:w="1260" w:type="dxa"/>
          </w:tcPr>
          <w:p>
            <w:pPr>
              <w:pStyle w:val="TableParagraph"/>
              <w:rPr>
                <w:rFonts w:ascii="黑体"/>
                <w:sz w:val="20"/>
              </w:rPr>
            </w:pPr>
          </w:p>
          <w:p>
            <w:pPr>
              <w:pStyle w:val="TableParagraph"/>
              <w:spacing w:before="176"/>
              <w:ind w:left="154" w:right="154"/>
              <w:jc w:val="center"/>
              <w:rPr>
                <w:sz w:val="20"/>
              </w:rPr>
            </w:pPr>
            <w:r>
              <w:rPr>
                <w:sz w:val="20"/>
              </w:rPr>
              <w:t>2016-2018</w:t>
            </w:r>
          </w:p>
        </w:tc>
        <w:tc>
          <w:tcPr>
            <w:tcW w:w="3534" w:type="dxa"/>
          </w:tcPr>
          <w:p>
            <w:pPr>
              <w:pStyle w:val="TableParagraph"/>
              <w:spacing w:before="11"/>
              <w:rPr>
                <w:rFonts w:ascii="黑体"/>
                <w:sz w:val="13"/>
              </w:rPr>
            </w:pPr>
          </w:p>
          <w:p>
            <w:pPr>
              <w:pStyle w:val="TableParagraph"/>
              <w:spacing w:line="237" w:lineRule="auto"/>
              <w:ind w:left="102" w:right="101"/>
              <w:jc w:val="both"/>
              <w:rPr>
                <w:sz w:val="20"/>
              </w:rPr>
            </w:pPr>
            <w:r>
              <w:rPr>
                <w:spacing w:val="-7"/>
                <w:sz w:val="20"/>
              </w:rPr>
              <w:t>本土书画展馆和民间艺术展馆；建设根</w:t>
            </w:r>
            <w:r>
              <w:rPr>
                <w:spacing w:val="-10"/>
                <w:sz w:val="20"/>
              </w:rPr>
              <w:t>书画展示室，展示根书画创作过程；建</w:t>
            </w:r>
            <w:r>
              <w:rPr>
                <w:spacing w:val="-1"/>
                <w:sz w:val="20"/>
              </w:rPr>
              <w:t>设艺术家会所和写生基地、培训中心</w:t>
            </w:r>
          </w:p>
        </w:tc>
        <w:tc>
          <w:tcPr>
            <w:tcW w:w="1116" w:type="dxa"/>
          </w:tcPr>
          <w:p>
            <w:pPr>
              <w:pStyle w:val="TableParagraph"/>
              <w:rPr>
                <w:rFonts w:ascii="黑体"/>
                <w:sz w:val="20"/>
              </w:rPr>
            </w:pPr>
          </w:p>
          <w:p>
            <w:pPr>
              <w:pStyle w:val="TableParagraph"/>
              <w:spacing w:before="176"/>
              <w:ind w:right="300"/>
              <w:jc w:val="right"/>
              <w:rPr>
                <w:sz w:val="20"/>
              </w:rPr>
            </w:pPr>
            <w:r>
              <w:rPr>
                <w:sz w:val="20"/>
              </w:rPr>
              <w:t>20000</w:t>
            </w:r>
          </w:p>
        </w:tc>
        <w:tc>
          <w:tcPr>
            <w:tcW w:w="1253" w:type="dxa"/>
          </w:tcPr>
          <w:p>
            <w:pPr>
              <w:pStyle w:val="TableParagraph"/>
              <w:rPr>
                <w:rFonts w:ascii="黑体"/>
                <w:sz w:val="20"/>
              </w:rPr>
            </w:pPr>
          </w:p>
          <w:p>
            <w:pPr>
              <w:pStyle w:val="TableParagraph"/>
              <w:spacing w:before="176"/>
              <w:ind w:left="101" w:right="101"/>
              <w:jc w:val="center"/>
              <w:rPr>
                <w:sz w:val="20"/>
              </w:rPr>
            </w:pPr>
            <w:r>
              <w:rPr>
                <w:sz w:val="20"/>
              </w:rPr>
              <w:t>文体广电局</w:t>
            </w:r>
          </w:p>
        </w:tc>
      </w:tr>
      <w:tr>
        <w:trPr>
          <w:trHeight w:val="1220" w:hRule="atLeast"/>
        </w:trPr>
        <w:tc>
          <w:tcPr>
            <w:tcW w:w="544" w:type="dxa"/>
          </w:tcPr>
          <w:p>
            <w:pPr>
              <w:pStyle w:val="TableParagraph"/>
              <w:rPr>
                <w:rFonts w:ascii="黑体"/>
                <w:sz w:val="20"/>
              </w:rPr>
            </w:pPr>
          </w:p>
          <w:p>
            <w:pPr>
              <w:pStyle w:val="TableParagraph"/>
              <w:spacing w:before="8"/>
              <w:rPr>
                <w:rFonts w:ascii="黑体"/>
                <w:sz w:val="14"/>
              </w:rPr>
            </w:pPr>
          </w:p>
          <w:p>
            <w:pPr>
              <w:pStyle w:val="TableParagraph"/>
              <w:spacing w:before="1"/>
              <w:ind w:right="215"/>
              <w:jc w:val="right"/>
              <w:rPr>
                <w:sz w:val="20"/>
              </w:rPr>
            </w:pPr>
            <w:r>
              <w:rPr>
                <w:w w:val="100"/>
                <w:sz w:val="20"/>
              </w:rPr>
              <w:t>2</w:t>
            </w:r>
          </w:p>
        </w:tc>
        <w:tc>
          <w:tcPr>
            <w:tcW w:w="2160" w:type="dxa"/>
          </w:tcPr>
          <w:p>
            <w:pPr>
              <w:pStyle w:val="TableParagraph"/>
              <w:rPr>
                <w:rFonts w:ascii="黑体"/>
                <w:sz w:val="15"/>
              </w:rPr>
            </w:pPr>
          </w:p>
          <w:p>
            <w:pPr>
              <w:pStyle w:val="TableParagraph"/>
              <w:spacing w:line="237" w:lineRule="auto" w:before="1"/>
              <w:ind w:left="104" w:right="101"/>
              <w:jc w:val="center"/>
              <w:rPr>
                <w:sz w:val="20"/>
              </w:rPr>
            </w:pPr>
            <w:r>
              <w:rPr>
                <w:sz w:val="20"/>
              </w:rPr>
              <w:t>乐山文化创业基地项 </w:t>
            </w:r>
            <w:r>
              <w:rPr>
                <w:spacing w:val="-57"/>
                <w:sz w:val="20"/>
              </w:rPr>
              <w:t>目</w:t>
            </w:r>
            <w:r>
              <w:rPr>
                <w:spacing w:val="-1"/>
                <w:sz w:val="20"/>
              </w:rPr>
              <w:t>（杨花渡文化创意产业园）</w:t>
            </w:r>
          </w:p>
        </w:tc>
        <w:tc>
          <w:tcPr>
            <w:tcW w:w="1260" w:type="dxa"/>
          </w:tcPr>
          <w:p>
            <w:pPr>
              <w:pStyle w:val="TableParagraph"/>
              <w:rPr>
                <w:rFonts w:ascii="黑体"/>
                <w:sz w:val="20"/>
              </w:rPr>
            </w:pPr>
          </w:p>
          <w:p>
            <w:pPr>
              <w:pStyle w:val="TableParagraph"/>
              <w:spacing w:before="8"/>
              <w:rPr>
                <w:rFonts w:ascii="黑体"/>
                <w:sz w:val="14"/>
              </w:rPr>
            </w:pPr>
          </w:p>
          <w:p>
            <w:pPr>
              <w:pStyle w:val="TableParagraph"/>
              <w:spacing w:before="1"/>
              <w:ind w:left="154" w:right="154"/>
              <w:jc w:val="center"/>
              <w:rPr>
                <w:sz w:val="20"/>
              </w:rPr>
            </w:pPr>
            <w:r>
              <w:rPr>
                <w:sz w:val="20"/>
              </w:rPr>
              <w:t>2016-2018</w:t>
            </w:r>
          </w:p>
        </w:tc>
        <w:tc>
          <w:tcPr>
            <w:tcW w:w="3534" w:type="dxa"/>
          </w:tcPr>
          <w:p>
            <w:pPr>
              <w:pStyle w:val="TableParagraph"/>
              <w:tabs>
                <w:tab w:pos="2353" w:val="left" w:leader="none"/>
              </w:tabs>
              <w:spacing w:line="237" w:lineRule="auto" w:before="66"/>
              <w:ind w:left="102" w:right="101" w:hanging="1"/>
              <w:jc w:val="center"/>
              <w:rPr>
                <w:sz w:val="20"/>
              </w:rPr>
            </w:pPr>
            <w:r>
              <w:rPr>
                <w:spacing w:val="-1"/>
                <w:sz w:val="20"/>
              </w:rPr>
              <w:t>1.当代</w:t>
            </w:r>
            <w:r>
              <w:rPr>
                <w:sz w:val="20"/>
              </w:rPr>
              <w:t>艺术</w:t>
            </w:r>
            <w:r>
              <w:rPr>
                <w:spacing w:val="-44"/>
                <w:sz w:val="20"/>
              </w:rPr>
              <w:t>馆</w:t>
            </w:r>
            <w:r>
              <w:rPr>
                <w:sz w:val="20"/>
              </w:rPr>
              <w:t>（画家工作室</w:t>
            </w:r>
            <w:r>
              <w:rPr>
                <w:spacing w:val="-43"/>
                <w:sz w:val="20"/>
              </w:rPr>
              <w:t>、</w:t>
            </w:r>
            <w:r>
              <w:rPr>
                <w:sz w:val="20"/>
              </w:rPr>
              <w:t>学生写生</w:t>
            </w:r>
            <w:r>
              <w:rPr>
                <w:spacing w:val="-1"/>
                <w:sz w:val="20"/>
              </w:rPr>
              <w:t>基地</w:t>
            </w:r>
            <w:r>
              <w:rPr>
                <w:spacing w:val="-10"/>
                <w:sz w:val="20"/>
              </w:rPr>
              <w:t>）2.</w:t>
            </w:r>
            <w:r>
              <w:rPr>
                <w:spacing w:val="-1"/>
                <w:sz w:val="20"/>
              </w:rPr>
              <w:t>雕</w:t>
            </w:r>
            <w:r>
              <w:rPr>
                <w:sz w:val="20"/>
              </w:rPr>
              <w:t>塑</w:t>
            </w:r>
            <w:r>
              <w:rPr>
                <w:spacing w:val="-28"/>
                <w:sz w:val="20"/>
              </w:rPr>
              <w:t>、</w:t>
            </w:r>
            <w:r>
              <w:rPr>
                <w:sz w:val="20"/>
              </w:rPr>
              <w:t>陶艺</w:t>
            </w:r>
            <w:r>
              <w:rPr>
                <w:spacing w:val="-29"/>
                <w:sz w:val="20"/>
              </w:rPr>
              <w:t>、</w:t>
            </w:r>
            <w:r>
              <w:rPr>
                <w:sz w:val="20"/>
              </w:rPr>
              <w:t>根书培训体验基地</w:t>
            </w:r>
            <w:r>
              <w:rPr>
                <w:spacing w:val="-51"/>
                <w:sz w:val="20"/>
              </w:rPr>
              <w:t> </w:t>
            </w:r>
            <w:r>
              <w:rPr>
                <w:sz w:val="20"/>
              </w:rPr>
              <w:t>3.文化产品交易市场</w:t>
              <w:tab/>
            </w:r>
            <w:r>
              <w:rPr>
                <w:spacing w:val="-1"/>
                <w:sz w:val="20"/>
              </w:rPr>
              <w:t>4.</w:t>
            </w:r>
            <w:r>
              <w:rPr>
                <w:sz w:val="20"/>
              </w:rPr>
              <w:t>桑蚕博物馆</w:t>
            </w:r>
            <w:r>
              <w:rPr>
                <w:spacing w:val="-52"/>
                <w:sz w:val="20"/>
              </w:rPr>
              <w:t> </w:t>
            </w:r>
            <w:r>
              <w:rPr>
                <w:sz w:val="20"/>
              </w:rPr>
              <w:t>5.相关基础设施</w:t>
            </w:r>
          </w:p>
        </w:tc>
        <w:tc>
          <w:tcPr>
            <w:tcW w:w="1116" w:type="dxa"/>
          </w:tcPr>
          <w:p>
            <w:pPr>
              <w:pStyle w:val="TableParagraph"/>
              <w:rPr>
                <w:rFonts w:ascii="黑体"/>
                <w:sz w:val="20"/>
              </w:rPr>
            </w:pPr>
          </w:p>
          <w:p>
            <w:pPr>
              <w:pStyle w:val="TableParagraph"/>
              <w:spacing w:before="8"/>
              <w:rPr>
                <w:rFonts w:ascii="黑体"/>
                <w:sz w:val="14"/>
              </w:rPr>
            </w:pPr>
          </w:p>
          <w:p>
            <w:pPr>
              <w:pStyle w:val="TableParagraph"/>
              <w:spacing w:before="1"/>
              <w:ind w:right="300"/>
              <w:jc w:val="right"/>
              <w:rPr>
                <w:sz w:val="20"/>
              </w:rPr>
            </w:pPr>
            <w:r>
              <w:rPr>
                <w:sz w:val="20"/>
              </w:rPr>
              <w:t>73800</w:t>
            </w:r>
          </w:p>
        </w:tc>
        <w:tc>
          <w:tcPr>
            <w:tcW w:w="1253" w:type="dxa"/>
          </w:tcPr>
          <w:p>
            <w:pPr>
              <w:pStyle w:val="TableParagraph"/>
              <w:rPr>
                <w:rFonts w:ascii="黑体"/>
                <w:sz w:val="20"/>
              </w:rPr>
            </w:pPr>
          </w:p>
          <w:p>
            <w:pPr>
              <w:pStyle w:val="TableParagraph"/>
              <w:spacing w:before="8"/>
              <w:rPr>
                <w:rFonts w:ascii="黑体"/>
                <w:sz w:val="14"/>
              </w:rPr>
            </w:pPr>
          </w:p>
          <w:p>
            <w:pPr>
              <w:pStyle w:val="TableParagraph"/>
              <w:spacing w:before="1"/>
              <w:ind w:left="101" w:right="101"/>
              <w:jc w:val="center"/>
              <w:rPr>
                <w:sz w:val="20"/>
              </w:rPr>
            </w:pPr>
            <w:r>
              <w:rPr>
                <w:sz w:val="20"/>
              </w:rPr>
              <w:t>文体广电局</w:t>
            </w:r>
          </w:p>
        </w:tc>
      </w:tr>
      <w:tr>
        <w:trPr>
          <w:trHeight w:val="1060" w:hRule="atLeast"/>
        </w:trPr>
        <w:tc>
          <w:tcPr>
            <w:tcW w:w="544" w:type="dxa"/>
          </w:tcPr>
          <w:p>
            <w:pPr>
              <w:pStyle w:val="TableParagraph"/>
              <w:spacing w:before="2"/>
              <w:rPr>
                <w:rFonts w:ascii="黑体"/>
                <w:sz w:val="28"/>
              </w:rPr>
            </w:pPr>
          </w:p>
          <w:p>
            <w:pPr>
              <w:pStyle w:val="TableParagraph"/>
              <w:ind w:right="215"/>
              <w:jc w:val="right"/>
              <w:rPr>
                <w:sz w:val="20"/>
              </w:rPr>
            </w:pPr>
            <w:r>
              <w:rPr>
                <w:w w:val="100"/>
                <w:sz w:val="20"/>
              </w:rPr>
              <w:t>3</w:t>
            </w:r>
          </w:p>
        </w:tc>
        <w:tc>
          <w:tcPr>
            <w:tcW w:w="2160" w:type="dxa"/>
          </w:tcPr>
          <w:p>
            <w:pPr>
              <w:pStyle w:val="TableParagraph"/>
              <w:spacing w:before="2"/>
              <w:rPr>
                <w:rFonts w:ascii="黑体"/>
                <w:sz w:val="28"/>
              </w:rPr>
            </w:pPr>
          </w:p>
          <w:p>
            <w:pPr>
              <w:pStyle w:val="TableParagraph"/>
              <w:ind w:left="173"/>
              <w:rPr>
                <w:sz w:val="20"/>
              </w:rPr>
            </w:pPr>
            <w:r>
              <w:rPr>
                <w:sz w:val="20"/>
              </w:rPr>
              <w:t>乐山市水上运动中心</w:t>
            </w:r>
          </w:p>
        </w:tc>
        <w:tc>
          <w:tcPr>
            <w:tcW w:w="1260" w:type="dxa"/>
          </w:tcPr>
          <w:p>
            <w:pPr>
              <w:pStyle w:val="TableParagraph"/>
              <w:spacing w:before="2"/>
              <w:rPr>
                <w:rFonts w:ascii="黑体"/>
                <w:sz w:val="28"/>
              </w:rPr>
            </w:pPr>
          </w:p>
          <w:p>
            <w:pPr>
              <w:pStyle w:val="TableParagraph"/>
              <w:ind w:left="154" w:right="154"/>
              <w:jc w:val="center"/>
              <w:rPr>
                <w:sz w:val="20"/>
              </w:rPr>
            </w:pPr>
            <w:r>
              <w:rPr>
                <w:sz w:val="20"/>
              </w:rPr>
              <w:t>2016-2018</w:t>
            </w:r>
          </w:p>
        </w:tc>
        <w:tc>
          <w:tcPr>
            <w:tcW w:w="3534" w:type="dxa"/>
          </w:tcPr>
          <w:p>
            <w:pPr>
              <w:pStyle w:val="TableParagraph"/>
              <w:spacing w:before="6"/>
              <w:rPr>
                <w:rFonts w:ascii="黑体"/>
                <w:sz w:val="18"/>
              </w:rPr>
            </w:pPr>
          </w:p>
          <w:p>
            <w:pPr>
              <w:pStyle w:val="TableParagraph"/>
              <w:spacing w:line="237" w:lineRule="auto"/>
              <w:ind w:left="561" w:right="2" w:hanging="459"/>
              <w:rPr>
                <w:sz w:val="20"/>
              </w:rPr>
            </w:pPr>
            <w:r>
              <w:rPr>
                <w:sz w:val="20"/>
              </w:rPr>
              <w:t>新建区水上运动技术学校，新建区游泳馆（池）及水上娱乐设施等</w:t>
            </w:r>
          </w:p>
        </w:tc>
        <w:tc>
          <w:tcPr>
            <w:tcW w:w="1116" w:type="dxa"/>
          </w:tcPr>
          <w:p>
            <w:pPr>
              <w:pStyle w:val="TableParagraph"/>
              <w:spacing w:before="2"/>
              <w:rPr>
                <w:rFonts w:ascii="黑体"/>
                <w:sz w:val="28"/>
              </w:rPr>
            </w:pPr>
          </w:p>
          <w:p>
            <w:pPr>
              <w:pStyle w:val="TableParagraph"/>
              <w:ind w:right="350"/>
              <w:jc w:val="right"/>
              <w:rPr>
                <w:sz w:val="20"/>
              </w:rPr>
            </w:pPr>
            <w:r>
              <w:rPr>
                <w:sz w:val="20"/>
              </w:rPr>
              <w:t>6000</w:t>
            </w:r>
          </w:p>
        </w:tc>
        <w:tc>
          <w:tcPr>
            <w:tcW w:w="1253" w:type="dxa"/>
          </w:tcPr>
          <w:p>
            <w:pPr>
              <w:pStyle w:val="TableParagraph"/>
              <w:spacing w:before="2"/>
              <w:rPr>
                <w:rFonts w:ascii="黑体"/>
                <w:sz w:val="28"/>
              </w:rPr>
            </w:pPr>
          </w:p>
          <w:p>
            <w:pPr>
              <w:pStyle w:val="TableParagraph"/>
              <w:ind w:left="101" w:right="101"/>
              <w:jc w:val="center"/>
              <w:rPr>
                <w:sz w:val="20"/>
              </w:rPr>
            </w:pPr>
            <w:r>
              <w:rPr>
                <w:sz w:val="20"/>
              </w:rPr>
              <w:t>文体广电局</w:t>
            </w:r>
          </w:p>
        </w:tc>
      </w:tr>
      <w:tr>
        <w:trPr>
          <w:trHeight w:val="1060" w:hRule="atLeast"/>
        </w:trPr>
        <w:tc>
          <w:tcPr>
            <w:tcW w:w="544" w:type="dxa"/>
          </w:tcPr>
          <w:p>
            <w:pPr>
              <w:pStyle w:val="TableParagraph"/>
              <w:spacing w:before="2"/>
              <w:rPr>
                <w:rFonts w:ascii="黑体"/>
                <w:sz w:val="28"/>
              </w:rPr>
            </w:pPr>
          </w:p>
          <w:p>
            <w:pPr>
              <w:pStyle w:val="TableParagraph"/>
              <w:ind w:right="215"/>
              <w:jc w:val="right"/>
              <w:rPr>
                <w:sz w:val="20"/>
              </w:rPr>
            </w:pPr>
            <w:r>
              <w:rPr>
                <w:w w:val="100"/>
                <w:sz w:val="20"/>
              </w:rPr>
              <w:t>4</w:t>
            </w:r>
          </w:p>
        </w:tc>
        <w:tc>
          <w:tcPr>
            <w:tcW w:w="2160" w:type="dxa"/>
          </w:tcPr>
          <w:p>
            <w:pPr>
              <w:pStyle w:val="TableParagraph"/>
              <w:spacing w:before="6"/>
              <w:rPr>
                <w:rFonts w:ascii="黑体"/>
                <w:sz w:val="18"/>
              </w:rPr>
            </w:pPr>
          </w:p>
          <w:p>
            <w:pPr>
              <w:pStyle w:val="TableParagraph"/>
              <w:spacing w:line="237" w:lineRule="auto"/>
              <w:ind w:left="773" w:right="28" w:hanging="671"/>
              <w:rPr>
                <w:sz w:val="20"/>
              </w:rPr>
            </w:pPr>
            <w:r>
              <w:rPr>
                <w:sz w:val="20"/>
              </w:rPr>
              <w:t>菩提山、木鱼山基础设施建设</w:t>
            </w:r>
          </w:p>
        </w:tc>
        <w:tc>
          <w:tcPr>
            <w:tcW w:w="1260" w:type="dxa"/>
          </w:tcPr>
          <w:p>
            <w:pPr>
              <w:pStyle w:val="TableParagraph"/>
              <w:spacing w:before="2"/>
              <w:rPr>
                <w:rFonts w:ascii="黑体"/>
                <w:sz w:val="28"/>
              </w:rPr>
            </w:pPr>
          </w:p>
          <w:p>
            <w:pPr>
              <w:pStyle w:val="TableParagraph"/>
              <w:ind w:left="154" w:right="154"/>
              <w:jc w:val="center"/>
              <w:rPr>
                <w:sz w:val="20"/>
              </w:rPr>
            </w:pPr>
            <w:r>
              <w:rPr>
                <w:sz w:val="20"/>
              </w:rPr>
              <w:t>2017-2018</w:t>
            </w:r>
          </w:p>
        </w:tc>
        <w:tc>
          <w:tcPr>
            <w:tcW w:w="3534" w:type="dxa"/>
          </w:tcPr>
          <w:p>
            <w:pPr>
              <w:pStyle w:val="TableParagraph"/>
              <w:spacing w:before="2"/>
              <w:rPr>
                <w:rFonts w:ascii="黑体"/>
                <w:sz w:val="28"/>
              </w:rPr>
            </w:pPr>
          </w:p>
          <w:p>
            <w:pPr>
              <w:pStyle w:val="TableParagraph"/>
              <w:ind w:left="2" w:right="2"/>
              <w:jc w:val="center"/>
              <w:rPr>
                <w:sz w:val="20"/>
              </w:rPr>
            </w:pPr>
            <w:r>
              <w:rPr>
                <w:sz w:val="20"/>
              </w:rPr>
              <w:t>完成菩提山、木鱼山基础设施项目建设</w:t>
            </w:r>
          </w:p>
        </w:tc>
        <w:tc>
          <w:tcPr>
            <w:tcW w:w="1116" w:type="dxa"/>
          </w:tcPr>
          <w:p>
            <w:pPr>
              <w:pStyle w:val="TableParagraph"/>
              <w:spacing w:before="2"/>
              <w:rPr>
                <w:rFonts w:ascii="黑体"/>
                <w:sz w:val="28"/>
              </w:rPr>
            </w:pPr>
          </w:p>
          <w:p>
            <w:pPr>
              <w:pStyle w:val="TableParagraph"/>
              <w:ind w:right="350"/>
              <w:jc w:val="right"/>
              <w:rPr>
                <w:sz w:val="20"/>
              </w:rPr>
            </w:pPr>
            <w:r>
              <w:rPr>
                <w:sz w:val="20"/>
              </w:rPr>
              <w:t>5000</w:t>
            </w:r>
          </w:p>
        </w:tc>
        <w:tc>
          <w:tcPr>
            <w:tcW w:w="1253" w:type="dxa"/>
          </w:tcPr>
          <w:p>
            <w:pPr>
              <w:pStyle w:val="TableParagraph"/>
              <w:spacing w:before="2"/>
              <w:rPr>
                <w:rFonts w:ascii="黑体"/>
                <w:sz w:val="28"/>
              </w:rPr>
            </w:pPr>
          </w:p>
          <w:p>
            <w:pPr>
              <w:pStyle w:val="TableParagraph"/>
              <w:ind w:left="101" w:right="101"/>
              <w:jc w:val="center"/>
              <w:rPr>
                <w:sz w:val="20"/>
              </w:rPr>
            </w:pPr>
            <w:r>
              <w:rPr>
                <w:sz w:val="20"/>
              </w:rPr>
              <w:t>旅游局</w:t>
            </w:r>
          </w:p>
        </w:tc>
      </w:tr>
      <w:tr>
        <w:trPr>
          <w:trHeight w:val="1260" w:hRule="atLeast"/>
        </w:trPr>
        <w:tc>
          <w:tcPr>
            <w:tcW w:w="544" w:type="dxa"/>
          </w:tcPr>
          <w:p>
            <w:pPr>
              <w:pStyle w:val="TableParagraph"/>
              <w:rPr>
                <w:rFonts w:ascii="黑体"/>
                <w:sz w:val="20"/>
              </w:rPr>
            </w:pPr>
          </w:p>
          <w:p>
            <w:pPr>
              <w:pStyle w:val="TableParagraph"/>
              <w:spacing w:before="5"/>
              <w:rPr>
                <w:rFonts w:ascii="黑体"/>
                <w:sz w:val="16"/>
              </w:rPr>
            </w:pPr>
          </w:p>
          <w:p>
            <w:pPr>
              <w:pStyle w:val="TableParagraph"/>
              <w:ind w:right="215"/>
              <w:jc w:val="right"/>
              <w:rPr>
                <w:sz w:val="20"/>
              </w:rPr>
            </w:pPr>
            <w:r>
              <w:rPr>
                <w:w w:val="100"/>
                <w:sz w:val="20"/>
              </w:rPr>
              <w:t>5</w:t>
            </w:r>
          </w:p>
        </w:tc>
        <w:tc>
          <w:tcPr>
            <w:tcW w:w="2160" w:type="dxa"/>
          </w:tcPr>
          <w:p>
            <w:pPr>
              <w:pStyle w:val="TableParagraph"/>
              <w:rPr>
                <w:rFonts w:ascii="黑体"/>
                <w:sz w:val="20"/>
              </w:rPr>
            </w:pPr>
          </w:p>
          <w:p>
            <w:pPr>
              <w:pStyle w:val="TableParagraph"/>
              <w:spacing w:before="5"/>
              <w:rPr>
                <w:rFonts w:ascii="黑体"/>
                <w:sz w:val="16"/>
              </w:rPr>
            </w:pPr>
          </w:p>
          <w:p>
            <w:pPr>
              <w:pStyle w:val="TableParagraph"/>
              <w:ind w:left="173"/>
              <w:rPr>
                <w:sz w:val="20"/>
              </w:rPr>
            </w:pPr>
            <w:r>
              <w:rPr>
                <w:sz w:val="20"/>
              </w:rPr>
              <w:t>五通桥古镇保护开发</w:t>
            </w:r>
          </w:p>
        </w:tc>
        <w:tc>
          <w:tcPr>
            <w:tcW w:w="1260" w:type="dxa"/>
          </w:tcPr>
          <w:p>
            <w:pPr>
              <w:pStyle w:val="TableParagraph"/>
              <w:rPr>
                <w:rFonts w:ascii="黑体"/>
                <w:sz w:val="20"/>
              </w:rPr>
            </w:pPr>
          </w:p>
          <w:p>
            <w:pPr>
              <w:pStyle w:val="TableParagraph"/>
              <w:spacing w:before="5"/>
              <w:rPr>
                <w:rFonts w:ascii="黑体"/>
                <w:sz w:val="16"/>
              </w:rPr>
            </w:pPr>
          </w:p>
          <w:p>
            <w:pPr>
              <w:pStyle w:val="TableParagraph"/>
              <w:ind w:left="154" w:right="154"/>
              <w:jc w:val="center"/>
              <w:rPr>
                <w:sz w:val="20"/>
              </w:rPr>
            </w:pPr>
            <w:r>
              <w:rPr>
                <w:sz w:val="20"/>
              </w:rPr>
              <w:t>2016-2020</w:t>
            </w:r>
          </w:p>
        </w:tc>
        <w:tc>
          <w:tcPr>
            <w:tcW w:w="3534" w:type="dxa"/>
          </w:tcPr>
          <w:p>
            <w:pPr>
              <w:pStyle w:val="TableParagraph"/>
              <w:spacing w:line="237" w:lineRule="auto" w:before="90"/>
              <w:ind w:left="5" w:right="2"/>
              <w:jc w:val="center"/>
              <w:rPr>
                <w:sz w:val="20"/>
              </w:rPr>
            </w:pPr>
            <w:r>
              <w:rPr>
                <w:sz w:val="20"/>
              </w:rPr>
              <w:t>茫溪河两岸恢复清末民初街道，建设大型游人中心、盐文化博物馆、盐文化体验区、民俗文化及美食餐饮区为一体的综合旅游度假区</w:t>
            </w:r>
          </w:p>
        </w:tc>
        <w:tc>
          <w:tcPr>
            <w:tcW w:w="1116" w:type="dxa"/>
          </w:tcPr>
          <w:p>
            <w:pPr>
              <w:pStyle w:val="TableParagraph"/>
              <w:rPr>
                <w:rFonts w:ascii="黑体"/>
                <w:sz w:val="20"/>
              </w:rPr>
            </w:pPr>
          </w:p>
          <w:p>
            <w:pPr>
              <w:pStyle w:val="TableParagraph"/>
              <w:spacing w:before="5"/>
              <w:rPr>
                <w:rFonts w:ascii="黑体"/>
                <w:sz w:val="16"/>
              </w:rPr>
            </w:pPr>
          </w:p>
          <w:p>
            <w:pPr>
              <w:pStyle w:val="TableParagraph"/>
              <w:ind w:right="300"/>
              <w:jc w:val="right"/>
              <w:rPr>
                <w:sz w:val="20"/>
              </w:rPr>
            </w:pPr>
            <w:r>
              <w:rPr>
                <w:sz w:val="20"/>
              </w:rPr>
              <w:t>250000</w:t>
            </w:r>
          </w:p>
        </w:tc>
        <w:tc>
          <w:tcPr>
            <w:tcW w:w="1253" w:type="dxa"/>
          </w:tcPr>
          <w:p>
            <w:pPr>
              <w:pStyle w:val="TableParagraph"/>
              <w:rPr>
                <w:rFonts w:ascii="黑体"/>
                <w:sz w:val="20"/>
              </w:rPr>
            </w:pPr>
          </w:p>
          <w:p>
            <w:pPr>
              <w:pStyle w:val="TableParagraph"/>
              <w:spacing w:before="5"/>
              <w:rPr>
                <w:rFonts w:ascii="黑体"/>
                <w:sz w:val="16"/>
              </w:rPr>
            </w:pPr>
          </w:p>
          <w:p>
            <w:pPr>
              <w:pStyle w:val="TableParagraph"/>
              <w:ind w:left="100" w:right="101"/>
              <w:jc w:val="center"/>
              <w:rPr>
                <w:sz w:val="20"/>
              </w:rPr>
            </w:pPr>
            <w:r>
              <w:rPr>
                <w:sz w:val="20"/>
              </w:rPr>
              <w:t>旅游局</w:t>
            </w:r>
          </w:p>
        </w:tc>
      </w:tr>
      <w:tr>
        <w:trPr>
          <w:trHeight w:val="1060" w:hRule="atLeast"/>
        </w:trPr>
        <w:tc>
          <w:tcPr>
            <w:tcW w:w="544" w:type="dxa"/>
          </w:tcPr>
          <w:p>
            <w:pPr>
              <w:pStyle w:val="TableParagraph"/>
              <w:spacing w:before="2"/>
              <w:rPr>
                <w:rFonts w:ascii="黑体"/>
                <w:sz w:val="28"/>
              </w:rPr>
            </w:pPr>
          </w:p>
          <w:p>
            <w:pPr>
              <w:pStyle w:val="TableParagraph"/>
              <w:ind w:right="215"/>
              <w:jc w:val="right"/>
              <w:rPr>
                <w:sz w:val="20"/>
              </w:rPr>
            </w:pPr>
            <w:r>
              <w:rPr>
                <w:w w:val="100"/>
                <w:sz w:val="20"/>
              </w:rPr>
              <w:t>6</w:t>
            </w:r>
          </w:p>
        </w:tc>
        <w:tc>
          <w:tcPr>
            <w:tcW w:w="2160" w:type="dxa"/>
          </w:tcPr>
          <w:p>
            <w:pPr>
              <w:pStyle w:val="TableParagraph"/>
              <w:spacing w:before="6"/>
              <w:rPr>
                <w:rFonts w:ascii="黑体"/>
                <w:sz w:val="18"/>
              </w:rPr>
            </w:pPr>
          </w:p>
          <w:p>
            <w:pPr>
              <w:pStyle w:val="TableParagraph"/>
              <w:spacing w:line="237" w:lineRule="auto"/>
              <w:ind w:left="874" w:right="156" w:hanging="700"/>
              <w:rPr>
                <w:sz w:val="20"/>
              </w:rPr>
            </w:pPr>
            <w:r>
              <w:rPr>
                <w:sz w:val="20"/>
              </w:rPr>
              <w:t>桫椤峡谷自然生态风景区</w:t>
            </w:r>
          </w:p>
        </w:tc>
        <w:tc>
          <w:tcPr>
            <w:tcW w:w="1260" w:type="dxa"/>
          </w:tcPr>
          <w:p>
            <w:pPr>
              <w:pStyle w:val="TableParagraph"/>
              <w:spacing w:before="2"/>
              <w:rPr>
                <w:rFonts w:ascii="黑体"/>
                <w:sz w:val="28"/>
              </w:rPr>
            </w:pPr>
          </w:p>
          <w:p>
            <w:pPr>
              <w:pStyle w:val="TableParagraph"/>
              <w:ind w:left="154" w:right="154"/>
              <w:jc w:val="center"/>
              <w:rPr>
                <w:sz w:val="20"/>
              </w:rPr>
            </w:pPr>
            <w:r>
              <w:rPr>
                <w:sz w:val="20"/>
              </w:rPr>
              <w:t>2016-2020</w:t>
            </w:r>
          </w:p>
        </w:tc>
        <w:tc>
          <w:tcPr>
            <w:tcW w:w="3534" w:type="dxa"/>
          </w:tcPr>
          <w:p>
            <w:pPr>
              <w:pStyle w:val="TableParagraph"/>
              <w:spacing w:before="6"/>
              <w:rPr>
                <w:rFonts w:ascii="黑体"/>
                <w:sz w:val="18"/>
              </w:rPr>
            </w:pPr>
          </w:p>
          <w:p>
            <w:pPr>
              <w:pStyle w:val="TableParagraph"/>
              <w:spacing w:line="237" w:lineRule="auto"/>
              <w:ind w:left="660" w:right="3" w:hanging="559"/>
              <w:rPr>
                <w:sz w:val="20"/>
              </w:rPr>
            </w:pPr>
            <w:r>
              <w:rPr>
                <w:sz w:val="20"/>
              </w:rPr>
              <w:t>建成融自然生态观光，户外露营体验及养身保健休闲的综合景区</w:t>
            </w:r>
          </w:p>
        </w:tc>
        <w:tc>
          <w:tcPr>
            <w:tcW w:w="1116" w:type="dxa"/>
          </w:tcPr>
          <w:p>
            <w:pPr>
              <w:pStyle w:val="TableParagraph"/>
              <w:spacing w:before="2"/>
              <w:rPr>
                <w:rFonts w:ascii="黑体"/>
                <w:sz w:val="28"/>
              </w:rPr>
            </w:pPr>
          </w:p>
          <w:p>
            <w:pPr>
              <w:pStyle w:val="TableParagraph"/>
              <w:ind w:right="300"/>
              <w:jc w:val="right"/>
              <w:rPr>
                <w:sz w:val="20"/>
              </w:rPr>
            </w:pPr>
            <w:r>
              <w:rPr>
                <w:sz w:val="20"/>
              </w:rPr>
              <w:t>40000</w:t>
            </w:r>
          </w:p>
        </w:tc>
        <w:tc>
          <w:tcPr>
            <w:tcW w:w="1253" w:type="dxa"/>
          </w:tcPr>
          <w:p>
            <w:pPr>
              <w:pStyle w:val="TableParagraph"/>
              <w:spacing w:before="2"/>
              <w:rPr>
                <w:rFonts w:ascii="黑体"/>
                <w:sz w:val="28"/>
              </w:rPr>
            </w:pPr>
          </w:p>
          <w:p>
            <w:pPr>
              <w:pStyle w:val="TableParagraph"/>
              <w:ind w:left="101" w:right="101"/>
              <w:jc w:val="center"/>
              <w:rPr>
                <w:sz w:val="20"/>
              </w:rPr>
            </w:pPr>
            <w:r>
              <w:rPr>
                <w:sz w:val="20"/>
              </w:rPr>
              <w:t>旅游局</w:t>
            </w:r>
          </w:p>
        </w:tc>
      </w:tr>
      <w:tr>
        <w:trPr>
          <w:trHeight w:val="1060" w:hRule="atLeast"/>
        </w:trPr>
        <w:tc>
          <w:tcPr>
            <w:tcW w:w="544" w:type="dxa"/>
          </w:tcPr>
          <w:p>
            <w:pPr>
              <w:pStyle w:val="TableParagraph"/>
              <w:spacing w:before="2"/>
              <w:rPr>
                <w:rFonts w:ascii="黑体"/>
                <w:sz w:val="28"/>
              </w:rPr>
            </w:pPr>
          </w:p>
          <w:p>
            <w:pPr>
              <w:pStyle w:val="TableParagraph"/>
              <w:ind w:right="215"/>
              <w:jc w:val="right"/>
              <w:rPr>
                <w:sz w:val="20"/>
              </w:rPr>
            </w:pPr>
            <w:r>
              <w:rPr>
                <w:w w:val="100"/>
                <w:sz w:val="20"/>
              </w:rPr>
              <w:t>7</w:t>
            </w:r>
          </w:p>
        </w:tc>
        <w:tc>
          <w:tcPr>
            <w:tcW w:w="2160" w:type="dxa"/>
          </w:tcPr>
          <w:p>
            <w:pPr>
              <w:pStyle w:val="TableParagraph"/>
              <w:spacing w:before="2"/>
              <w:rPr>
                <w:rFonts w:ascii="黑体"/>
                <w:sz w:val="28"/>
              </w:rPr>
            </w:pPr>
          </w:p>
          <w:p>
            <w:pPr>
              <w:pStyle w:val="TableParagraph"/>
              <w:ind w:left="113"/>
              <w:rPr>
                <w:sz w:val="20"/>
              </w:rPr>
            </w:pPr>
            <w:r>
              <w:rPr>
                <w:sz w:val="20"/>
              </w:rPr>
              <w:t>沫溪河生态观光度假区</w:t>
            </w:r>
          </w:p>
        </w:tc>
        <w:tc>
          <w:tcPr>
            <w:tcW w:w="1260" w:type="dxa"/>
          </w:tcPr>
          <w:p>
            <w:pPr>
              <w:pStyle w:val="TableParagraph"/>
              <w:spacing w:before="2"/>
              <w:rPr>
                <w:rFonts w:ascii="黑体"/>
                <w:sz w:val="28"/>
              </w:rPr>
            </w:pPr>
          </w:p>
          <w:p>
            <w:pPr>
              <w:pStyle w:val="TableParagraph"/>
              <w:ind w:left="154" w:right="155"/>
              <w:jc w:val="center"/>
              <w:rPr>
                <w:sz w:val="20"/>
              </w:rPr>
            </w:pPr>
            <w:r>
              <w:rPr>
                <w:sz w:val="20"/>
              </w:rPr>
              <w:t>2016-2020</w:t>
            </w:r>
          </w:p>
        </w:tc>
        <w:tc>
          <w:tcPr>
            <w:tcW w:w="3534" w:type="dxa"/>
          </w:tcPr>
          <w:p>
            <w:pPr>
              <w:pStyle w:val="TableParagraph"/>
              <w:spacing w:line="260" w:lineRule="exact" w:before="109"/>
              <w:ind w:left="160"/>
              <w:rPr>
                <w:sz w:val="20"/>
              </w:rPr>
            </w:pPr>
            <w:r>
              <w:rPr>
                <w:sz w:val="20"/>
              </w:rPr>
              <w:t>结合新农村建设打造农业生态景观群</w:t>
            </w:r>
          </w:p>
          <w:p>
            <w:pPr>
              <w:pStyle w:val="TableParagraph"/>
              <w:spacing w:line="237" w:lineRule="auto" w:before="1"/>
              <w:ind w:left="361" w:right="1" w:hanging="258"/>
              <w:rPr>
                <w:sz w:val="20"/>
              </w:rPr>
            </w:pPr>
            <w:r>
              <w:rPr>
                <w:sz w:val="20"/>
              </w:rPr>
              <w:t>（带），水上观光和体验项目，上游做漂流，中游做垂钓，下游做娱乐</w:t>
            </w:r>
          </w:p>
        </w:tc>
        <w:tc>
          <w:tcPr>
            <w:tcW w:w="1116" w:type="dxa"/>
          </w:tcPr>
          <w:p>
            <w:pPr>
              <w:pStyle w:val="TableParagraph"/>
              <w:spacing w:before="2"/>
              <w:rPr>
                <w:rFonts w:ascii="黑体"/>
                <w:sz w:val="28"/>
              </w:rPr>
            </w:pPr>
          </w:p>
          <w:p>
            <w:pPr>
              <w:pStyle w:val="TableParagraph"/>
              <w:ind w:right="300"/>
              <w:jc w:val="right"/>
              <w:rPr>
                <w:sz w:val="20"/>
              </w:rPr>
            </w:pPr>
            <w:r>
              <w:rPr>
                <w:sz w:val="20"/>
              </w:rPr>
              <w:t>20000</w:t>
            </w:r>
          </w:p>
        </w:tc>
        <w:tc>
          <w:tcPr>
            <w:tcW w:w="1253" w:type="dxa"/>
          </w:tcPr>
          <w:p>
            <w:pPr>
              <w:pStyle w:val="TableParagraph"/>
              <w:spacing w:before="2"/>
              <w:rPr>
                <w:rFonts w:ascii="黑体"/>
                <w:sz w:val="28"/>
              </w:rPr>
            </w:pPr>
          </w:p>
          <w:p>
            <w:pPr>
              <w:pStyle w:val="TableParagraph"/>
              <w:ind w:left="101" w:right="101"/>
              <w:jc w:val="center"/>
              <w:rPr>
                <w:sz w:val="20"/>
              </w:rPr>
            </w:pPr>
            <w:r>
              <w:rPr>
                <w:sz w:val="20"/>
              </w:rPr>
              <w:t>旅游局</w:t>
            </w:r>
          </w:p>
        </w:tc>
      </w:tr>
      <w:tr>
        <w:trPr>
          <w:trHeight w:val="1060" w:hRule="atLeast"/>
        </w:trPr>
        <w:tc>
          <w:tcPr>
            <w:tcW w:w="544" w:type="dxa"/>
          </w:tcPr>
          <w:p>
            <w:pPr>
              <w:pStyle w:val="TableParagraph"/>
              <w:spacing w:before="2"/>
              <w:rPr>
                <w:rFonts w:ascii="黑体"/>
                <w:sz w:val="28"/>
              </w:rPr>
            </w:pPr>
          </w:p>
          <w:p>
            <w:pPr>
              <w:pStyle w:val="TableParagraph"/>
              <w:ind w:right="215"/>
              <w:jc w:val="right"/>
              <w:rPr>
                <w:sz w:val="20"/>
              </w:rPr>
            </w:pPr>
            <w:r>
              <w:rPr>
                <w:w w:val="100"/>
                <w:sz w:val="20"/>
              </w:rPr>
              <w:t>8</w:t>
            </w:r>
          </w:p>
        </w:tc>
        <w:tc>
          <w:tcPr>
            <w:tcW w:w="2160" w:type="dxa"/>
          </w:tcPr>
          <w:p>
            <w:pPr>
              <w:pStyle w:val="TableParagraph"/>
              <w:spacing w:before="6"/>
              <w:rPr>
                <w:rFonts w:ascii="黑体"/>
                <w:sz w:val="18"/>
              </w:rPr>
            </w:pPr>
          </w:p>
          <w:p>
            <w:pPr>
              <w:pStyle w:val="TableParagraph"/>
              <w:spacing w:line="237" w:lineRule="auto"/>
              <w:ind w:left="773" w:right="156" w:hanging="599"/>
              <w:rPr>
                <w:sz w:val="20"/>
              </w:rPr>
            </w:pPr>
            <w:r>
              <w:rPr>
                <w:sz w:val="20"/>
              </w:rPr>
              <w:t>道士观道教养身康疗度假区</w:t>
            </w:r>
          </w:p>
        </w:tc>
        <w:tc>
          <w:tcPr>
            <w:tcW w:w="1260" w:type="dxa"/>
          </w:tcPr>
          <w:p>
            <w:pPr>
              <w:pStyle w:val="TableParagraph"/>
              <w:spacing w:before="2"/>
              <w:rPr>
                <w:rFonts w:ascii="黑体"/>
                <w:sz w:val="28"/>
              </w:rPr>
            </w:pPr>
          </w:p>
          <w:p>
            <w:pPr>
              <w:pStyle w:val="TableParagraph"/>
              <w:ind w:left="154" w:right="154"/>
              <w:jc w:val="center"/>
              <w:rPr>
                <w:sz w:val="20"/>
              </w:rPr>
            </w:pPr>
            <w:r>
              <w:rPr>
                <w:sz w:val="20"/>
              </w:rPr>
              <w:t>2017-2020</w:t>
            </w:r>
          </w:p>
        </w:tc>
        <w:tc>
          <w:tcPr>
            <w:tcW w:w="3534" w:type="dxa"/>
          </w:tcPr>
          <w:p>
            <w:pPr>
              <w:pStyle w:val="TableParagraph"/>
              <w:spacing w:before="6"/>
              <w:rPr>
                <w:rFonts w:ascii="黑体"/>
                <w:sz w:val="18"/>
              </w:rPr>
            </w:pPr>
          </w:p>
          <w:p>
            <w:pPr>
              <w:pStyle w:val="TableParagraph"/>
              <w:spacing w:line="237" w:lineRule="auto"/>
              <w:ind w:left="860" w:right="2" w:hanging="758"/>
              <w:rPr>
                <w:sz w:val="20"/>
              </w:rPr>
            </w:pPr>
            <w:r>
              <w:rPr>
                <w:sz w:val="20"/>
              </w:rPr>
              <w:t>恢复修缮道士观，建设道教文化体验、养身、康疗度假产品</w:t>
            </w:r>
          </w:p>
        </w:tc>
        <w:tc>
          <w:tcPr>
            <w:tcW w:w="1116" w:type="dxa"/>
          </w:tcPr>
          <w:p>
            <w:pPr>
              <w:pStyle w:val="TableParagraph"/>
              <w:spacing w:before="2"/>
              <w:rPr>
                <w:rFonts w:ascii="黑体"/>
                <w:sz w:val="28"/>
              </w:rPr>
            </w:pPr>
          </w:p>
          <w:p>
            <w:pPr>
              <w:pStyle w:val="TableParagraph"/>
              <w:ind w:right="350"/>
              <w:jc w:val="right"/>
              <w:rPr>
                <w:sz w:val="20"/>
              </w:rPr>
            </w:pPr>
            <w:r>
              <w:rPr>
                <w:sz w:val="20"/>
              </w:rPr>
              <w:t>5000</w:t>
            </w:r>
          </w:p>
        </w:tc>
        <w:tc>
          <w:tcPr>
            <w:tcW w:w="1253" w:type="dxa"/>
          </w:tcPr>
          <w:p>
            <w:pPr>
              <w:pStyle w:val="TableParagraph"/>
              <w:spacing w:before="2"/>
              <w:rPr>
                <w:rFonts w:ascii="黑体"/>
                <w:sz w:val="28"/>
              </w:rPr>
            </w:pPr>
          </w:p>
          <w:p>
            <w:pPr>
              <w:pStyle w:val="TableParagraph"/>
              <w:ind w:left="100" w:right="101"/>
              <w:jc w:val="center"/>
              <w:rPr>
                <w:sz w:val="20"/>
              </w:rPr>
            </w:pPr>
            <w:r>
              <w:rPr>
                <w:sz w:val="20"/>
              </w:rPr>
              <w:t>旅游局</w:t>
            </w:r>
          </w:p>
        </w:tc>
      </w:tr>
      <w:tr>
        <w:trPr>
          <w:trHeight w:val="1060" w:hRule="atLeast"/>
        </w:trPr>
        <w:tc>
          <w:tcPr>
            <w:tcW w:w="544" w:type="dxa"/>
          </w:tcPr>
          <w:p>
            <w:pPr>
              <w:pStyle w:val="TableParagraph"/>
              <w:spacing w:before="2"/>
              <w:rPr>
                <w:rFonts w:ascii="黑体"/>
                <w:sz w:val="28"/>
              </w:rPr>
            </w:pPr>
          </w:p>
          <w:p>
            <w:pPr>
              <w:pStyle w:val="TableParagraph"/>
              <w:ind w:right="215"/>
              <w:jc w:val="right"/>
              <w:rPr>
                <w:sz w:val="20"/>
              </w:rPr>
            </w:pPr>
            <w:r>
              <w:rPr>
                <w:w w:val="100"/>
                <w:sz w:val="20"/>
              </w:rPr>
              <w:t>9</w:t>
            </w:r>
          </w:p>
        </w:tc>
        <w:tc>
          <w:tcPr>
            <w:tcW w:w="2160" w:type="dxa"/>
          </w:tcPr>
          <w:p>
            <w:pPr>
              <w:pStyle w:val="TableParagraph"/>
              <w:spacing w:before="6"/>
              <w:rPr>
                <w:rFonts w:ascii="黑体"/>
                <w:sz w:val="18"/>
              </w:rPr>
            </w:pPr>
          </w:p>
          <w:p>
            <w:pPr>
              <w:pStyle w:val="TableParagraph"/>
              <w:spacing w:line="237" w:lineRule="auto"/>
              <w:ind w:left="674" w:right="156" w:hanging="500"/>
              <w:rPr>
                <w:sz w:val="20"/>
              </w:rPr>
            </w:pPr>
            <w:r>
              <w:rPr>
                <w:sz w:val="20"/>
              </w:rPr>
              <w:t>原东风电机厂三线军工体验馆</w:t>
            </w:r>
          </w:p>
        </w:tc>
        <w:tc>
          <w:tcPr>
            <w:tcW w:w="1260" w:type="dxa"/>
          </w:tcPr>
          <w:p>
            <w:pPr>
              <w:pStyle w:val="TableParagraph"/>
              <w:spacing w:before="2"/>
              <w:rPr>
                <w:rFonts w:ascii="黑体"/>
                <w:sz w:val="28"/>
              </w:rPr>
            </w:pPr>
          </w:p>
          <w:p>
            <w:pPr>
              <w:pStyle w:val="TableParagraph"/>
              <w:ind w:left="154" w:right="154"/>
              <w:jc w:val="center"/>
              <w:rPr>
                <w:sz w:val="20"/>
              </w:rPr>
            </w:pPr>
            <w:r>
              <w:rPr>
                <w:sz w:val="20"/>
              </w:rPr>
              <w:t>2017-2019</w:t>
            </w:r>
          </w:p>
        </w:tc>
        <w:tc>
          <w:tcPr>
            <w:tcW w:w="3534" w:type="dxa"/>
          </w:tcPr>
          <w:p>
            <w:pPr>
              <w:pStyle w:val="TableParagraph"/>
              <w:spacing w:before="6"/>
              <w:rPr>
                <w:rFonts w:ascii="黑体"/>
                <w:sz w:val="18"/>
              </w:rPr>
            </w:pPr>
          </w:p>
          <w:p>
            <w:pPr>
              <w:pStyle w:val="TableParagraph"/>
              <w:spacing w:line="237" w:lineRule="auto"/>
              <w:ind w:left="1060" w:right="2" w:hanging="958"/>
              <w:rPr>
                <w:sz w:val="20"/>
              </w:rPr>
            </w:pPr>
            <w:r>
              <w:rPr>
                <w:sz w:val="20"/>
              </w:rPr>
              <w:t>建成山洞厂房、风洞车间等一批三线军工遗址体验馆。</w:t>
            </w:r>
          </w:p>
        </w:tc>
        <w:tc>
          <w:tcPr>
            <w:tcW w:w="1116" w:type="dxa"/>
          </w:tcPr>
          <w:p>
            <w:pPr>
              <w:pStyle w:val="TableParagraph"/>
              <w:spacing w:before="2"/>
              <w:rPr>
                <w:rFonts w:ascii="黑体"/>
                <w:sz w:val="28"/>
              </w:rPr>
            </w:pPr>
          </w:p>
          <w:p>
            <w:pPr>
              <w:pStyle w:val="TableParagraph"/>
              <w:ind w:right="350"/>
              <w:jc w:val="right"/>
              <w:rPr>
                <w:sz w:val="20"/>
              </w:rPr>
            </w:pPr>
            <w:r>
              <w:rPr>
                <w:sz w:val="20"/>
              </w:rPr>
              <w:t>8000</w:t>
            </w:r>
          </w:p>
        </w:tc>
        <w:tc>
          <w:tcPr>
            <w:tcW w:w="1253" w:type="dxa"/>
          </w:tcPr>
          <w:p>
            <w:pPr>
              <w:pStyle w:val="TableParagraph"/>
              <w:spacing w:before="2"/>
              <w:rPr>
                <w:rFonts w:ascii="黑体"/>
                <w:sz w:val="28"/>
              </w:rPr>
            </w:pPr>
          </w:p>
          <w:p>
            <w:pPr>
              <w:pStyle w:val="TableParagraph"/>
              <w:ind w:left="100" w:right="101"/>
              <w:jc w:val="center"/>
              <w:rPr>
                <w:sz w:val="20"/>
              </w:rPr>
            </w:pPr>
            <w:r>
              <w:rPr>
                <w:sz w:val="20"/>
              </w:rPr>
              <w:t>旅游局</w:t>
            </w:r>
          </w:p>
        </w:tc>
      </w:tr>
      <w:tr>
        <w:trPr>
          <w:trHeight w:val="1060" w:hRule="atLeast"/>
        </w:trPr>
        <w:tc>
          <w:tcPr>
            <w:tcW w:w="544" w:type="dxa"/>
          </w:tcPr>
          <w:p>
            <w:pPr>
              <w:pStyle w:val="TableParagraph"/>
              <w:spacing w:before="2"/>
              <w:rPr>
                <w:rFonts w:ascii="黑体"/>
                <w:sz w:val="28"/>
              </w:rPr>
            </w:pPr>
          </w:p>
          <w:p>
            <w:pPr>
              <w:pStyle w:val="TableParagraph"/>
              <w:ind w:right="164"/>
              <w:jc w:val="right"/>
              <w:rPr>
                <w:sz w:val="20"/>
              </w:rPr>
            </w:pPr>
            <w:r>
              <w:rPr>
                <w:sz w:val="20"/>
              </w:rPr>
              <w:t>10</w:t>
            </w:r>
          </w:p>
        </w:tc>
        <w:tc>
          <w:tcPr>
            <w:tcW w:w="2160" w:type="dxa"/>
          </w:tcPr>
          <w:p>
            <w:pPr>
              <w:pStyle w:val="TableParagraph"/>
              <w:spacing w:before="6"/>
              <w:rPr>
                <w:rFonts w:ascii="黑体"/>
                <w:sz w:val="18"/>
              </w:rPr>
            </w:pPr>
          </w:p>
          <w:p>
            <w:pPr>
              <w:pStyle w:val="TableParagraph"/>
              <w:spacing w:line="237" w:lineRule="auto"/>
              <w:ind w:left="475" w:right="155" w:hanging="300"/>
              <w:rPr>
                <w:sz w:val="20"/>
              </w:rPr>
            </w:pPr>
            <w:r>
              <w:rPr>
                <w:sz w:val="20"/>
              </w:rPr>
              <w:t>乐山港远成综合物流基地一期工程</w:t>
            </w:r>
          </w:p>
        </w:tc>
        <w:tc>
          <w:tcPr>
            <w:tcW w:w="1260" w:type="dxa"/>
          </w:tcPr>
          <w:p>
            <w:pPr>
              <w:pStyle w:val="TableParagraph"/>
              <w:spacing w:before="2"/>
              <w:rPr>
                <w:rFonts w:ascii="黑体"/>
                <w:sz w:val="28"/>
              </w:rPr>
            </w:pPr>
          </w:p>
          <w:p>
            <w:pPr>
              <w:pStyle w:val="TableParagraph"/>
              <w:ind w:left="154" w:right="154"/>
              <w:jc w:val="center"/>
              <w:rPr>
                <w:sz w:val="20"/>
              </w:rPr>
            </w:pPr>
            <w:r>
              <w:rPr>
                <w:sz w:val="20"/>
              </w:rPr>
              <w:t>2013-2016</w:t>
            </w:r>
          </w:p>
        </w:tc>
        <w:tc>
          <w:tcPr>
            <w:tcW w:w="3534" w:type="dxa"/>
          </w:tcPr>
          <w:p>
            <w:pPr>
              <w:pStyle w:val="TableParagraph"/>
              <w:spacing w:line="237" w:lineRule="auto" w:before="112"/>
              <w:ind w:left="3" w:right="2"/>
              <w:jc w:val="center"/>
              <w:rPr>
                <w:sz w:val="20"/>
              </w:rPr>
            </w:pPr>
            <w:r>
              <w:rPr>
                <w:sz w:val="20"/>
              </w:rPr>
              <w:t>新建大型水上乐园、儿童职业体验、科技馆、购物中心、餐饮美食街、民俗文化展示、文化商品交易等</w:t>
            </w:r>
          </w:p>
        </w:tc>
        <w:tc>
          <w:tcPr>
            <w:tcW w:w="1116" w:type="dxa"/>
          </w:tcPr>
          <w:p>
            <w:pPr>
              <w:pStyle w:val="TableParagraph"/>
              <w:spacing w:before="2"/>
              <w:rPr>
                <w:rFonts w:ascii="黑体"/>
                <w:sz w:val="28"/>
              </w:rPr>
            </w:pPr>
          </w:p>
          <w:p>
            <w:pPr>
              <w:pStyle w:val="TableParagraph"/>
              <w:ind w:right="300"/>
              <w:jc w:val="right"/>
              <w:rPr>
                <w:sz w:val="20"/>
              </w:rPr>
            </w:pPr>
            <w:r>
              <w:rPr>
                <w:sz w:val="20"/>
              </w:rPr>
              <w:t>95000</w:t>
            </w:r>
          </w:p>
        </w:tc>
        <w:tc>
          <w:tcPr>
            <w:tcW w:w="1253" w:type="dxa"/>
          </w:tcPr>
          <w:p>
            <w:pPr>
              <w:pStyle w:val="TableParagraph"/>
              <w:spacing w:line="237" w:lineRule="auto" w:before="112"/>
              <w:ind w:left="101" w:right="100"/>
              <w:jc w:val="center"/>
              <w:rPr>
                <w:sz w:val="20"/>
              </w:rPr>
            </w:pPr>
            <w:r>
              <w:rPr>
                <w:sz w:val="20"/>
              </w:rPr>
              <w:t>乐山三江临港经济开发区</w:t>
            </w:r>
          </w:p>
        </w:tc>
      </w:tr>
      <w:tr>
        <w:trPr>
          <w:trHeight w:val="1180" w:hRule="atLeast"/>
        </w:trPr>
        <w:tc>
          <w:tcPr>
            <w:tcW w:w="544" w:type="dxa"/>
          </w:tcPr>
          <w:p>
            <w:pPr>
              <w:pStyle w:val="TableParagraph"/>
              <w:rPr>
                <w:rFonts w:ascii="黑体"/>
                <w:sz w:val="20"/>
              </w:rPr>
            </w:pPr>
          </w:p>
          <w:p>
            <w:pPr>
              <w:pStyle w:val="TableParagraph"/>
              <w:spacing w:before="167"/>
              <w:ind w:right="164"/>
              <w:jc w:val="right"/>
              <w:rPr>
                <w:sz w:val="20"/>
              </w:rPr>
            </w:pPr>
            <w:r>
              <w:rPr>
                <w:sz w:val="20"/>
              </w:rPr>
              <w:t>11</w:t>
            </w:r>
          </w:p>
        </w:tc>
        <w:tc>
          <w:tcPr>
            <w:tcW w:w="2160" w:type="dxa"/>
          </w:tcPr>
          <w:p>
            <w:pPr>
              <w:pStyle w:val="TableParagraph"/>
              <w:rPr>
                <w:rFonts w:ascii="黑体"/>
                <w:sz w:val="23"/>
              </w:rPr>
            </w:pPr>
          </w:p>
          <w:p>
            <w:pPr>
              <w:pStyle w:val="TableParagraph"/>
              <w:spacing w:line="237" w:lineRule="auto"/>
              <w:ind w:left="475" w:right="155" w:hanging="300"/>
              <w:rPr>
                <w:sz w:val="20"/>
              </w:rPr>
            </w:pPr>
            <w:r>
              <w:rPr>
                <w:sz w:val="20"/>
              </w:rPr>
              <w:t>乐山港远成综合物流基地二期工程</w:t>
            </w:r>
          </w:p>
        </w:tc>
        <w:tc>
          <w:tcPr>
            <w:tcW w:w="1260" w:type="dxa"/>
          </w:tcPr>
          <w:p>
            <w:pPr>
              <w:pStyle w:val="TableParagraph"/>
              <w:rPr>
                <w:rFonts w:ascii="黑体"/>
                <w:sz w:val="20"/>
              </w:rPr>
            </w:pPr>
          </w:p>
          <w:p>
            <w:pPr>
              <w:pStyle w:val="TableParagraph"/>
              <w:spacing w:before="167"/>
              <w:ind w:left="154" w:right="154"/>
              <w:jc w:val="center"/>
              <w:rPr>
                <w:sz w:val="20"/>
              </w:rPr>
            </w:pPr>
            <w:r>
              <w:rPr>
                <w:sz w:val="20"/>
              </w:rPr>
              <w:t>2017-2019</w:t>
            </w:r>
          </w:p>
        </w:tc>
        <w:tc>
          <w:tcPr>
            <w:tcW w:w="3534" w:type="dxa"/>
          </w:tcPr>
          <w:p>
            <w:pPr>
              <w:pStyle w:val="TableParagraph"/>
              <w:rPr>
                <w:rFonts w:ascii="黑体"/>
                <w:sz w:val="23"/>
              </w:rPr>
            </w:pPr>
          </w:p>
          <w:p>
            <w:pPr>
              <w:pStyle w:val="TableParagraph"/>
              <w:spacing w:line="237" w:lineRule="auto"/>
              <w:ind w:left="1260" w:right="2" w:hanging="1158"/>
              <w:rPr>
                <w:sz w:val="20"/>
              </w:rPr>
            </w:pPr>
            <w:r>
              <w:rPr>
                <w:spacing w:val="-14"/>
                <w:sz w:val="20"/>
              </w:rPr>
              <w:t>商业、酒店、物业建筑面积 </w:t>
            </w:r>
            <w:r>
              <w:rPr>
                <w:sz w:val="20"/>
              </w:rPr>
              <w:t>100</w:t>
            </w:r>
            <w:r>
              <w:rPr>
                <w:spacing w:val="-14"/>
                <w:sz w:val="20"/>
              </w:rPr>
              <w:t> 万平米</w:t>
            </w:r>
            <w:r>
              <w:rPr>
                <w:spacing w:val="-1"/>
                <w:sz w:val="20"/>
              </w:rPr>
              <w:t>及附属设施</w:t>
            </w:r>
          </w:p>
        </w:tc>
        <w:tc>
          <w:tcPr>
            <w:tcW w:w="1116" w:type="dxa"/>
          </w:tcPr>
          <w:p>
            <w:pPr>
              <w:pStyle w:val="TableParagraph"/>
              <w:rPr>
                <w:rFonts w:ascii="黑体"/>
                <w:sz w:val="20"/>
              </w:rPr>
            </w:pPr>
          </w:p>
          <w:p>
            <w:pPr>
              <w:pStyle w:val="TableParagraph"/>
              <w:spacing w:before="167"/>
              <w:ind w:right="252"/>
              <w:jc w:val="right"/>
              <w:rPr>
                <w:sz w:val="20"/>
              </w:rPr>
            </w:pPr>
            <w:r>
              <w:rPr>
                <w:sz w:val="20"/>
              </w:rPr>
              <w:t>285000</w:t>
            </w:r>
          </w:p>
        </w:tc>
        <w:tc>
          <w:tcPr>
            <w:tcW w:w="1253" w:type="dxa"/>
          </w:tcPr>
          <w:p>
            <w:pPr>
              <w:pStyle w:val="TableParagraph"/>
              <w:spacing w:line="237" w:lineRule="auto" w:before="172"/>
              <w:ind w:left="101" w:right="100"/>
              <w:jc w:val="center"/>
              <w:rPr>
                <w:sz w:val="20"/>
              </w:rPr>
            </w:pPr>
            <w:r>
              <w:rPr>
                <w:sz w:val="20"/>
              </w:rPr>
              <w:t>乐山三江临港经济开发区</w:t>
            </w:r>
          </w:p>
        </w:tc>
      </w:tr>
    </w:tbl>
    <w:p>
      <w:pPr>
        <w:spacing w:after="0" w:line="237" w:lineRule="auto"/>
        <w:jc w:val="center"/>
        <w:rPr>
          <w:sz w:val="20"/>
        </w:rPr>
        <w:sectPr>
          <w:pgSz w:w="11910" w:h="16840"/>
          <w:pgMar w:header="0" w:footer="938" w:top="1540" w:bottom="1120" w:left="880" w:right="940"/>
        </w:sectPr>
      </w:pPr>
    </w:p>
    <w:tbl>
      <w:tblPr>
        <w:tblW w:w="0" w:type="auto"/>
        <w:jc w:val="left"/>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44"/>
        <w:gridCol w:w="2160"/>
        <w:gridCol w:w="1260"/>
        <w:gridCol w:w="3534"/>
        <w:gridCol w:w="1116"/>
        <w:gridCol w:w="1253"/>
      </w:tblGrid>
      <w:tr>
        <w:trPr>
          <w:trHeight w:val="1060" w:hRule="atLeast"/>
        </w:trPr>
        <w:tc>
          <w:tcPr>
            <w:tcW w:w="544" w:type="dxa"/>
          </w:tcPr>
          <w:p>
            <w:pPr>
              <w:pStyle w:val="TableParagraph"/>
              <w:spacing w:before="2"/>
              <w:rPr>
                <w:rFonts w:ascii="黑体"/>
                <w:sz w:val="28"/>
              </w:rPr>
            </w:pPr>
          </w:p>
          <w:p>
            <w:pPr>
              <w:pStyle w:val="TableParagraph"/>
              <w:ind w:left="146" w:right="146"/>
              <w:jc w:val="center"/>
              <w:rPr>
                <w:sz w:val="20"/>
              </w:rPr>
            </w:pPr>
            <w:r>
              <w:rPr>
                <w:sz w:val="20"/>
              </w:rPr>
              <w:t>12</w:t>
            </w:r>
          </w:p>
        </w:tc>
        <w:tc>
          <w:tcPr>
            <w:tcW w:w="2160" w:type="dxa"/>
          </w:tcPr>
          <w:p>
            <w:pPr>
              <w:pStyle w:val="TableParagraph"/>
              <w:spacing w:before="2"/>
              <w:rPr>
                <w:rFonts w:ascii="黑体"/>
                <w:sz w:val="28"/>
              </w:rPr>
            </w:pPr>
          </w:p>
          <w:p>
            <w:pPr>
              <w:pStyle w:val="TableParagraph"/>
              <w:ind w:left="42" w:right="43"/>
              <w:jc w:val="center"/>
              <w:rPr>
                <w:sz w:val="20"/>
              </w:rPr>
            </w:pPr>
            <w:r>
              <w:rPr>
                <w:sz w:val="20"/>
              </w:rPr>
              <w:t>和邦农业电商项目</w:t>
            </w:r>
          </w:p>
        </w:tc>
        <w:tc>
          <w:tcPr>
            <w:tcW w:w="1260" w:type="dxa"/>
          </w:tcPr>
          <w:p>
            <w:pPr>
              <w:pStyle w:val="TableParagraph"/>
              <w:spacing w:before="2"/>
              <w:rPr>
                <w:rFonts w:ascii="黑体"/>
                <w:sz w:val="28"/>
              </w:rPr>
            </w:pPr>
          </w:p>
          <w:p>
            <w:pPr>
              <w:pStyle w:val="TableParagraph"/>
              <w:ind w:left="154" w:right="155"/>
              <w:jc w:val="center"/>
              <w:rPr>
                <w:sz w:val="20"/>
              </w:rPr>
            </w:pPr>
            <w:r>
              <w:rPr>
                <w:sz w:val="20"/>
              </w:rPr>
              <w:t>2016-2017</w:t>
            </w:r>
          </w:p>
        </w:tc>
        <w:tc>
          <w:tcPr>
            <w:tcW w:w="3534" w:type="dxa"/>
          </w:tcPr>
          <w:p>
            <w:pPr>
              <w:pStyle w:val="TableParagraph"/>
              <w:spacing w:before="6"/>
              <w:rPr>
                <w:rFonts w:ascii="黑体"/>
                <w:sz w:val="18"/>
              </w:rPr>
            </w:pPr>
          </w:p>
          <w:p>
            <w:pPr>
              <w:pStyle w:val="TableParagraph"/>
              <w:spacing w:line="237" w:lineRule="auto"/>
              <w:ind w:left="260" w:right="2" w:hanging="158"/>
              <w:rPr>
                <w:sz w:val="20"/>
              </w:rPr>
            </w:pPr>
            <w:r>
              <w:rPr>
                <w:sz w:val="20"/>
              </w:rPr>
              <w:t>建设服务农业产业的电子商务平台，主营业务为农业服务、农资及农产品</w:t>
            </w:r>
          </w:p>
        </w:tc>
        <w:tc>
          <w:tcPr>
            <w:tcW w:w="1116" w:type="dxa"/>
          </w:tcPr>
          <w:p>
            <w:pPr>
              <w:pStyle w:val="TableParagraph"/>
              <w:spacing w:before="2"/>
              <w:rPr>
                <w:rFonts w:ascii="黑体"/>
                <w:sz w:val="28"/>
              </w:rPr>
            </w:pPr>
          </w:p>
          <w:p>
            <w:pPr>
              <w:pStyle w:val="TableParagraph"/>
              <w:ind w:right="300"/>
              <w:jc w:val="right"/>
              <w:rPr>
                <w:sz w:val="20"/>
              </w:rPr>
            </w:pPr>
            <w:r>
              <w:rPr>
                <w:sz w:val="20"/>
              </w:rPr>
              <w:t>20000</w:t>
            </w:r>
          </w:p>
        </w:tc>
        <w:tc>
          <w:tcPr>
            <w:tcW w:w="1253" w:type="dxa"/>
          </w:tcPr>
          <w:p>
            <w:pPr>
              <w:pStyle w:val="TableParagraph"/>
              <w:spacing w:before="2"/>
              <w:rPr>
                <w:rFonts w:ascii="黑体"/>
                <w:sz w:val="28"/>
              </w:rPr>
            </w:pPr>
          </w:p>
          <w:p>
            <w:pPr>
              <w:pStyle w:val="TableParagraph"/>
              <w:ind w:left="101" w:right="101"/>
              <w:jc w:val="center"/>
              <w:rPr>
                <w:sz w:val="20"/>
              </w:rPr>
            </w:pPr>
            <w:r>
              <w:rPr>
                <w:sz w:val="20"/>
              </w:rPr>
              <w:t>经信局</w:t>
            </w:r>
          </w:p>
        </w:tc>
      </w:tr>
      <w:tr>
        <w:trPr>
          <w:trHeight w:val="1060" w:hRule="atLeast"/>
        </w:trPr>
        <w:tc>
          <w:tcPr>
            <w:tcW w:w="544" w:type="dxa"/>
          </w:tcPr>
          <w:p>
            <w:pPr>
              <w:pStyle w:val="TableParagraph"/>
              <w:spacing w:before="2"/>
              <w:rPr>
                <w:rFonts w:ascii="黑体"/>
                <w:sz w:val="28"/>
              </w:rPr>
            </w:pPr>
          </w:p>
          <w:p>
            <w:pPr>
              <w:pStyle w:val="TableParagraph"/>
              <w:ind w:left="146" w:right="146"/>
              <w:jc w:val="center"/>
              <w:rPr>
                <w:sz w:val="20"/>
              </w:rPr>
            </w:pPr>
            <w:r>
              <w:rPr>
                <w:sz w:val="20"/>
              </w:rPr>
              <w:t>13</w:t>
            </w:r>
          </w:p>
        </w:tc>
        <w:tc>
          <w:tcPr>
            <w:tcW w:w="2160" w:type="dxa"/>
          </w:tcPr>
          <w:p>
            <w:pPr>
              <w:pStyle w:val="TableParagraph"/>
              <w:spacing w:before="2"/>
              <w:rPr>
                <w:rFonts w:ascii="黑体"/>
                <w:sz w:val="28"/>
              </w:rPr>
            </w:pPr>
          </w:p>
          <w:p>
            <w:pPr>
              <w:pStyle w:val="TableParagraph"/>
              <w:ind w:left="43" w:right="43"/>
              <w:jc w:val="center"/>
              <w:rPr>
                <w:sz w:val="20"/>
              </w:rPr>
            </w:pPr>
            <w:r>
              <w:rPr>
                <w:sz w:val="20"/>
              </w:rPr>
              <w:t>远成物流园区</w:t>
            </w:r>
          </w:p>
        </w:tc>
        <w:tc>
          <w:tcPr>
            <w:tcW w:w="1260" w:type="dxa"/>
          </w:tcPr>
          <w:p>
            <w:pPr>
              <w:pStyle w:val="TableParagraph"/>
              <w:spacing w:before="2"/>
              <w:rPr>
                <w:rFonts w:ascii="黑体"/>
                <w:sz w:val="28"/>
              </w:rPr>
            </w:pPr>
          </w:p>
          <w:p>
            <w:pPr>
              <w:pStyle w:val="TableParagraph"/>
              <w:ind w:left="154" w:right="155"/>
              <w:jc w:val="center"/>
              <w:rPr>
                <w:sz w:val="20"/>
              </w:rPr>
            </w:pPr>
            <w:r>
              <w:rPr>
                <w:sz w:val="20"/>
              </w:rPr>
              <w:t>2016-2020</w:t>
            </w:r>
          </w:p>
        </w:tc>
        <w:tc>
          <w:tcPr>
            <w:tcW w:w="3534" w:type="dxa"/>
          </w:tcPr>
          <w:p>
            <w:pPr>
              <w:pStyle w:val="TableParagraph"/>
              <w:spacing w:line="260" w:lineRule="exact" w:before="5"/>
              <w:ind w:left="103" w:hanging="101"/>
              <w:jc w:val="center"/>
              <w:rPr>
                <w:sz w:val="20"/>
              </w:rPr>
            </w:pPr>
            <w:r>
              <w:rPr>
                <w:spacing w:val="-10"/>
                <w:sz w:val="20"/>
              </w:rPr>
              <w:t>城际配送、仓储、供应链金融、电子信 </w:t>
            </w:r>
            <w:r>
              <w:rPr>
                <w:spacing w:val="-11"/>
                <w:sz w:val="20"/>
              </w:rPr>
              <w:t>息交易、公路陆港、集装箱陆港、冷链</w:t>
            </w:r>
          </w:p>
          <w:p>
            <w:pPr>
              <w:pStyle w:val="TableParagraph"/>
              <w:spacing w:line="260" w:lineRule="exact"/>
              <w:ind w:left="103"/>
              <w:jc w:val="center"/>
              <w:rPr>
                <w:sz w:val="20"/>
              </w:rPr>
            </w:pPr>
            <w:r>
              <w:rPr>
                <w:spacing w:val="-15"/>
                <w:sz w:val="20"/>
              </w:rPr>
              <w:t>仓储、大型停车场、生产资料交易市场、</w:t>
            </w:r>
            <w:r>
              <w:rPr>
                <w:spacing w:val="-1"/>
                <w:sz w:val="20"/>
              </w:rPr>
              <w:t>电子商务集群等</w:t>
            </w:r>
          </w:p>
        </w:tc>
        <w:tc>
          <w:tcPr>
            <w:tcW w:w="1116" w:type="dxa"/>
          </w:tcPr>
          <w:p>
            <w:pPr>
              <w:pStyle w:val="TableParagraph"/>
              <w:spacing w:before="2"/>
              <w:rPr>
                <w:rFonts w:ascii="黑体"/>
                <w:sz w:val="28"/>
              </w:rPr>
            </w:pPr>
          </w:p>
          <w:p>
            <w:pPr>
              <w:pStyle w:val="TableParagraph"/>
              <w:ind w:right="251"/>
              <w:jc w:val="right"/>
              <w:rPr>
                <w:sz w:val="20"/>
              </w:rPr>
            </w:pPr>
            <w:r>
              <w:rPr>
                <w:sz w:val="20"/>
              </w:rPr>
              <w:t>400000</w:t>
            </w:r>
          </w:p>
        </w:tc>
        <w:tc>
          <w:tcPr>
            <w:tcW w:w="1253" w:type="dxa"/>
          </w:tcPr>
          <w:p>
            <w:pPr>
              <w:pStyle w:val="TableParagraph"/>
              <w:spacing w:before="2"/>
              <w:rPr>
                <w:rFonts w:ascii="黑体"/>
                <w:sz w:val="28"/>
              </w:rPr>
            </w:pPr>
          </w:p>
          <w:p>
            <w:pPr>
              <w:pStyle w:val="TableParagraph"/>
              <w:ind w:left="100" w:right="101"/>
              <w:jc w:val="center"/>
              <w:rPr>
                <w:sz w:val="20"/>
              </w:rPr>
            </w:pPr>
            <w:r>
              <w:rPr>
                <w:sz w:val="20"/>
              </w:rPr>
              <w:t>商务局</w:t>
            </w:r>
          </w:p>
        </w:tc>
      </w:tr>
      <w:tr>
        <w:trPr>
          <w:trHeight w:val="1060" w:hRule="atLeast"/>
        </w:trPr>
        <w:tc>
          <w:tcPr>
            <w:tcW w:w="544" w:type="dxa"/>
          </w:tcPr>
          <w:p>
            <w:pPr>
              <w:pStyle w:val="TableParagraph"/>
              <w:spacing w:before="2"/>
              <w:rPr>
                <w:rFonts w:ascii="黑体"/>
                <w:sz w:val="28"/>
              </w:rPr>
            </w:pPr>
          </w:p>
          <w:p>
            <w:pPr>
              <w:pStyle w:val="TableParagraph"/>
              <w:ind w:left="146" w:right="146"/>
              <w:jc w:val="center"/>
              <w:rPr>
                <w:sz w:val="20"/>
              </w:rPr>
            </w:pPr>
            <w:r>
              <w:rPr>
                <w:sz w:val="20"/>
              </w:rPr>
              <w:t>14</w:t>
            </w:r>
          </w:p>
        </w:tc>
        <w:tc>
          <w:tcPr>
            <w:tcW w:w="2160" w:type="dxa"/>
          </w:tcPr>
          <w:p>
            <w:pPr>
              <w:pStyle w:val="TableParagraph"/>
              <w:spacing w:before="2"/>
              <w:rPr>
                <w:rFonts w:ascii="黑体"/>
                <w:sz w:val="28"/>
              </w:rPr>
            </w:pPr>
          </w:p>
          <w:p>
            <w:pPr>
              <w:pStyle w:val="TableParagraph"/>
              <w:ind w:left="43" w:right="43"/>
              <w:jc w:val="center"/>
              <w:rPr>
                <w:sz w:val="20"/>
              </w:rPr>
            </w:pPr>
            <w:r>
              <w:rPr>
                <w:sz w:val="20"/>
              </w:rPr>
              <w:t>远成·文旅城</w:t>
            </w:r>
          </w:p>
        </w:tc>
        <w:tc>
          <w:tcPr>
            <w:tcW w:w="1260" w:type="dxa"/>
          </w:tcPr>
          <w:p>
            <w:pPr>
              <w:pStyle w:val="TableParagraph"/>
              <w:spacing w:before="2"/>
              <w:rPr>
                <w:rFonts w:ascii="黑体"/>
                <w:sz w:val="28"/>
              </w:rPr>
            </w:pPr>
          </w:p>
          <w:p>
            <w:pPr>
              <w:pStyle w:val="TableParagraph"/>
              <w:ind w:left="154" w:right="155"/>
              <w:jc w:val="center"/>
              <w:rPr>
                <w:sz w:val="20"/>
              </w:rPr>
            </w:pPr>
            <w:r>
              <w:rPr>
                <w:sz w:val="20"/>
              </w:rPr>
              <w:t>2016-2020</w:t>
            </w:r>
          </w:p>
        </w:tc>
        <w:tc>
          <w:tcPr>
            <w:tcW w:w="3534" w:type="dxa"/>
          </w:tcPr>
          <w:p>
            <w:pPr>
              <w:pStyle w:val="TableParagraph"/>
              <w:spacing w:line="237" w:lineRule="auto" w:before="112"/>
              <w:ind w:left="87" w:right="2"/>
              <w:jc w:val="center"/>
              <w:rPr>
                <w:sz w:val="20"/>
              </w:rPr>
            </w:pPr>
            <w:r>
              <w:rPr>
                <w:sz w:val="20"/>
              </w:rPr>
              <w:t>大型水上陆上游乐园、儿童职业体验、科技馆、购物中心、特色餐饮美食街、民俗文化展示、文化商品交易等</w:t>
            </w:r>
          </w:p>
        </w:tc>
        <w:tc>
          <w:tcPr>
            <w:tcW w:w="1116" w:type="dxa"/>
          </w:tcPr>
          <w:p>
            <w:pPr>
              <w:pStyle w:val="TableParagraph"/>
              <w:spacing w:before="2"/>
              <w:rPr>
                <w:rFonts w:ascii="黑体"/>
                <w:sz w:val="28"/>
              </w:rPr>
            </w:pPr>
          </w:p>
          <w:p>
            <w:pPr>
              <w:pStyle w:val="TableParagraph"/>
              <w:ind w:right="300"/>
              <w:jc w:val="right"/>
              <w:rPr>
                <w:sz w:val="20"/>
              </w:rPr>
            </w:pPr>
            <w:r>
              <w:rPr>
                <w:sz w:val="20"/>
              </w:rPr>
              <w:t>80000</w:t>
            </w:r>
          </w:p>
        </w:tc>
        <w:tc>
          <w:tcPr>
            <w:tcW w:w="1253" w:type="dxa"/>
          </w:tcPr>
          <w:p>
            <w:pPr>
              <w:pStyle w:val="TableParagraph"/>
              <w:spacing w:before="2"/>
              <w:rPr>
                <w:rFonts w:ascii="黑体"/>
                <w:sz w:val="28"/>
              </w:rPr>
            </w:pPr>
          </w:p>
          <w:p>
            <w:pPr>
              <w:pStyle w:val="TableParagraph"/>
              <w:ind w:left="101" w:right="101"/>
              <w:jc w:val="center"/>
              <w:rPr>
                <w:sz w:val="20"/>
              </w:rPr>
            </w:pPr>
            <w:r>
              <w:rPr>
                <w:sz w:val="20"/>
              </w:rPr>
              <w:t>商务局</w:t>
            </w:r>
          </w:p>
        </w:tc>
      </w:tr>
      <w:tr>
        <w:trPr>
          <w:trHeight w:val="1060" w:hRule="atLeast"/>
        </w:trPr>
        <w:tc>
          <w:tcPr>
            <w:tcW w:w="544" w:type="dxa"/>
          </w:tcPr>
          <w:p>
            <w:pPr>
              <w:pStyle w:val="TableParagraph"/>
              <w:spacing w:before="2"/>
              <w:rPr>
                <w:rFonts w:ascii="黑体"/>
                <w:sz w:val="28"/>
              </w:rPr>
            </w:pPr>
          </w:p>
          <w:p>
            <w:pPr>
              <w:pStyle w:val="TableParagraph"/>
              <w:ind w:left="146" w:right="146"/>
              <w:jc w:val="center"/>
              <w:rPr>
                <w:sz w:val="20"/>
              </w:rPr>
            </w:pPr>
            <w:r>
              <w:rPr>
                <w:sz w:val="20"/>
              </w:rPr>
              <w:t>15</w:t>
            </w:r>
          </w:p>
        </w:tc>
        <w:tc>
          <w:tcPr>
            <w:tcW w:w="2160" w:type="dxa"/>
          </w:tcPr>
          <w:p>
            <w:pPr>
              <w:pStyle w:val="TableParagraph"/>
              <w:spacing w:before="2"/>
              <w:rPr>
                <w:rFonts w:ascii="黑体"/>
                <w:sz w:val="28"/>
              </w:rPr>
            </w:pPr>
          </w:p>
          <w:p>
            <w:pPr>
              <w:pStyle w:val="TableParagraph"/>
              <w:ind w:left="43" w:right="43"/>
              <w:jc w:val="center"/>
              <w:rPr>
                <w:sz w:val="20"/>
              </w:rPr>
            </w:pPr>
            <w:r>
              <w:rPr>
                <w:sz w:val="20"/>
              </w:rPr>
              <w:t>金山农贸市场</w:t>
            </w:r>
          </w:p>
        </w:tc>
        <w:tc>
          <w:tcPr>
            <w:tcW w:w="1260" w:type="dxa"/>
          </w:tcPr>
          <w:p>
            <w:pPr>
              <w:pStyle w:val="TableParagraph"/>
              <w:spacing w:before="2"/>
              <w:rPr>
                <w:rFonts w:ascii="黑体"/>
                <w:sz w:val="28"/>
              </w:rPr>
            </w:pPr>
          </w:p>
          <w:p>
            <w:pPr>
              <w:pStyle w:val="TableParagraph"/>
              <w:ind w:left="154" w:right="154"/>
              <w:jc w:val="center"/>
              <w:rPr>
                <w:sz w:val="20"/>
              </w:rPr>
            </w:pPr>
            <w:r>
              <w:rPr>
                <w:sz w:val="20"/>
              </w:rPr>
              <w:t>2016</w:t>
            </w:r>
          </w:p>
        </w:tc>
        <w:tc>
          <w:tcPr>
            <w:tcW w:w="3534" w:type="dxa"/>
          </w:tcPr>
          <w:p>
            <w:pPr>
              <w:pStyle w:val="TableParagraph"/>
              <w:spacing w:before="6"/>
              <w:rPr>
                <w:rFonts w:ascii="黑体"/>
                <w:sz w:val="18"/>
              </w:rPr>
            </w:pPr>
          </w:p>
          <w:p>
            <w:pPr>
              <w:pStyle w:val="TableParagraph"/>
              <w:spacing w:line="237" w:lineRule="auto"/>
              <w:ind w:left="760" w:right="2" w:hanging="650"/>
              <w:rPr>
                <w:sz w:val="20"/>
              </w:rPr>
            </w:pPr>
            <w:r>
              <w:rPr>
                <w:spacing w:val="-18"/>
                <w:sz w:val="20"/>
              </w:rPr>
              <w:t>占地 </w:t>
            </w:r>
            <w:r>
              <w:rPr>
                <w:sz w:val="20"/>
              </w:rPr>
              <w:t>8</w:t>
            </w:r>
            <w:r>
              <w:rPr>
                <w:spacing w:val="-15"/>
                <w:sz w:val="20"/>
              </w:rPr>
              <w:t> 亩，建筑面积 </w:t>
            </w:r>
            <w:r>
              <w:rPr>
                <w:sz w:val="20"/>
              </w:rPr>
              <w:t>4000</w:t>
            </w:r>
            <w:r>
              <w:rPr>
                <w:spacing w:val="-10"/>
                <w:sz w:val="20"/>
              </w:rPr>
              <w:t> 平方米，新</w:t>
            </w:r>
            <w:r>
              <w:rPr>
                <w:spacing w:val="-1"/>
                <w:sz w:val="20"/>
              </w:rPr>
              <w:t>建农贸市场及附属设施</w:t>
            </w:r>
          </w:p>
        </w:tc>
        <w:tc>
          <w:tcPr>
            <w:tcW w:w="1116" w:type="dxa"/>
          </w:tcPr>
          <w:p>
            <w:pPr>
              <w:pStyle w:val="TableParagraph"/>
              <w:spacing w:before="2"/>
              <w:rPr>
                <w:rFonts w:ascii="黑体"/>
                <w:sz w:val="28"/>
              </w:rPr>
            </w:pPr>
          </w:p>
          <w:p>
            <w:pPr>
              <w:pStyle w:val="TableParagraph"/>
              <w:ind w:right="350"/>
              <w:jc w:val="right"/>
              <w:rPr>
                <w:sz w:val="20"/>
              </w:rPr>
            </w:pPr>
            <w:r>
              <w:rPr>
                <w:sz w:val="20"/>
              </w:rPr>
              <w:t>5500</w:t>
            </w:r>
          </w:p>
        </w:tc>
        <w:tc>
          <w:tcPr>
            <w:tcW w:w="1253" w:type="dxa"/>
          </w:tcPr>
          <w:p>
            <w:pPr>
              <w:pStyle w:val="TableParagraph"/>
              <w:spacing w:before="2"/>
              <w:rPr>
                <w:rFonts w:ascii="黑体"/>
                <w:sz w:val="28"/>
              </w:rPr>
            </w:pPr>
          </w:p>
          <w:p>
            <w:pPr>
              <w:pStyle w:val="TableParagraph"/>
              <w:ind w:left="100" w:right="101"/>
              <w:jc w:val="center"/>
              <w:rPr>
                <w:sz w:val="20"/>
              </w:rPr>
            </w:pPr>
            <w:r>
              <w:rPr>
                <w:sz w:val="20"/>
              </w:rPr>
              <w:t>商务局</w:t>
            </w:r>
          </w:p>
        </w:tc>
      </w:tr>
      <w:tr>
        <w:trPr>
          <w:trHeight w:val="1060" w:hRule="atLeast"/>
        </w:trPr>
        <w:tc>
          <w:tcPr>
            <w:tcW w:w="544" w:type="dxa"/>
          </w:tcPr>
          <w:p>
            <w:pPr>
              <w:pStyle w:val="TableParagraph"/>
              <w:spacing w:before="2"/>
              <w:rPr>
                <w:rFonts w:ascii="黑体"/>
                <w:sz w:val="28"/>
              </w:rPr>
            </w:pPr>
          </w:p>
          <w:p>
            <w:pPr>
              <w:pStyle w:val="TableParagraph"/>
              <w:ind w:left="145" w:right="146"/>
              <w:jc w:val="center"/>
              <w:rPr>
                <w:sz w:val="20"/>
              </w:rPr>
            </w:pPr>
            <w:r>
              <w:rPr>
                <w:sz w:val="20"/>
              </w:rPr>
              <w:t>16</w:t>
            </w:r>
          </w:p>
        </w:tc>
        <w:tc>
          <w:tcPr>
            <w:tcW w:w="2160" w:type="dxa"/>
          </w:tcPr>
          <w:p>
            <w:pPr>
              <w:pStyle w:val="TableParagraph"/>
              <w:spacing w:before="2"/>
              <w:rPr>
                <w:rFonts w:ascii="黑体"/>
                <w:sz w:val="28"/>
              </w:rPr>
            </w:pPr>
          </w:p>
          <w:p>
            <w:pPr>
              <w:pStyle w:val="TableParagraph"/>
              <w:ind w:left="43" w:right="43"/>
              <w:jc w:val="center"/>
              <w:rPr>
                <w:sz w:val="20"/>
              </w:rPr>
            </w:pPr>
            <w:r>
              <w:rPr>
                <w:spacing w:val="-21"/>
                <w:sz w:val="20"/>
              </w:rPr>
              <w:t>置恒</w:t>
            </w:r>
            <w:r>
              <w:rPr>
                <w:spacing w:val="-57"/>
                <w:sz w:val="20"/>
              </w:rPr>
              <w:t>·</w:t>
            </w:r>
            <w:r>
              <w:rPr>
                <w:spacing w:val="-21"/>
                <w:sz w:val="20"/>
              </w:rPr>
              <w:t>新天地商贸综合体</w:t>
            </w:r>
          </w:p>
        </w:tc>
        <w:tc>
          <w:tcPr>
            <w:tcW w:w="1260" w:type="dxa"/>
          </w:tcPr>
          <w:p>
            <w:pPr>
              <w:pStyle w:val="TableParagraph"/>
              <w:spacing w:before="2"/>
              <w:rPr>
                <w:rFonts w:ascii="黑体"/>
                <w:sz w:val="28"/>
              </w:rPr>
            </w:pPr>
          </w:p>
          <w:p>
            <w:pPr>
              <w:pStyle w:val="TableParagraph"/>
              <w:ind w:left="154" w:right="155"/>
              <w:jc w:val="center"/>
              <w:rPr>
                <w:sz w:val="20"/>
              </w:rPr>
            </w:pPr>
            <w:r>
              <w:rPr>
                <w:sz w:val="20"/>
              </w:rPr>
              <w:t>2015-2018</w:t>
            </w:r>
          </w:p>
        </w:tc>
        <w:tc>
          <w:tcPr>
            <w:tcW w:w="3534" w:type="dxa"/>
          </w:tcPr>
          <w:p>
            <w:pPr>
              <w:pStyle w:val="TableParagraph"/>
              <w:spacing w:before="6"/>
              <w:rPr>
                <w:rFonts w:ascii="黑体"/>
                <w:sz w:val="18"/>
              </w:rPr>
            </w:pPr>
          </w:p>
          <w:p>
            <w:pPr>
              <w:pStyle w:val="TableParagraph"/>
              <w:spacing w:line="237" w:lineRule="auto"/>
              <w:ind w:left="1460" w:right="2" w:hanging="1358"/>
              <w:rPr>
                <w:sz w:val="20"/>
              </w:rPr>
            </w:pPr>
            <w:r>
              <w:rPr>
                <w:spacing w:val="-22"/>
                <w:sz w:val="20"/>
              </w:rPr>
              <w:t>占地 </w:t>
            </w:r>
            <w:r>
              <w:rPr>
                <w:sz w:val="20"/>
              </w:rPr>
              <w:t>96.8</w:t>
            </w:r>
            <w:r>
              <w:rPr>
                <w:spacing w:val="-25"/>
                <w:sz w:val="20"/>
              </w:rPr>
              <w:t> 亩，总建筑面积达 </w:t>
            </w:r>
            <w:r>
              <w:rPr>
                <w:sz w:val="20"/>
              </w:rPr>
              <w:t>338031.59 平方米</w:t>
            </w:r>
          </w:p>
        </w:tc>
        <w:tc>
          <w:tcPr>
            <w:tcW w:w="1116" w:type="dxa"/>
          </w:tcPr>
          <w:p>
            <w:pPr>
              <w:pStyle w:val="TableParagraph"/>
              <w:spacing w:before="2"/>
              <w:rPr>
                <w:rFonts w:ascii="黑体"/>
                <w:sz w:val="28"/>
              </w:rPr>
            </w:pPr>
          </w:p>
          <w:p>
            <w:pPr>
              <w:pStyle w:val="TableParagraph"/>
              <w:ind w:right="251"/>
              <w:jc w:val="right"/>
              <w:rPr>
                <w:sz w:val="20"/>
              </w:rPr>
            </w:pPr>
            <w:r>
              <w:rPr>
                <w:sz w:val="20"/>
              </w:rPr>
              <w:t>130000</w:t>
            </w:r>
          </w:p>
        </w:tc>
        <w:tc>
          <w:tcPr>
            <w:tcW w:w="1253" w:type="dxa"/>
          </w:tcPr>
          <w:p>
            <w:pPr>
              <w:pStyle w:val="TableParagraph"/>
              <w:spacing w:before="2"/>
              <w:rPr>
                <w:rFonts w:ascii="黑体"/>
                <w:sz w:val="28"/>
              </w:rPr>
            </w:pPr>
          </w:p>
          <w:p>
            <w:pPr>
              <w:pStyle w:val="TableParagraph"/>
              <w:ind w:left="100" w:right="101"/>
              <w:jc w:val="center"/>
              <w:rPr>
                <w:sz w:val="20"/>
              </w:rPr>
            </w:pPr>
            <w:r>
              <w:rPr>
                <w:sz w:val="20"/>
              </w:rPr>
              <w:t>商务局</w:t>
            </w:r>
          </w:p>
        </w:tc>
      </w:tr>
      <w:tr>
        <w:trPr>
          <w:trHeight w:val="860" w:hRule="atLeast"/>
        </w:trPr>
        <w:tc>
          <w:tcPr>
            <w:tcW w:w="544" w:type="dxa"/>
          </w:tcPr>
          <w:p>
            <w:pPr>
              <w:pStyle w:val="TableParagraph"/>
              <w:spacing w:before="1"/>
              <w:rPr>
                <w:rFonts w:ascii="黑体"/>
                <w:sz w:val="21"/>
              </w:rPr>
            </w:pPr>
          </w:p>
          <w:p>
            <w:pPr>
              <w:pStyle w:val="TableParagraph"/>
              <w:ind w:left="146" w:right="146"/>
              <w:jc w:val="center"/>
              <w:rPr>
                <w:sz w:val="20"/>
              </w:rPr>
            </w:pPr>
            <w:r>
              <w:rPr>
                <w:sz w:val="20"/>
              </w:rPr>
              <w:t>17</w:t>
            </w:r>
          </w:p>
        </w:tc>
        <w:tc>
          <w:tcPr>
            <w:tcW w:w="2160" w:type="dxa"/>
          </w:tcPr>
          <w:p>
            <w:pPr>
              <w:pStyle w:val="TableParagraph"/>
              <w:spacing w:before="1"/>
              <w:rPr>
                <w:rFonts w:ascii="黑体"/>
                <w:sz w:val="21"/>
              </w:rPr>
            </w:pPr>
          </w:p>
          <w:p>
            <w:pPr>
              <w:pStyle w:val="TableParagraph"/>
              <w:ind w:left="42" w:right="43"/>
              <w:jc w:val="center"/>
              <w:rPr>
                <w:sz w:val="20"/>
              </w:rPr>
            </w:pPr>
            <w:r>
              <w:rPr>
                <w:sz w:val="20"/>
              </w:rPr>
              <w:t>建材装饰城</w:t>
            </w:r>
          </w:p>
        </w:tc>
        <w:tc>
          <w:tcPr>
            <w:tcW w:w="1260" w:type="dxa"/>
          </w:tcPr>
          <w:p>
            <w:pPr>
              <w:pStyle w:val="TableParagraph"/>
              <w:spacing w:before="1"/>
              <w:rPr>
                <w:rFonts w:ascii="黑体"/>
                <w:sz w:val="21"/>
              </w:rPr>
            </w:pPr>
          </w:p>
          <w:p>
            <w:pPr>
              <w:pStyle w:val="TableParagraph"/>
              <w:ind w:left="154" w:right="155"/>
              <w:jc w:val="center"/>
              <w:rPr>
                <w:sz w:val="20"/>
              </w:rPr>
            </w:pPr>
            <w:r>
              <w:rPr>
                <w:sz w:val="20"/>
              </w:rPr>
              <w:t>2016-2018</w:t>
            </w:r>
          </w:p>
        </w:tc>
        <w:tc>
          <w:tcPr>
            <w:tcW w:w="3534" w:type="dxa"/>
          </w:tcPr>
          <w:p>
            <w:pPr>
              <w:pStyle w:val="TableParagraph"/>
              <w:spacing w:line="237" w:lineRule="auto" w:before="149"/>
              <w:ind w:left="1360" w:right="2" w:hanging="1258"/>
              <w:rPr>
                <w:sz w:val="20"/>
              </w:rPr>
            </w:pPr>
            <w:r>
              <w:rPr>
                <w:sz w:val="20"/>
              </w:rPr>
              <w:t>集中布局建材、装饰销售企业，打造建材装饰城</w:t>
            </w:r>
          </w:p>
        </w:tc>
        <w:tc>
          <w:tcPr>
            <w:tcW w:w="1116" w:type="dxa"/>
          </w:tcPr>
          <w:p>
            <w:pPr>
              <w:pStyle w:val="TableParagraph"/>
              <w:spacing w:before="1"/>
              <w:rPr>
                <w:rFonts w:ascii="黑体"/>
                <w:sz w:val="21"/>
              </w:rPr>
            </w:pPr>
          </w:p>
          <w:p>
            <w:pPr>
              <w:pStyle w:val="TableParagraph"/>
              <w:ind w:right="300"/>
              <w:jc w:val="right"/>
              <w:rPr>
                <w:sz w:val="20"/>
              </w:rPr>
            </w:pPr>
            <w:r>
              <w:rPr>
                <w:sz w:val="20"/>
              </w:rPr>
              <w:t>10000</w:t>
            </w:r>
          </w:p>
        </w:tc>
        <w:tc>
          <w:tcPr>
            <w:tcW w:w="1253" w:type="dxa"/>
          </w:tcPr>
          <w:p>
            <w:pPr>
              <w:pStyle w:val="TableParagraph"/>
              <w:spacing w:before="1"/>
              <w:rPr>
                <w:rFonts w:ascii="黑体"/>
                <w:sz w:val="21"/>
              </w:rPr>
            </w:pPr>
          </w:p>
          <w:p>
            <w:pPr>
              <w:pStyle w:val="TableParagraph"/>
              <w:ind w:left="101" w:right="101"/>
              <w:jc w:val="center"/>
              <w:rPr>
                <w:sz w:val="20"/>
              </w:rPr>
            </w:pPr>
            <w:r>
              <w:rPr>
                <w:sz w:val="20"/>
              </w:rPr>
              <w:t>商务局</w:t>
            </w:r>
          </w:p>
        </w:tc>
      </w:tr>
      <w:tr>
        <w:trPr>
          <w:trHeight w:val="1060" w:hRule="atLeast"/>
        </w:trPr>
        <w:tc>
          <w:tcPr>
            <w:tcW w:w="544" w:type="dxa"/>
          </w:tcPr>
          <w:p>
            <w:pPr>
              <w:pStyle w:val="TableParagraph"/>
              <w:spacing w:before="2"/>
              <w:rPr>
                <w:rFonts w:ascii="黑体"/>
                <w:sz w:val="28"/>
              </w:rPr>
            </w:pPr>
          </w:p>
          <w:p>
            <w:pPr>
              <w:pStyle w:val="TableParagraph"/>
              <w:ind w:left="145" w:right="146"/>
              <w:jc w:val="center"/>
              <w:rPr>
                <w:sz w:val="20"/>
              </w:rPr>
            </w:pPr>
            <w:r>
              <w:rPr>
                <w:sz w:val="20"/>
              </w:rPr>
              <w:t>18</w:t>
            </w:r>
          </w:p>
        </w:tc>
        <w:tc>
          <w:tcPr>
            <w:tcW w:w="2160" w:type="dxa"/>
          </w:tcPr>
          <w:p>
            <w:pPr>
              <w:pStyle w:val="TableParagraph"/>
              <w:spacing w:line="237" w:lineRule="auto" w:before="112"/>
              <w:ind w:left="47" w:right="43"/>
              <w:jc w:val="center"/>
              <w:rPr>
                <w:sz w:val="20"/>
              </w:rPr>
            </w:pPr>
            <w:r>
              <w:rPr>
                <w:sz w:val="20"/>
              </w:rPr>
              <w:t>杨柳、牛华、桥沟、辉山农贸市场新建、改扩建</w:t>
            </w:r>
          </w:p>
        </w:tc>
        <w:tc>
          <w:tcPr>
            <w:tcW w:w="1260" w:type="dxa"/>
          </w:tcPr>
          <w:p>
            <w:pPr>
              <w:pStyle w:val="TableParagraph"/>
              <w:spacing w:before="2"/>
              <w:rPr>
                <w:rFonts w:ascii="黑体"/>
                <w:sz w:val="28"/>
              </w:rPr>
            </w:pPr>
          </w:p>
          <w:p>
            <w:pPr>
              <w:pStyle w:val="TableParagraph"/>
              <w:ind w:left="154" w:right="154"/>
              <w:jc w:val="center"/>
              <w:rPr>
                <w:sz w:val="20"/>
              </w:rPr>
            </w:pPr>
            <w:r>
              <w:rPr>
                <w:sz w:val="20"/>
              </w:rPr>
              <w:t>2016-2017</w:t>
            </w:r>
          </w:p>
        </w:tc>
        <w:tc>
          <w:tcPr>
            <w:tcW w:w="3534" w:type="dxa"/>
          </w:tcPr>
          <w:p>
            <w:pPr>
              <w:pStyle w:val="TableParagraph"/>
              <w:spacing w:before="2"/>
              <w:rPr>
                <w:rFonts w:ascii="黑体"/>
                <w:sz w:val="28"/>
              </w:rPr>
            </w:pPr>
          </w:p>
          <w:p>
            <w:pPr>
              <w:pStyle w:val="TableParagraph"/>
              <w:ind w:left="2" w:right="2"/>
              <w:jc w:val="center"/>
              <w:rPr>
                <w:sz w:val="20"/>
              </w:rPr>
            </w:pPr>
            <w:r>
              <w:rPr>
                <w:sz w:val="20"/>
              </w:rPr>
              <w:t>农贸市场新建、改扩建</w:t>
            </w:r>
          </w:p>
        </w:tc>
        <w:tc>
          <w:tcPr>
            <w:tcW w:w="1116" w:type="dxa"/>
          </w:tcPr>
          <w:p>
            <w:pPr>
              <w:pStyle w:val="TableParagraph"/>
              <w:spacing w:before="2"/>
              <w:rPr>
                <w:rFonts w:ascii="黑体"/>
                <w:sz w:val="28"/>
              </w:rPr>
            </w:pPr>
          </w:p>
          <w:p>
            <w:pPr>
              <w:pStyle w:val="TableParagraph"/>
              <w:ind w:right="299"/>
              <w:jc w:val="right"/>
              <w:rPr>
                <w:sz w:val="20"/>
              </w:rPr>
            </w:pPr>
            <w:r>
              <w:rPr>
                <w:sz w:val="20"/>
              </w:rPr>
              <w:t>10000</w:t>
            </w:r>
          </w:p>
        </w:tc>
        <w:tc>
          <w:tcPr>
            <w:tcW w:w="1253" w:type="dxa"/>
          </w:tcPr>
          <w:p>
            <w:pPr>
              <w:pStyle w:val="TableParagraph"/>
              <w:spacing w:before="2"/>
              <w:rPr>
                <w:rFonts w:ascii="黑体"/>
                <w:sz w:val="28"/>
              </w:rPr>
            </w:pPr>
          </w:p>
          <w:p>
            <w:pPr>
              <w:pStyle w:val="TableParagraph"/>
              <w:ind w:left="101" w:right="101"/>
              <w:jc w:val="center"/>
              <w:rPr>
                <w:sz w:val="20"/>
              </w:rPr>
            </w:pPr>
            <w:r>
              <w:rPr>
                <w:sz w:val="20"/>
              </w:rPr>
              <w:t>商务局</w:t>
            </w:r>
          </w:p>
        </w:tc>
      </w:tr>
      <w:tr>
        <w:trPr>
          <w:trHeight w:val="1060" w:hRule="atLeast"/>
        </w:trPr>
        <w:tc>
          <w:tcPr>
            <w:tcW w:w="544" w:type="dxa"/>
          </w:tcPr>
          <w:p>
            <w:pPr>
              <w:pStyle w:val="TableParagraph"/>
              <w:spacing w:before="2"/>
              <w:rPr>
                <w:rFonts w:ascii="黑体"/>
                <w:sz w:val="28"/>
              </w:rPr>
            </w:pPr>
          </w:p>
          <w:p>
            <w:pPr>
              <w:pStyle w:val="TableParagraph"/>
              <w:ind w:left="145" w:right="146"/>
              <w:jc w:val="center"/>
              <w:rPr>
                <w:sz w:val="20"/>
              </w:rPr>
            </w:pPr>
            <w:r>
              <w:rPr>
                <w:sz w:val="20"/>
              </w:rPr>
              <w:t>19</w:t>
            </w:r>
          </w:p>
        </w:tc>
        <w:tc>
          <w:tcPr>
            <w:tcW w:w="2160" w:type="dxa"/>
          </w:tcPr>
          <w:p>
            <w:pPr>
              <w:pStyle w:val="TableParagraph"/>
              <w:spacing w:before="6"/>
              <w:rPr>
                <w:rFonts w:ascii="黑体"/>
                <w:sz w:val="18"/>
              </w:rPr>
            </w:pPr>
          </w:p>
          <w:p>
            <w:pPr>
              <w:pStyle w:val="TableParagraph"/>
              <w:spacing w:line="237" w:lineRule="auto"/>
              <w:ind w:left="674" w:right="156" w:hanging="500"/>
              <w:rPr>
                <w:sz w:val="20"/>
              </w:rPr>
            </w:pPr>
            <w:r>
              <w:rPr>
                <w:sz w:val="20"/>
              </w:rPr>
              <w:t>精细盐磷化工循环产业物流园</w:t>
            </w:r>
          </w:p>
        </w:tc>
        <w:tc>
          <w:tcPr>
            <w:tcW w:w="1260" w:type="dxa"/>
          </w:tcPr>
          <w:p>
            <w:pPr>
              <w:pStyle w:val="TableParagraph"/>
              <w:spacing w:before="2"/>
              <w:rPr>
                <w:rFonts w:ascii="黑体"/>
                <w:sz w:val="28"/>
              </w:rPr>
            </w:pPr>
          </w:p>
          <w:p>
            <w:pPr>
              <w:pStyle w:val="TableParagraph"/>
              <w:ind w:left="154" w:right="154"/>
              <w:jc w:val="center"/>
              <w:rPr>
                <w:sz w:val="20"/>
              </w:rPr>
            </w:pPr>
            <w:r>
              <w:rPr>
                <w:sz w:val="20"/>
              </w:rPr>
              <w:t>2016-2020</w:t>
            </w:r>
          </w:p>
        </w:tc>
        <w:tc>
          <w:tcPr>
            <w:tcW w:w="3534" w:type="dxa"/>
          </w:tcPr>
          <w:p>
            <w:pPr>
              <w:pStyle w:val="TableParagraph"/>
              <w:spacing w:before="6"/>
              <w:rPr>
                <w:rFonts w:ascii="黑体"/>
                <w:sz w:val="18"/>
              </w:rPr>
            </w:pPr>
          </w:p>
          <w:p>
            <w:pPr>
              <w:pStyle w:val="TableParagraph"/>
              <w:spacing w:line="237" w:lineRule="auto"/>
              <w:ind w:left="1560" w:right="2" w:hanging="1458"/>
              <w:rPr>
                <w:sz w:val="20"/>
              </w:rPr>
            </w:pPr>
            <w:r>
              <w:rPr>
                <w:sz w:val="20"/>
              </w:rPr>
              <w:t>现代商贸、仓储，物流运输为主的物流园区</w:t>
            </w:r>
          </w:p>
        </w:tc>
        <w:tc>
          <w:tcPr>
            <w:tcW w:w="1116" w:type="dxa"/>
          </w:tcPr>
          <w:p>
            <w:pPr>
              <w:pStyle w:val="TableParagraph"/>
              <w:spacing w:before="2"/>
              <w:rPr>
                <w:rFonts w:ascii="黑体"/>
                <w:sz w:val="28"/>
              </w:rPr>
            </w:pPr>
          </w:p>
          <w:p>
            <w:pPr>
              <w:pStyle w:val="TableParagraph"/>
              <w:ind w:right="300"/>
              <w:jc w:val="right"/>
              <w:rPr>
                <w:sz w:val="20"/>
              </w:rPr>
            </w:pPr>
            <w:r>
              <w:rPr>
                <w:sz w:val="20"/>
              </w:rPr>
              <w:t>50000</w:t>
            </w:r>
          </w:p>
        </w:tc>
        <w:tc>
          <w:tcPr>
            <w:tcW w:w="1253" w:type="dxa"/>
          </w:tcPr>
          <w:p>
            <w:pPr>
              <w:pStyle w:val="TableParagraph"/>
              <w:spacing w:before="2"/>
              <w:rPr>
                <w:rFonts w:ascii="黑体"/>
                <w:sz w:val="28"/>
              </w:rPr>
            </w:pPr>
          </w:p>
          <w:p>
            <w:pPr>
              <w:pStyle w:val="TableParagraph"/>
              <w:ind w:left="101" w:right="101"/>
              <w:jc w:val="center"/>
              <w:rPr>
                <w:sz w:val="20"/>
              </w:rPr>
            </w:pPr>
            <w:r>
              <w:rPr>
                <w:sz w:val="20"/>
              </w:rPr>
              <w:t>商务局</w:t>
            </w:r>
          </w:p>
        </w:tc>
      </w:tr>
      <w:tr>
        <w:trPr>
          <w:trHeight w:val="1060" w:hRule="atLeast"/>
        </w:trPr>
        <w:tc>
          <w:tcPr>
            <w:tcW w:w="544" w:type="dxa"/>
          </w:tcPr>
          <w:p>
            <w:pPr>
              <w:pStyle w:val="TableParagraph"/>
              <w:spacing w:before="2"/>
              <w:rPr>
                <w:rFonts w:ascii="黑体"/>
                <w:sz w:val="28"/>
              </w:rPr>
            </w:pPr>
          </w:p>
          <w:p>
            <w:pPr>
              <w:pStyle w:val="TableParagraph"/>
              <w:ind w:left="146" w:right="146"/>
              <w:jc w:val="center"/>
              <w:rPr>
                <w:sz w:val="20"/>
              </w:rPr>
            </w:pPr>
            <w:r>
              <w:rPr>
                <w:sz w:val="20"/>
              </w:rPr>
              <w:t>20</w:t>
            </w:r>
          </w:p>
        </w:tc>
        <w:tc>
          <w:tcPr>
            <w:tcW w:w="2160" w:type="dxa"/>
          </w:tcPr>
          <w:p>
            <w:pPr>
              <w:pStyle w:val="TableParagraph"/>
              <w:spacing w:before="2"/>
              <w:rPr>
                <w:rFonts w:ascii="黑体"/>
                <w:sz w:val="28"/>
              </w:rPr>
            </w:pPr>
          </w:p>
          <w:p>
            <w:pPr>
              <w:pStyle w:val="TableParagraph"/>
              <w:ind w:left="43" w:right="43"/>
              <w:jc w:val="center"/>
              <w:rPr>
                <w:sz w:val="20"/>
              </w:rPr>
            </w:pPr>
            <w:r>
              <w:rPr>
                <w:sz w:val="20"/>
              </w:rPr>
              <w:t>新建星级酒店</w:t>
            </w:r>
          </w:p>
        </w:tc>
        <w:tc>
          <w:tcPr>
            <w:tcW w:w="1260" w:type="dxa"/>
          </w:tcPr>
          <w:p>
            <w:pPr>
              <w:pStyle w:val="TableParagraph"/>
              <w:spacing w:before="2"/>
              <w:rPr>
                <w:rFonts w:ascii="黑体"/>
                <w:sz w:val="28"/>
              </w:rPr>
            </w:pPr>
          </w:p>
          <w:p>
            <w:pPr>
              <w:pStyle w:val="TableParagraph"/>
              <w:ind w:left="154" w:right="155"/>
              <w:jc w:val="center"/>
              <w:rPr>
                <w:sz w:val="20"/>
              </w:rPr>
            </w:pPr>
            <w:r>
              <w:rPr>
                <w:sz w:val="20"/>
              </w:rPr>
              <w:t>2017-2020</w:t>
            </w:r>
          </w:p>
        </w:tc>
        <w:tc>
          <w:tcPr>
            <w:tcW w:w="3534" w:type="dxa"/>
          </w:tcPr>
          <w:p>
            <w:pPr>
              <w:pStyle w:val="TableParagraph"/>
              <w:spacing w:before="6"/>
              <w:rPr>
                <w:rFonts w:ascii="黑体"/>
                <w:sz w:val="18"/>
              </w:rPr>
            </w:pPr>
          </w:p>
          <w:p>
            <w:pPr>
              <w:pStyle w:val="TableParagraph"/>
              <w:spacing w:line="237" w:lineRule="auto"/>
              <w:ind w:left="1260" w:right="145" w:hanging="1101"/>
              <w:rPr>
                <w:sz w:val="20"/>
              </w:rPr>
            </w:pPr>
            <w:r>
              <w:rPr>
                <w:sz w:val="20"/>
              </w:rPr>
              <w:t>在临港新区新建五星级酒店一座及三星酒店一座</w:t>
            </w:r>
          </w:p>
        </w:tc>
        <w:tc>
          <w:tcPr>
            <w:tcW w:w="1116" w:type="dxa"/>
          </w:tcPr>
          <w:p>
            <w:pPr>
              <w:pStyle w:val="TableParagraph"/>
              <w:spacing w:before="2"/>
              <w:rPr>
                <w:rFonts w:ascii="黑体"/>
                <w:sz w:val="28"/>
              </w:rPr>
            </w:pPr>
          </w:p>
          <w:p>
            <w:pPr>
              <w:pStyle w:val="TableParagraph"/>
              <w:ind w:right="300"/>
              <w:jc w:val="right"/>
              <w:rPr>
                <w:sz w:val="20"/>
              </w:rPr>
            </w:pPr>
            <w:r>
              <w:rPr>
                <w:sz w:val="20"/>
              </w:rPr>
              <w:t>60000</w:t>
            </w:r>
          </w:p>
        </w:tc>
        <w:tc>
          <w:tcPr>
            <w:tcW w:w="1253" w:type="dxa"/>
          </w:tcPr>
          <w:p>
            <w:pPr>
              <w:pStyle w:val="TableParagraph"/>
              <w:spacing w:before="2"/>
              <w:rPr>
                <w:rFonts w:ascii="黑体"/>
                <w:sz w:val="28"/>
              </w:rPr>
            </w:pPr>
          </w:p>
          <w:p>
            <w:pPr>
              <w:pStyle w:val="TableParagraph"/>
              <w:ind w:left="101" w:right="101"/>
              <w:jc w:val="center"/>
              <w:rPr>
                <w:sz w:val="20"/>
              </w:rPr>
            </w:pPr>
            <w:r>
              <w:rPr>
                <w:sz w:val="20"/>
              </w:rPr>
              <w:t>商务局</w:t>
            </w:r>
          </w:p>
        </w:tc>
      </w:tr>
      <w:tr>
        <w:trPr>
          <w:trHeight w:val="1060" w:hRule="atLeast"/>
        </w:trPr>
        <w:tc>
          <w:tcPr>
            <w:tcW w:w="544" w:type="dxa"/>
          </w:tcPr>
          <w:p>
            <w:pPr>
              <w:pStyle w:val="TableParagraph"/>
              <w:spacing w:before="2"/>
              <w:rPr>
                <w:rFonts w:ascii="黑体"/>
                <w:sz w:val="28"/>
              </w:rPr>
            </w:pPr>
          </w:p>
          <w:p>
            <w:pPr>
              <w:pStyle w:val="TableParagraph"/>
              <w:ind w:left="146" w:right="146"/>
              <w:jc w:val="center"/>
              <w:rPr>
                <w:sz w:val="20"/>
              </w:rPr>
            </w:pPr>
            <w:r>
              <w:rPr>
                <w:sz w:val="20"/>
              </w:rPr>
              <w:t>21</w:t>
            </w:r>
          </w:p>
        </w:tc>
        <w:tc>
          <w:tcPr>
            <w:tcW w:w="2160" w:type="dxa"/>
          </w:tcPr>
          <w:p>
            <w:pPr>
              <w:pStyle w:val="TableParagraph"/>
              <w:spacing w:before="2"/>
              <w:rPr>
                <w:rFonts w:ascii="黑体"/>
                <w:sz w:val="28"/>
              </w:rPr>
            </w:pPr>
          </w:p>
          <w:p>
            <w:pPr>
              <w:pStyle w:val="TableParagraph"/>
              <w:ind w:left="43" w:right="43"/>
              <w:jc w:val="center"/>
              <w:rPr>
                <w:sz w:val="20"/>
              </w:rPr>
            </w:pPr>
            <w:r>
              <w:rPr>
                <w:sz w:val="20"/>
              </w:rPr>
              <w:t>电子商务基地</w:t>
            </w:r>
          </w:p>
        </w:tc>
        <w:tc>
          <w:tcPr>
            <w:tcW w:w="1260" w:type="dxa"/>
          </w:tcPr>
          <w:p>
            <w:pPr>
              <w:pStyle w:val="TableParagraph"/>
              <w:spacing w:before="2"/>
              <w:rPr>
                <w:rFonts w:ascii="黑体"/>
                <w:sz w:val="28"/>
              </w:rPr>
            </w:pPr>
          </w:p>
          <w:p>
            <w:pPr>
              <w:pStyle w:val="TableParagraph"/>
              <w:ind w:left="154" w:right="155"/>
              <w:jc w:val="center"/>
              <w:rPr>
                <w:sz w:val="20"/>
              </w:rPr>
            </w:pPr>
            <w:r>
              <w:rPr>
                <w:sz w:val="20"/>
              </w:rPr>
              <w:t>2016-2020</w:t>
            </w:r>
          </w:p>
        </w:tc>
        <w:tc>
          <w:tcPr>
            <w:tcW w:w="3534" w:type="dxa"/>
          </w:tcPr>
          <w:p>
            <w:pPr>
              <w:pStyle w:val="TableParagraph"/>
              <w:spacing w:before="6"/>
              <w:rPr>
                <w:rFonts w:ascii="黑体"/>
                <w:sz w:val="18"/>
              </w:rPr>
            </w:pPr>
          </w:p>
          <w:p>
            <w:pPr>
              <w:pStyle w:val="TableParagraph"/>
              <w:spacing w:line="237" w:lineRule="auto"/>
              <w:ind w:left="561" w:right="2" w:hanging="459"/>
              <w:rPr>
                <w:sz w:val="20"/>
              </w:rPr>
            </w:pPr>
            <w:r>
              <w:rPr>
                <w:sz w:val="20"/>
              </w:rPr>
              <w:t>电子商务服务类企业培育、电子商务公共平台建设及附属设施建设</w:t>
            </w:r>
          </w:p>
        </w:tc>
        <w:tc>
          <w:tcPr>
            <w:tcW w:w="1116" w:type="dxa"/>
          </w:tcPr>
          <w:p>
            <w:pPr>
              <w:pStyle w:val="TableParagraph"/>
              <w:spacing w:before="2"/>
              <w:rPr>
                <w:rFonts w:ascii="黑体"/>
                <w:sz w:val="28"/>
              </w:rPr>
            </w:pPr>
          </w:p>
          <w:p>
            <w:pPr>
              <w:pStyle w:val="TableParagraph"/>
              <w:ind w:right="300"/>
              <w:jc w:val="right"/>
              <w:rPr>
                <w:sz w:val="20"/>
              </w:rPr>
            </w:pPr>
            <w:r>
              <w:rPr>
                <w:sz w:val="20"/>
              </w:rPr>
              <w:t>20000</w:t>
            </w:r>
          </w:p>
        </w:tc>
        <w:tc>
          <w:tcPr>
            <w:tcW w:w="1253" w:type="dxa"/>
          </w:tcPr>
          <w:p>
            <w:pPr>
              <w:pStyle w:val="TableParagraph"/>
              <w:spacing w:before="2"/>
              <w:rPr>
                <w:rFonts w:ascii="黑体"/>
                <w:sz w:val="28"/>
              </w:rPr>
            </w:pPr>
          </w:p>
          <w:p>
            <w:pPr>
              <w:pStyle w:val="TableParagraph"/>
              <w:ind w:left="101" w:right="101"/>
              <w:jc w:val="center"/>
              <w:rPr>
                <w:sz w:val="20"/>
              </w:rPr>
            </w:pPr>
            <w:r>
              <w:rPr>
                <w:sz w:val="20"/>
              </w:rPr>
              <w:t>商务局</w:t>
            </w:r>
          </w:p>
        </w:tc>
      </w:tr>
      <w:tr>
        <w:trPr>
          <w:trHeight w:val="1060" w:hRule="atLeast"/>
        </w:trPr>
        <w:tc>
          <w:tcPr>
            <w:tcW w:w="544" w:type="dxa"/>
          </w:tcPr>
          <w:p>
            <w:pPr>
              <w:pStyle w:val="TableParagraph"/>
              <w:spacing w:before="2"/>
              <w:rPr>
                <w:rFonts w:ascii="黑体"/>
                <w:sz w:val="28"/>
              </w:rPr>
            </w:pPr>
          </w:p>
          <w:p>
            <w:pPr>
              <w:pStyle w:val="TableParagraph"/>
              <w:ind w:left="146" w:right="146"/>
              <w:jc w:val="center"/>
              <w:rPr>
                <w:sz w:val="20"/>
              </w:rPr>
            </w:pPr>
            <w:r>
              <w:rPr>
                <w:sz w:val="20"/>
              </w:rPr>
              <w:t>22</w:t>
            </w:r>
          </w:p>
        </w:tc>
        <w:tc>
          <w:tcPr>
            <w:tcW w:w="2160" w:type="dxa"/>
          </w:tcPr>
          <w:p>
            <w:pPr>
              <w:pStyle w:val="TableParagraph"/>
              <w:spacing w:before="2"/>
              <w:rPr>
                <w:rFonts w:ascii="黑体"/>
                <w:sz w:val="28"/>
              </w:rPr>
            </w:pPr>
          </w:p>
          <w:p>
            <w:pPr>
              <w:pStyle w:val="TableParagraph"/>
              <w:ind w:left="43" w:right="43"/>
              <w:jc w:val="center"/>
              <w:rPr>
                <w:sz w:val="20"/>
              </w:rPr>
            </w:pPr>
            <w:r>
              <w:rPr>
                <w:sz w:val="20"/>
              </w:rPr>
              <w:t>牛华城市商贸综合体</w:t>
            </w:r>
          </w:p>
        </w:tc>
        <w:tc>
          <w:tcPr>
            <w:tcW w:w="1260" w:type="dxa"/>
          </w:tcPr>
          <w:p>
            <w:pPr>
              <w:pStyle w:val="TableParagraph"/>
              <w:spacing w:before="2"/>
              <w:rPr>
                <w:rFonts w:ascii="黑体"/>
                <w:sz w:val="28"/>
              </w:rPr>
            </w:pPr>
          </w:p>
          <w:p>
            <w:pPr>
              <w:pStyle w:val="TableParagraph"/>
              <w:ind w:left="154" w:right="155"/>
              <w:jc w:val="center"/>
              <w:rPr>
                <w:sz w:val="20"/>
              </w:rPr>
            </w:pPr>
            <w:r>
              <w:rPr>
                <w:sz w:val="20"/>
              </w:rPr>
              <w:t>2016-2020</w:t>
            </w:r>
          </w:p>
        </w:tc>
        <w:tc>
          <w:tcPr>
            <w:tcW w:w="3534" w:type="dxa"/>
          </w:tcPr>
          <w:p>
            <w:pPr>
              <w:pStyle w:val="TableParagraph"/>
              <w:spacing w:before="2"/>
              <w:rPr>
                <w:rFonts w:ascii="黑体"/>
                <w:sz w:val="28"/>
              </w:rPr>
            </w:pPr>
          </w:p>
          <w:p>
            <w:pPr>
              <w:pStyle w:val="TableParagraph"/>
              <w:ind w:left="2" w:right="2"/>
              <w:jc w:val="center"/>
              <w:rPr>
                <w:sz w:val="20"/>
              </w:rPr>
            </w:pPr>
            <w:r>
              <w:rPr>
                <w:sz w:val="20"/>
              </w:rPr>
              <w:t>商住、美食、购物、休闲娱乐一条街</w:t>
            </w:r>
          </w:p>
        </w:tc>
        <w:tc>
          <w:tcPr>
            <w:tcW w:w="1116" w:type="dxa"/>
          </w:tcPr>
          <w:p>
            <w:pPr>
              <w:pStyle w:val="TableParagraph"/>
              <w:spacing w:before="2"/>
              <w:rPr>
                <w:rFonts w:ascii="黑体"/>
                <w:sz w:val="28"/>
              </w:rPr>
            </w:pPr>
          </w:p>
          <w:p>
            <w:pPr>
              <w:pStyle w:val="TableParagraph"/>
              <w:ind w:right="299"/>
              <w:jc w:val="right"/>
              <w:rPr>
                <w:sz w:val="20"/>
              </w:rPr>
            </w:pPr>
            <w:r>
              <w:rPr>
                <w:sz w:val="20"/>
              </w:rPr>
              <w:t>50000</w:t>
            </w:r>
          </w:p>
        </w:tc>
        <w:tc>
          <w:tcPr>
            <w:tcW w:w="1253" w:type="dxa"/>
          </w:tcPr>
          <w:p>
            <w:pPr>
              <w:pStyle w:val="TableParagraph"/>
              <w:spacing w:before="2"/>
              <w:rPr>
                <w:rFonts w:ascii="黑体"/>
                <w:sz w:val="28"/>
              </w:rPr>
            </w:pPr>
          </w:p>
          <w:p>
            <w:pPr>
              <w:pStyle w:val="TableParagraph"/>
              <w:ind w:left="101" w:right="101"/>
              <w:jc w:val="center"/>
              <w:rPr>
                <w:sz w:val="20"/>
              </w:rPr>
            </w:pPr>
            <w:r>
              <w:rPr>
                <w:sz w:val="20"/>
              </w:rPr>
              <w:t>商务局</w:t>
            </w:r>
          </w:p>
        </w:tc>
      </w:tr>
      <w:tr>
        <w:trPr>
          <w:trHeight w:val="1060" w:hRule="atLeast"/>
        </w:trPr>
        <w:tc>
          <w:tcPr>
            <w:tcW w:w="544" w:type="dxa"/>
          </w:tcPr>
          <w:p>
            <w:pPr>
              <w:pStyle w:val="TableParagraph"/>
              <w:spacing w:before="2"/>
              <w:rPr>
                <w:rFonts w:ascii="黑体"/>
                <w:sz w:val="28"/>
              </w:rPr>
            </w:pPr>
          </w:p>
          <w:p>
            <w:pPr>
              <w:pStyle w:val="TableParagraph"/>
              <w:ind w:left="145" w:right="146"/>
              <w:jc w:val="center"/>
              <w:rPr>
                <w:sz w:val="20"/>
              </w:rPr>
            </w:pPr>
            <w:r>
              <w:rPr>
                <w:sz w:val="20"/>
              </w:rPr>
              <w:t>23</w:t>
            </w:r>
          </w:p>
        </w:tc>
        <w:tc>
          <w:tcPr>
            <w:tcW w:w="2160" w:type="dxa"/>
          </w:tcPr>
          <w:p>
            <w:pPr>
              <w:pStyle w:val="TableParagraph"/>
              <w:spacing w:before="6"/>
              <w:rPr>
                <w:rFonts w:ascii="黑体"/>
                <w:sz w:val="18"/>
              </w:rPr>
            </w:pPr>
          </w:p>
          <w:p>
            <w:pPr>
              <w:pStyle w:val="TableParagraph"/>
              <w:spacing w:line="237" w:lineRule="auto"/>
              <w:ind w:left="773" w:right="156" w:hanging="599"/>
              <w:rPr>
                <w:sz w:val="20"/>
              </w:rPr>
            </w:pPr>
            <w:r>
              <w:rPr>
                <w:sz w:val="20"/>
              </w:rPr>
              <w:t>西坝农副产品加工物流园区</w:t>
            </w:r>
          </w:p>
        </w:tc>
        <w:tc>
          <w:tcPr>
            <w:tcW w:w="1260" w:type="dxa"/>
          </w:tcPr>
          <w:p>
            <w:pPr>
              <w:pStyle w:val="TableParagraph"/>
              <w:spacing w:before="2"/>
              <w:rPr>
                <w:rFonts w:ascii="黑体"/>
                <w:sz w:val="28"/>
              </w:rPr>
            </w:pPr>
          </w:p>
          <w:p>
            <w:pPr>
              <w:pStyle w:val="TableParagraph"/>
              <w:ind w:left="154" w:right="154"/>
              <w:jc w:val="center"/>
              <w:rPr>
                <w:sz w:val="20"/>
              </w:rPr>
            </w:pPr>
            <w:r>
              <w:rPr>
                <w:sz w:val="20"/>
              </w:rPr>
              <w:t>2016-2018</w:t>
            </w:r>
          </w:p>
        </w:tc>
        <w:tc>
          <w:tcPr>
            <w:tcW w:w="3534" w:type="dxa"/>
          </w:tcPr>
          <w:p>
            <w:pPr>
              <w:pStyle w:val="TableParagraph"/>
              <w:spacing w:before="6"/>
              <w:rPr>
                <w:rFonts w:ascii="黑体"/>
                <w:sz w:val="18"/>
              </w:rPr>
            </w:pPr>
          </w:p>
          <w:p>
            <w:pPr>
              <w:pStyle w:val="TableParagraph"/>
              <w:spacing w:line="237" w:lineRule="auto"/>
              <w:ind w:left="1560" w:right="2" w:hanging="1458"/>
              <w:rPr>
                <w:sz w:val="20"/>
              </w:rPr>
            </w:pPr>
            <w:r>
              <w:rPr>
                <w:spacing w:val="-17"/>
                <w:sz w:val="20"/>
              </w:rPr>
              <w:t>占地 </w:t>
            </w:r>
            <w:r>
              <w:rPr>
                <w:sz w:val="20"/>
              </w:rPr>
              <w:t>150</w:t>
            </w:r>
            <w:r>
              <w:rPr>
                <w:spacing w:val="-13"/>
                <w:sz w:val="20"/>
              </w:rPr>
              <w:t> 亩，以农产品加工、仓储物流运输</w:t>
            </w:r>
          </w:p>
        </w:tc>
        <w:tc>
          <w:tcPr>
            <w:tcW w:w="1116" w:type="dxa"/>
          </w:tcPr>
          <w:p>
            <w:pPr>
              <w:pStyle w:val="TableParagraph"/>
              <w:spacing w:before="2"/>
              <w:rPr>
                <w:rFonts w:ascii="黑体"/>
                <w:sz w:val="28"/>
              </w:rPr>
            </w:pPr>
          </w:p>
          <w:p>
            <w:pPr>
              <w:pStyle w:val="TableParagraph"/>
              <w:ind w:right="300"/>
              <w:jc w:val="right"/>
              <w:rPr>
                <w:sz w:val="20"/>
              </w:rPr>
            </w:pPr>
            <w:r>
              <w:rPr>
                <w:sz w:val="20"/>
              </w:rPr>
              <w:t>20000</w:t>
            </w:r>
          </w:p>
        </w:tc>
        <w:tc>
          <w:tcPr>
            <w:tcW w:w="1253" w:type="dxa"/>
          </w:tcPr>
          <w:p>
            <w:pPr>
              <w:pStyle w:val="TableParagraph"/>
              <w:spacing w:before="2"/>
              <w:rPr>
                <w:rFonts w:ascii="黑体"/>
                <w:sz w:val="28"/>
              </w:rPr>
            </w:pPr>
          </w:p>
          <w:p>
            <w:pPr>
              <w:pStyle w:val="TableParagraph"/>
              <w:ind w:left="101" w:right="101"/>
              <w:jc w:val="center"/>
              <w:rPr>
                <w:sz w:val="20"/>
              </w:rPr>
            </w:pPr>
            <w:r>
              <w:rPr>
                <w:sz w:val="20"/>
              </w:rPr>
              <w:t>商务局</w:t>
            </w:r>
          </w:p>
        </w:tc>
      </w:tr>
      <w:tr>
        <w:trPr>
          <w:trHeight w:val="1060" w:hRule="atLeast"/>
        </w:trPr>
        <w:tc>
          <w:tcPr>
            <w:tcW w:w="544" w:type="dxa"/>
          </w:tcPr>
          <w:p>
            <w:pPr>
              <w:pStyle w:val="TableParagraph"/>
              <w:spacing w:before="2"/>
              <w:rPr>
                <w:rFonts w:ascii="黑体"/>
                <w:sz w:val="28"/>
              </w:rPr>
            </w:pPr>
          </w:p>
          <w:p>
            <w:pPr>
              <w:pStyle w:val="TableParagraph"/>
              <w:ind w:left="145" w:right="146"/>
              <w:jc w:val="center"/>
              <w:rPr>
                <w:sz w:val="20"/>
              </w:rPr>
            </w:pPr>
            <w:r>
              <w:rPr>
                <w:sz w:val="20"/>
              </w:rPr>
              <w:t>24</w:t>
            </w:r>
          </w:p>
        </w:tc>
        <w:tc>
          <w:tcPr>
            <w:tcW w:w="2160" w:type="dxa"/>
          </w:tcPr>
          <w:p>
            <w:pPr>
              <w:pStyle w:val="TableParagraph"/>
              <w:spacing w:before="6"/>
              <w:rPr>
                <w:rFonts w:ascii="黑体"/>
                <w:sz w:val="18"/>
              </w:rPr>
            </w:pPr>
          </w:p>
          <w:p>
            <w:pPr>
              <w:pStyle w:val="TableParagraph"/>
              <w:spacing w:line="237" w:lineRule="auto"/>
              <w:ind w:left="274" w:right="156" w:hanging="100"/>
              <w:rPr>
                <w:sz w:val="20"/>
              </w:rPr>
            </w:pPr>
            <w:r>
              <w:rPr>
                <w:sz w:val="20"/>
              </w:rPr>
              <w:t>乐山市公安局五通桥区分局牛华派出所</w:t>
            </w:r>
          </w:p>
        </w:tc>
        <w:tc>
          <w:tcPr>
            <w:tcW w:w="1260" w:type="dxa"/>
          </w:tcPr>
          <w:p>
            <w:pPr>
              <w:pStyle w:val="TableParagraph"/>
              <w:spacing w:before="2"/>
              <w:rPr>
                <w:rFonts w:ascii="黑体"/>
                <w:sz w:val="28"/>
              </w:rPr>
            </w:pPr>
          </w:p>
          <w:p>
            <w:pPr>
              <w:pStyle w:val="TableParagraph"/>
              <w:ind w:left="154" w:right="154"/>
              <w:jc w:val="center"/>
              <w:rPr>
                <w:sz w:val="20"/>
              </w:rPr>
            </w:pPr>
            <w:r>
              <w:rPr>
                <w:sz w:val="20"/>
              </w:rPr>
              <w:t>2016-2018</w:t>
            </w:r>
          </w:p>
        </w:tc>
        <w:tc>
          <w:tcPr>
            <w:tcW w:w="3534" w:type="dxa"/>
          </w:tcPr>
          <w:p>
            <w:pPr>
              <w:pStyle w:val="TableParagraph"/>
              <w:spacing w:before="6"/>
              <w:rPr>
                <w:rFonts w:ascii="黑体"/>
                <w:sz w:val="18"/>
              </w:rPr>
            </w:pPr>
          </w:p>
          <w:p>
            <w:pPr>
              <w:pStyle w:val="TableParagraph"/>
              <w:spacing w:line="237" w:lineRule="auto"/>
              <w:ind w:left="860" w:right="145" w:hanging="699"/>
              <w:rPr>
                <w:sz w:val="20"/>
              </w:rPr>
            </w:pPr>
            <w:r>
              <w:rPr>
                <w:spacing w:val="-5"/>
                <w:sz w:val="20"/>
              </w:rPr>
              <w:t>新建业务用房和辅助用房 </w:t>
            </w:r>
            <w:r>
              <w:rPr>
                <w:sz w:val="20"/>
              </w:rPr>
              <w:t>820</w:t>
            </w:r>
            <w:r>
              <w:rPr>
                <w:spacing w:val="-15"/>
                <w:sz w:val="20"/>
              </w:rPr>
              <w:t> 平方米</w:t>
            </w:r>
            <w:r>
              <w:rPr>
                <w:spacing w:val="-1"/>
                <w:sz w:val="20"/>
              </w:rPr>
              <w:t>及备勤室等附属工程</w:t>
            </w:r>
          </w:p>
        </w:tc>
        <w:tc>
          <w:tcPr>
            <w:tcW w:w="1116" w:type="dxa"/>
          </w:tcPr>
          <w:p>
            <w:pPr>
              <w:pStyle w:val="TableParagraph"/>
              <w:spacing w:before="2"/>
              <w:rPr>
                <w:rFonts w:ascii="黑体"/>
                <w:sz w:val="28"/>
              </w:rPr>
            </w:pPr>
          </w:p>
          <w:p>
            <w:pPr>
              <w:pStyle w:val="TableParagraph"/>
              <w:ind w:left="182" w:right="183"/>
              <w:jc w:val="center"/>
              <w:rPr>
                <w:sz w:val="20"/>
              </w:rPr>
            </w:pPr>
            <w:r>
              <w:rPr>
                <w:sz w:val="20"/>
              </w:rPr>
              <w:t>399</w:t>
            </w:r>
          </w:p>
        </w:tc>
        <w:tc>
          <w:tcPr>
            <w:tcW w:w="1253" w:type="dxa"/>
          </w:tcPr>
          <w:p>
            <w:pPr>
              <w:pStyle w:val="TableParagraph"/>
              <w:spacing w:before="2"/>
              <w:rPr>
                <w:rFonts w:ascii="黑体"/>
                <w:sz w:val="28"/>
              </w:rPr>
            </w:pPr>
          </w:p>
          <w:p>
            <w:pPr>
              <w:pStyle w:val="TableParagraph"/>
              <w:ind w:left="101" w:right="101"/>
              <w:jc w:val="center"/>
              <w:rPr>
                <w:sz w:val="20"/>
              </w:rPr>
            </w:pPr>
            <w:r>
              <w:rPr>
                <w:sz w:val="20"/>
              </w:rPr>
              <w:t>公安分局</w:t>
            </w:r>
          </w:p>
        </w:tc>
      </w:tr>
    </w:tbl>
    <w:p>
      <w:pPr>
        <w:spacing w:after="0"/>
        <w:jc w:val="center"/>
        <w:rPr>
          <w:sz w:val="20"/>
        </w:rPr>
        <w:sectPr>
          <w:pgSz w:w="11910" w:h="16840"/>
          <w:pgMar w:header="0" w:footer="998" w:top="1440" w:bottom="1120" w:left="880" w:right="940"/>
        </w:sectPr>
      </w:pPr>
    </w:p>
    <w:tbl>
      <w:tblPr>
        <w:tblW w:w="0" w:type="auto"/>
        <w:jc w:val="left"/>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44"/>
        <w:gridCol w:w="2160"/>
        <w:gridCol w:w="1260"/>
        <w:gridCol w:w="3534"/>
        <w:gridCol w:w="1116"/>
        <w:gridCol w:w="1253"/>
      </w:tblGrid>
      <w:tr>
        <w:trPr>
          <w:trHeight w:val="1060" w:hRule="atLeast"/>
        </w:trPr>
        <w:tc>
          <w:tcPr>
            <w:tcW w:w="544" w:type="dxa"/>
          </w:tcPr>
          <w:p>
            <w:pPr>
              <w:pStyle w:val="TableParagraph"/>
              <w:spacing w:before="2"/>
              <w:rPr>
                <w:rFonts w:ascii="黑体"/>
                <w:sz w:val="28"/>
              </w:rPr>
            </w:pPr>
          </w:p>
          <w:p>
            <w:pPr>
              <w:pStyle w:val="TableParagraph"/>
              <w:ind w:left="145" w:right="146"/>
              <w:jc w:val="center"/>
              <w:rPr>
                <w:sz w:val="20"/>
              </w:rPr>
            </w:pPr>
            <w:r>
              <w:rPr>
                <w:sz w:val="20"/>
              </w:rPr>
              <w:t>25</w:t>
            </w:r>
          </w:p>
        </w:tc>
        <w:tc>
          <w:tcPr>
            <w:tcW w:w="2160" w:type="dxa"/>
          </w:tcPr>
          <w:p>
            <w:pPr>
              <w:pStyle w:val="TableParagraph"/>
              <w:spacing w:before="6"/>
              <w:rPr>
                <w:rFonts w:ascii="黑体"/>
                <w:sz w:val="18"/>
              </w:rPr>
            </w:pPr>
          </w:p>
          <w:p>
            <w:pPr>
              <w:pStyle w:val="TableParagraph"/>
              <w:spacing w:line="237" w:lineRule="auto"/>
              <w:ind w:left="274" w:right="156" w:hanging="100"/>
              <w:rPr>
                <w:sz w:val="20"/>
              </w:rPr>
            </w:pPr>
            <w:r>
              <w:rPr>
                <w:sz w:val="20"/>
              </w:rPr>
              <w:t>乐山市公安局五通桥区分局杨柳派出所</w:t>
            </w:r>
          </w:p>
        </w:tc>
        <w:tc>
          <w:tcPr>
            <w:tcW w:w="1260" w:type="dxa"/>
          </w:tcPr>
          <w:p>
            <w:pPr>
              <w:pStyle w:val="TableParagraph"/>
              <w:spacing w:before="2"/>
              <w:rPr>
                <w:rFonts w:ascii="黑体"/>
                <w:sz w:val="28"/>
              </w:rPr>
            </w:pPr>
          </w:p>
          <w:p>
            <w:pPr>
              <w:pStyle w:val="TableParagraph"/>
              <w:ind w:left="154" w:right="154"/>
              <w:jc w:val="center"/>
              <w:rPr>
                <w:sz w:val="20"/>
              </w:rPr>
            </w:pPr>
            <w:r>
              <w:rPr>
                <w:sz w:val="20"/>
              </w:rPr>
              <w:t>2016-2018</w:t>
            </w:r>
          </w:p>
        </w:tc>
        <w:tc>
          <w:tcPr>
            <w:tcW w:w="3534" w:type="dxa"/>
          </w:tcPr>
          <w:p>
            <w:pPr>
              <w:pStyle w:val="TableParagraph"/>
              <w:spacing w:before="6"/>
              <w:rPr>
                <w:rFonts w:ascii="黑体"/>
                <w:sz w:val="18"/>
              </w:rPr>
            </w:pPr>
          </w:p>
          <w:p>
            <w:pPr>
              <w:pStyle w:val="TableParagraph"/>
              <w:spacing w:line="237" w:lineRule="auto"/>
              <w:ind w:left="860" w:right="145" w:hanging="699"/>
              <w:rPr>
                <w:sz w:val="20"/>
              </w:rPr>
            </w:pPr>
            <w:r>
              <w:rPr>
                <w:spacing w:val="-5"/>
                <w:sz w:val="20"/>
              </w:rPr>
              <w:t>新建业务用房和辅助用房 </w:t>
            </w:r>
            <w:r>
              <w:rPr>
                <w:sz w:val="20"/>
              </w:rPr>
              <w:t>570</w:t>
            </w:r>
            <w:r>
              <w:rPr>
                <w:spacing w:val="-15"/>
                <w:sz w:val="20"/>
              </w:rPr>
              <w:t> 平方米</w:t>
            </w:r>
            <w:r>
              <w:rPr>
                <w:spacing w:val="-1"/>
                <w:sz w:val="20"/>
              </w:rPr>
              <w:t>及备勤室等附属工程</w:t>
            </w:r>
          </w:p>
        </w:tc>
        <w:tc>
          <w:tcPr>
            <w:tcW w:w="1116" w:type="dxa"/>
          </w:tcPr>
          <w:p>
            <w:pPr>
              <w:pStyle w:val="TableParagraph"/>
              <w:spacing w:before="2"/>
              <w:rPr>
                <w:rFonts w:ascii="黑体"/>
                <w:sz w:val="28"/>
              </w:rPr>
            </w:pPr>
          </w:p>
          <w:p>
            <w:pPr>
              <w:pStyle w:val="TableParagraph"/>
              <w:ind w:left="401"/>
              <w:rPr>
                <w:sz w:val="20"/>
              </w:rPr>
            </w:pPr>
            <w:r>
              <w:rPr>
                <w:sz w:val="20"/>
              </w:rPr>
              <w:t>273</w:t>
            </w:r>
          </w:p>
        </w:tc>
        <w:tc>
          <w:tcPr>
            <w:tcW w:w="1253" w:type="dxa"/>
          </w:tcPr>
          <w:p>
            <w:pPr>
              <w:pStyle w:val="TableParagraph"/>
              <w:spacing w:before="2"/>
              <w:rPr>
                <w:rFonts w:ascii="黑体"/>
                <w:sz w:val="28"/>
              </w:rPr>
            </w:pPr>
          </w:p>
          <w:p>
            <w:pPr>
              <w:pStyle w:val="TableParagraph"/>
              <w:ind w:left="101" w:right="101"/>
              <w:jc w:val="center"/>
              <w:rPr>
                <w:sz w:val="20"/>
              </w:rPr>
            </w:pPr>
            <w:r>
              <w:rPr>
                <w:sz w:val="20"/>
              </w:rPr>
              <w:t>公安分局</w:t>
            </w:r>
          </w:p>
        </w:tc>
      </w:tr>
      <w:tr>
        <w:trPr>
          <w:trHeight w:val="1060" w:hRule="atLeast"/>
        </w:trPr>
        <w:tc>
          <w:tcPr>
            <w:tcW w:w="544" w:type="dxa"/>
          </w:tcPr>
          <w:p>
            <w:pPr>
              <w:pStyle w:val="TableParagraph"/>
              <w:spacing w:before="2"/>
              <w:rPr>
                <w:rFonts w:ascii="黑体"/>
                <w:sz w:val="28"/>
              </w:rPr>
            </w:pPr>
          </w:p>
          <w:p>
            <w:pPr>
              <w:pStyle w:val="TableParagraph"/>
              <w:ind w:left="145" w:right="146"/>
              <w:jc w:val="center"/>
              <w:rPr>
                <w:sz w:val="20"/>
              </w:rPr>
            </w:pPr>
            <w:r>
              <w:rPr>
                <w:sz w:val="20"/>
              </w:rPr>
              <w:t>26</w:t>
            </w:r>
          </w:p>
        </w:tc>
        <w:tc>
          <w:tcPr>
            <w:tcW w:w="2160" w:type="dxa"/>
          </w:tcPr>
          <w:p>
            <w:pPr>
              <w:pStyle w:val="TableParagraph"/>
              <w:spacing w:before="6"/>
              <w:rPr>
                <w:rFonts w:ascii="黑体"/>
                <w:sz w:val="18"/>
              </w:rPr>
            </w:pPr>
          </w:p>
          <w:p>
            <w:pPr>
              <w:pStyle w:val="TableParagraph"/>
              <w:spacing w:line="237" w:lineRule="auto"/>
              <w:ind w:left="274" w:right="156" w:hanging="100"/>
              <w:rPr>
                <w:sz w:val="20"/>
              </w:rPr>
            </w:pPr>
            <w:r>
              <w:rPr>
                <w:sz w:val="20"/>
              </w:rPr>
              <w:t>乐山市公安局五通桥区分局冠英派出所</w:t>
            </w:r>
          </w:p>
        </w:tc>
        <w:tc>
          <w:tcPr>
            <w:tcW w:w="1260" w:type="dxa"/>
          </w:tcPr>
          <w:p>
            <w:pPr>
              <w:pStyle w:val="TableParagraph"/>
              <w:spacing w:before="2"/>
              <w:rPr>
                <w:rFonts w:ascii="黑体"/>
                <w:sz w:val="28"/>
              </w:rPr>
            </w:pPr>
          </w:p>
          <w:p>
            <w:pPr>
              <w:pStyle w:val="TableParagraph"/>
              <w:ind w:left="154" w:right="154"/>
              <w:jc w:val="center"/>
              <w:rPr>
                <w:sz w:val="20"/>
              </w:rPr>
            </w:pPr>
            <w:r>
              <w:rPr>
                <w:sz w:val="20"/>
              </w:rPr>
              <w:t>2017-2018</w:t>
            </w:r>
          </w:p>
        </w:tc>
        <w:tc>
          <w:tcPr>
            <w:tcW w:w="3534" w:type="dxa"/>
          </w:tcPr>
          <w:p>
            <w:pPr>
              <w:pStyle w:val="TableParagraph"/>
              <w:spacing w:before="3"/>
              <w:rPr>
                <w:rFonts w:ascii="黑体"/>
                <w:sz w:val="18"/>
              </w:rPr>
            </w:pPr>
          </w:p>
          <w:p>
            <w:pPr>
              <w:pStyle w:val="TableParagraph"/>
              <w:spacing w:line="260" w:lineRule="exact"/>
              <w:ind w:left="1" w:right="2"/>
              <w:jc w:val="center"/>
              <w:rPr>
                <w:sz w:val="20"/>
              </w:rPr>
            </w:pPr>
            <w:r>
              <w:rPr>
                <w:sz w:val="20"/>
              </w:rPr>
              <w:t>新建办公用房、业务用房和辅助用房</w:t>
            </w:r>
          </w:p>
          <w:p>
            <w:pPr>
              <w:pStyle w:val="TableParagraph"/>
              <w:spacing w:line="260" w:lineRule="exact"/>
              <w:ind w:left="1" w:right="2"/>
              <w:jc w:val="center"/>
              <w:rPr>
                <w:sz w:val="20"/>
              </w:rPr>
            </w:pPr>
            <w:r>
              <w:rPr>
                <w:sz w:val="20"/>
              </w:rPr>
              <w:t>1900 平方米及备勤室等附属工程</w:t>
            </w:r>
          </w:p>
        </w:tc>
        <w:tc>
          <w:tcPr>
            <w:tcW w:w="1116" w:type="dxa"/>
          </w:tcPr>
          <w:p>
            <w:pPr>
              <w:pStyle w:val="TableParagraph"/>
              <w:spacing w:before="2"/>
              <w:rPr>
                <w:rFonts w:ascii="黑体"/>
                <w:sz w:val="28"/>
              </w:rPr>
            </w:pPr>
          </w:p>
          <w:p>
            <w:pPr>
              <w:pStyle w:val="TableParagraph"/>
              <w:ind w:left="401"/>
              <w:rPr>
                <w:sz w:val="20"/>
              </w:rPr>
            </w:pPr>
            <w:r>
              <w:rPr>
                <w:sz w:val="20"/>
              </w:rPr>
              <w:t>399</w:t>
            </w:r>
          </w:p>
        </w:tc>
        <w:tc>
          <w:tcPr>
            <w:tcW w:w="1253" w:type="dxa"/>
          </w:tcPr>
          <w:p>
            <w:pPr>
              <w:pStyle w:val="TableParagraph"/>
              <w:spacing w:before="2"/>
              <w:rPr>
                <w:rFonts w:ascii="黑体"/>
                <w:sz w:val="28"/>
              </w:rPr>
            </w:pPr>
          </w:p>
          <w:p>
            <w:pPr>
              <w:pStyle w:val="TableParagraph"/>
              <w:ind w:left="101" w:right="101"/>
              <w:jc w:val="center"/>
              <w:rPr>
                <w:sz w:val="20"/>
              </w:rPr>
            </w:pPr>
            <w:r>
              <w:rPr>
                <w:sz w:val="20"/>
              </w:rPr>
              <w:t>公安分局</w:t>
            </w:r>
          </w:p>
        </w:tc>
      </w:tr>
      <w:tr>
        <w:trPr>
          <w:trHeight w:val="1060" w:hRule="atLeast"/>
        </w:trPr>
        <w:tc>
          <w:tcPr>
            <w:tcW w:w="544" w:type="dxa"/>
          </w:tcPr>
          <w:p>
            <w:pPr>
              <w:pStyle w:val="TableParagraph"/>
              <w:spacing w:before="2"/>
              <w:rPr>
                <w:rFonts w:ascii="黑体"/>
                <w:sz w:val="28"/>
              </w:rPr>
            </w:pPr>
          </w:p>
          <w:p>
            <w:pPr>
              <w:pStyle w:val="TableParagraph"/>
              <w:ind w:left="145" w:right="146"/>
              <w:jc w:val="center"/>
              <w:rPr>
                <w:sz w:val="20"/>
              </w:rPr>
            </w:pPr>
            <w:r>
              <w:rPr>
                <w:sz w:val="20"/>
              </w:rPr>
              <w:t>27</w:t>
            </w:r>
          </w:p>
        </w:tc>
        <w:tc>
          <w:tcPr>
            <w:tcW w:w="2160" w:type="dxa"/>
          </w:tcPr>
          <w:p>
            <w:pPr>
              <w:pStyle w:val="TableParagraph"/>
              <w:spacing w:before="6"/>
              <w:rPr>
                <w:rFonts w:ascii="黑体"/>
                <w:sz w:val="18"/>
              </w:rPr>
            </w:pPr>
          </w:p>
          <w:p>
            <w:pPr>
              <w:pStyle w:val="TableParagraph"/>
              <w:spacing w:line="237" w:lineRule="auto"/>
              <w:ind w:left="274" w:right="156" w:hanging="100"/>
              <w:rPr>
                <w:sz w:val="20"/>
              </w:rPr>
            </w:pPr>
            <w:r>
              <w:rPr>
                <w:sz w:val="20"/>
              </w:rPr>
              <w:t>乐山市公安局五通桥区分局桥沟派出所</w:t>
            </w:r>
          </w:p>
        </w:tc>
        <w:tc>
          <w:tcPr>
            <w:tcW w:w="1260" w:type="dxa"/>
          </w:tcPr>
          <w:p>
            <w:pPr>
              <w:pStyle w:val="TableParagraph"/>
              <w:spacing w:before="2"/>
              <w:rPr>
                <w:rFonts w:ascii="黑体"/>
                <w:sz w:val="28"/>
              </w:rPr>
            </w:pPr>
          </w:p>
          <w:p>
            <w:pPr>
              <w:pStyle w:val="TableParagraph"/>
              <w:ind w:left="154" w:right="154"/>
              <w:jc w:val="center"/>
              <w:rPr>
                <w:sz w:val="20"/>
              </w:rPr>
            </w:pPr>
            <w:r>
              <w:rPr>
                <w:sz w:val="20"/>
              </w:rPr>
              <w:t>2016-2018</w:t>
            </w:r>
          </w:p>
        </w:tc>
        <w:tc>
          <w:tcPr>
            <w:tcW w:w="3534" w:type="dxa"/>
          </w:tcPr>
          <w:p>
            <w:pPr>
              <w:pStyle w:val="TableParagraph"/>
              <w:spacing w:before="6"/>
              <w:rPr>
                <w:rFonts w:ascii="黑体"/>
                <w:sz w:val="18"/>
              </w:rPr>
            </w:pPr>
          </w:p>
          <w:p>
            <w:pPr>
              <w:pStyle w:val="TableParagraph"/>
              <w:spacing w:line="237" w:lineRule="auto"/>
              <w:ind w:left="860" w:right="145" w:hanging="699"/>
              <w:rPr>
                <w:sz w:val="20"/>
              </w:rPr>
            </w:pPr>
            <w:r>
              <w:rPr>
                <w:spacing w:val="-5"/>
                <w:sz w:val="20"/>
              </w:rPr>
              <w:t>新建业务用房和辅助用房 </w:t>
            </w:r>
            <w:r>
              <w:rPr>
                <w:sz w:val="20"/>
              </w:rPr>
              <w:t>570</w:t>
            </w:r>
            <w:r>
              <w:rPr>
                <w:spacing w:val="-15"/>
                <w:sz w:val="20"/>
              </w:rPr>
              <w:t> 平方米</w:t>
            </w:r>
            <w:r>
              <w:rPr>
                <w:spacing w:val="-1"/>
                <w:sz w:val="20"/>
              </w:rPr>
              <w:t>及备勤室等附属工程</w:t>
            </w:r>
          </w:p>
        </w:tc>
        <w:tc>
          <w:tcPr>
            <w:tcW w:w="1116" w:type="dxa"/>
          </w:tcPr>
          <w:p>
            <w:pPr>
              <w:pStyle w:val="TableParagraph"/>
              <w:spacing w:before="2"/>
              <w:rPr>
                <w:rFonts w:ascii="黑体"/>
                <w:sz w:val="28"/>
              </w:rPr>
            </w:pPr>
          </w:p>
          <w:p>
            <w:pPr>
              <w:pStyle w:val="TableParagraph"/>
              <w:ind w:left="401"/>
              <w:rPr>
                <w:sz w:val="20"/>
              </w:rPr>
            </w:pPr>
            <w:r>
              <w:rPr>
                <w:sz w:val="20"/>
              </w:rPr>
              <w:t>273</w:t>
            </w:r>
          </w:p>
        </w:tc>
        <w:tc>
          <w:tcPr>
            <w:tcW w:w="1253" w:type="dxa"/>
          </w:tcPr>
          <w:p>
            <w:pPr>
              <w:pStyle w:val="TableParagraph"/>
              <w:spacing w:before="2"/>
              <w:rPr>
                <w:rFonts w:ascii="黑体"/>
                <w:sz w:val="28"/>
              </w:rPr>
            </w:pPr>
          </w:p>
          <w:p>
            <w:pPr>
              <w:pStyle w:val="TableParagraph"/>
              <w:ind w:left="101" w:right="101"/>
              <w:jc w:val="center"/>
              <w:rPr>
                <w:sz w:val="20"/>
              </w:rPr>
            </w:pPr>
            <w:r>
              <w:rPr>
                <w:sz w:val="20"/>
              </w:rPr>
              <w:t>公安分局</w:t>
            </w:r>
          </w:p>
        </w:tc>
      </w:tr>
      <w:tr>
        <w:trPr>
          <w:trHeight w:val="1060" w:hRule="atLeast"/>
        </w:trPr>
        <w:tc>
          <w:tcPr>
            <w:tcW w:w="544" w:type="dxa"/>
          </w:tcPr>
          <w:p>
            <w:pPr>
              <w:pStyle w:val="TableParagraph"/>
              <w:spacing w:before="2"/>
              <w:rPr>
                <w:rFonts w:ascii="黑体"/>
                <w:sz w:val="28"/>
              </w:rPr>
            </w:pPr>
          </w:p>
          <w:p>
            <w:pPr>
              <w:pStyle w:val="TableParagraph"/>
              <w:ind w:left="145" w:right="146"/>
              <w:jc w:val="center"/>
              <w:rPr>
                <w:sz w:val="20"/>
              </w:rPr>
            </w:pPr>
            <w:r>
              <w:rPr>
                <w:sz w:val="20"/>
              </w:rPr>
              <w:t>28</w:t>
            </w:r>
          </w:p>
        </w:tc>
        <w:tc>
          <w:tcPr>
            <w:tcW w:w="2160" w:type="dxa"/>
          </w:tcPr>
          <w:p>
            <w:pPr>
              <w:pStyle w:val="TableParagraph"/>
              <w:spacing w:before="6"/>
              <w:rPr>
                <w:rFonts w:ascii="黑体"/>
                <w:sz w:val="18"/>
              </w:rPr>
            </w:pPr>
          </w:p>
          <w:p>
            <w:pPr>
              <w:pStyle w:val="TableParagraph"/>
              <w:spacing w:line="237" w:lineRule="auto"/>
              <w:ind w:left="374" w:right="156" w:hanging="200"/>
              <w:rPr>
                <w:sz w:val="20"/>
              </w:rPr>
            </w:pPr>
            <w:r>
              <w:rPr>
                <w:sz w:val="20"/>
              </w:rPr>
              <w:t>乐山市公安局五通桥区分局天网工程</w:t>
            </w:r>
          </w:p>
        </w:tc>
        <w:tc>
          <w:tcPr>
            <w:tcW w:w="1260" w:type="dxa"/>
          </w:tcPr>
          <w:p>
            <w:pPr>
              <w:pStyle w:val="TableParagraph"/>
              <w:spacing w:before="2"/>
              <w:rPr>
                <w:rFonts w:ascii="黑体"/>
                <w:sz w:val="28"/>
              </w:rPr>
            </w:pPr>
          </w:p>
          <w:p>
            <w:pPr>
              <w:pStyle w:val="TableParagraph"/>
              <w:ind w:left="154" w:right="154"/>
              <w:jc w:val="center"/>
              <w:rPr>
                <w:sz w:val="20"/>
              </w:rPr>
            </w:pPr>
            <w:r>
              <w:rPr>
                <w:sz w:val="20"/>
              </w:rPr>
              <w:t>2016-2020</w:t>
            </w:r>
          </w:p>
        </w:tc>
        <w:tc>
          <w:tcPr>
            <w:tcW w:w="3534" w:type="dxa"/>
          </w:tcPr>
          <w:p>
            <w:pPr>
              <w:pStyle w:val="TableParagraph"/>
              <w:spacing w:before="2"/>
              <w:rPr>
                <w:rFonts w:ascii="黑体"/>
                <w:sz w:val="28"/>
              </w:rPr>
            </w:pPr>
          </w:p>
          <w:p>
            <w:pPr>
              <w:pStyle w:val="TableParagraph"/>
              <w:ind w:left="2" w:right="2"/>
              <w:jc w:val="center"/>
              <w:rPr>
                <w:sz w:val="20"/>
              </w:rPr>
            </w:pPr>
            <w:r>
              <w:rPr>
                <w:sz w:val="20"/>
              </w:rPr>
              <w:t>全区天网监控系统及 300 个终端</w:t>
            </w:r>
          </w:p>
        </w:tc>
        <w:tc>
          <w:tcPr>
            <w:tcW w:w="1116" w:type="dxa"/>
          </w:tcPr>
          <w:p>
            <w:pPr>
              <w:pStyle w:val="TableParagraph"/>
              <w:spacing w:before="2"/>
              <w:rPr>
                <w:rFonts w:ascii="黑体"/>
                <w:sz w:val="28"/>
              </w:rPr>
            </w:pPr>
          </w:p>
          <w:p>
            <w:pPr>
              <w:pStyle w:val="TableParagraph"/>
              <w:ind w:left="353"/>
              <w:rPr>
                <w:sz w:val="20"/>
              </w:rPr>
            </w:pPr>
            <w:r>
              <w:rPr>
                <w:sz w:val="20"/>
              </w:rPr>
              <w:t>1080</w:t>
            </w:r>
          </w:p>
        </w:tc>
        <w:tc>
          <w:tcPr>
            <w:tcW w:w="1253" w:type="dxa"/>
          </w:tcPr>
          <w:p>
            <w:pPr>
              <w:pStyle w:val="TableParagraph"/>
              <w:spacing w:before="2"/>
              <w:rPr>
                <w:rFonts w:ascii="黑体"/>
                <w:sz w:val="28"/>
              </w:rPr>
            </w:pPr>
          </w:p>
          <w:p>
            <w:pPr>
              <w:pStyle w:val="TableParagraph"/>
              <w:ind w:left="101" w:right="101"/>
              <w:jc w:val="center"/>
              <w:rPr>
                <w:sz w:val="20"/>
              </w:rPr>
            </w:pPr>
            <w:r>
              <w:rPr>
                <w:sz w:val="20"/>
              </w:rPr>
              <w:t>公安分局</w:t>
            </w:r>
          </w:p>
        </w:tc>
      </w:tr>
      <w:tr>
        <w:trPr>
          <w:trHeight w:val="1060" w:hRule="atLeast"/>
        </w:trPr>
        <w:tc>
          <w:tcPr>
            <w:tcW w:w="544" w:type="dxa"/>
          </w:tcPr>
          <w:p>
            <w:pPr>
              <w:pStyle w:val="TableParagraph"/>
              <w:spacing w:before="2"/>
              <w:rPr>
                <w:rFonts w:ascii="黑体"/>
                <w:sz w:val="28"/>
              </w:rPr>
            </w:pPr>
          </w:p>
          <w:p>
            <w:pPr>
              <w:pStyle w:val="TableParagraph"/>
              <w:ind w:left="145" w:right="146"/>
              <w:jc w:val="center"/>
              <w:rPr>
                <w:sz w:val="20"/>
              </w:rPr>
            </w:pPr>
            <w:r>
              <w:rPr>
                <w:sz w:val="20"/>
              </w:rPr>
              <w:t>29</w:t>
            </w:r>
          </w:p>
        </w:tc>
        <w:tc>
          <w:tcPr>
            <w:tcW w:w="2160" w:type="dxa"/>
          </w:tcPr>
          <w:p>
            <w:pPr>
              <w:pStyle w:val="TableParagraph"/>
              <w:spacing w:before="6"/>
              <w:rPr>
                <w:rFonts w:ascii="黑体"/>
                <w:sz w:val="18"/>
              </w:rPr>
            </w:pPr>
          </w:p>
          <w:p>
            <w:pPr>
              <w:pStyle w:val="TableParagraph"/>
              <w:spacing w:line="237" w:lineRule="auto"/>
              <w:ind w:left="374" w:right="156" w:hanging="200"/>
              <w:rPr>
                <w:sz w:val="20"/>
              </w:rPr>
            </w:pPr>
            <w:r>
              <w:rPr>
                <w:sz w:val="20"/>
              </w:rPr>
              <w:t>乐山市公安局五通桥区分局安防工程</w:t>
            </w:r>
          </w:p>
        </w:tc>
        <w:tc>
          <w:tcPr>
            <w:tcW w:w="1260" w:type="dxa"/>
          </w:tcPr>
          <w:p>
            <w:pPr>
              <w:pStyle w:val="TableParagraph"/>
              <w:spacing w:before="2"/>
              <w:rPr>
                <w:rFonts w:ascii="黑体"/>
                <w:sz w:val="28"/>
              </w:rPr>
            </w:pPr>
          </w:p>
          <w:p>
            <w:pPr>
              <w:pStyle w:val="TableParagraph"/>
              <w:ind w:left="154" w:right="154"/>
              <w:jc w:val="center"/>
              <w:rPr>
                <w:sz w:val="20"/>
              </w:rPr>
            </w:pPr>
            <w:r>
              <w:rPr>
                <w:sz w:val="20"/>
              </w:rPr>
              <w:t>2016-2020</w:t>
            </w:r>
          </w:p>
        </w:tc>
        <w:tc>
          <w:tcPr>
            <w:tcW w:w="3534" w:type="dxa"/>
          </w:tcPr>
          <w:p>
            <w:pPr>
              <w:pStyle w:val="TableParagraph"/>
              <w:spacing w:before="2"/>
              <w:rPr>
                <w:rFonts w:ascii="黑体"/>
                <w:sz w:val="28"/>
              </w:rPr>
            </w:pPr>
          </w:p>
          <w:p>
            <w:pPr>
              <w:pStyle w:val="TableParagraph"/>
              <w:ind w:left="2" w:right="2"/>
              <w:jc w:val="center"/>
              <w:rPr>
                <w:sz w:val="20"/>
              </w:rPr>
            </w:pPr>
            <w:r>
              <w:rPr>
                <w:sz w:val="20"/>
              </w:rPr>
              <w:t>中心城区三无小区安防工程</w:t>
            </w:r>
          </w:p>
        </w:tc>
        <w:tc>
          <w:tcPr>
            <w:tcW w:w="1116" w:type="dxa"/>
          </w:tcPr>
          <w:p>
            <w:pPr>
              <w:pStyle w:val="TableParagraph"/>
              <w:spacing w:before="2"/>
              <w:rPr>
                <w:rFonts w:ascii="黑体"/>
                <w:sz w:val="28"/>
              </w:rPr>
            </w:pPr>
          </w:p>
          <w:p>
            <w:pPr>
              <w:pStyle w:val="TableParagraph"/>
              <w:ind w:left="402"/>
              <w:rPr>
                <w:sz w:val="20"/>
              </w:rPr>
            </w:pPr>
            <w:r>
              <w:rPr>
                <w:sz w:val="20"/>
              </w:rPr>
              <w:t>300</w:t>
            </w:r>
          </w:p>
        </w:tc>
        <w:tc>
          <w:tcPr>
            <w:tcW w:w="1253" w:type="dxa"/>
          </w:tcPr>
          <w:p>
            <w:pPr>
              <w:pStyle w:val="TableParagraph"/>
              <w:spacing w:before="2"/>
              <w:rPr>
                <w:rFonts w:ascii="黑体"/>
                <w:sz w:val="28"/>
              </w:rPr>
            </w:pPr>
          </w:p>
          <w:p>
            <w:pPr>
              <w:pStyle w:val="TableParagraph"/>
              <w:ind w:left="101" w:right="101"/>
              <w:jc w:val="center"/>
              <w:rPr>
                <w:sz w:val="20"/>
              </w:rPr>
            </w:pPr>
            <w:r>
              <w:rPr>
                <w:sz w:val="20"/>
              </w:rPr>
              <w:t>公安分局</w:t>
            </w:r>
          </w:p>
        </w:tc>
      </w:tr>
      <w:tr>
        <w:trPr>
          <w:trHeight w:val="1060" w:hRule="atLeast"/>
        </w:trPr>
        <w:tc>
          <w:tcPr>
            <w:tcW w:w="544" w:type="dxa"/>
          </w:tcPr>
          <w:p>
            <w:pPr>
              <w:pStyle w:val="TableParagraph"/>
              <w:spacing w:before="2"/>
              <w:rPr>
                <w:rFonts w:ascii="黑体"/>
                <w:sz w:val="28"/>
              </w:rPr>
            </w:pPr>
          </w:p>
          <w:p>
            <w:pPr>
              <w:pStyle w:val="TableParagraph"/>
              <w:ind w:left="145" w:right="146"/>
              <w:jc w:val="center"/>
              <w:rPr>
                <w:sz w:val="20"/>
              </w:rPr>
            </w:pPr>
            <w:r>
              <w:rPr>
                <w:sz w:val="20"/>
              </w:rPr>
              <w:t>30</w:t>
            </w:r>
          </w:p>
        </w:tc>
        <w:tc>
          <w:tcPr>
            <w:tcW w:w="2160" w:type="dxa"/>
          </w:tcPr>
          <w:p>
            <w:pPr>
              <w:pStyle w:val="TableParagraph"/>
              <w:spacing w:before="6"/>
              <w:rPr>
                <w:rFonts w:ascii="黑体"/>
                <w:sz w:val="18"/>
              </w:rPr>
            </w:pPr>
          </w:p>
          <w:p>
            <w:pPr>
              <w:pStyle w:val="TableParagraph"/>
              <w:spacing w:line="237" w:lineRule="auto"/>
              <w:ind w:left="773" w:right="156" w:hanging="599"/>
              <w:rPr>
                <w:sz w:val="20"/>
              </w:rPr>
            </w:pPr>
            <w:r>
              <w:rPr>
                <w:sz w:val="20"/>
              </w:rPr>
              <w:t>区公安分局牛华毒品检查站</w:t>
            </w:r>
          </w:p>
        </w:tc>
        <w:tc>
          <w:tcPr>
            <w:tcW w:w="1260" w:type="dxa"/>
          </w:tcPr>
          <w:p>
            <w:pPr>
              <w:pStyle w:val="TableParagraph"/>
              <w:spacing w:before="2"/>
              <w:rPr>
                <w:rFonts w:ascii="黑体"/>
                <w:sz w:val="28"/>
              </w:rPr>
            </w:pPr>
          </w:p>
          <w:p>
            <w:pPr>
              <w:pStyle w:val="TableParagraph"/>
              <w:ind w:left="154" w:right="154"/>
              <w:jc w:val="center"/>
              <w:rPr>
                <w:sz w:val="20"/>
              </w:rPr>
            </w:pPr>
            <w:r>
              <w:rPr>
                <w:sz w:val="20"/>
              </w:rPr>
              <w:t>2017</w:t>
            </w:r>
          </w:p>
        </w:tc>
        <w:tc>
          <w:tcPr>
            <w:tcW w:w="3534" w:type="dxa"/>
          </w:tcPr>
          <w:p>
            <w:pPr>
              <w:pStyle w:val="TableParagraph"/>
              <w:spacing w:before="2"/>
              <w:rPr>
                <w:rFonts w:ascii="黑体"/>
                <w:sz w:val="28"/>
              </w:rPr>
            </w:pPr>
          </w:p>
          <w:p>
            <w:pPr>
              <w:pStyle w:val="TableParagraph"/>
              <w:ind w:left="3" w:right="2"/>
              <w:jc w:val="center"/>
              <w:rPr>
                <w:sz w:val="20"/>
              </w:rPr>
            </w:pPr>
            <w:r>
              <w:rPr>
                <w:sz w:val="20"/>
              </w:rPr>
              <w:t>牛华毒品检查站 470 平方米</w:t>
            </w:r>
          </w:p>
        </w:tc>
        <w:tc>
          <w:tcPr>
            <w:tcW w:w="1116" w:type="dxa"/>
          </w:tcPr>
          <w:p>
            <w:pPr>
              <w:pStyle w:val="TableParagraph"/>
              <w:spacing w:before="2"/>
              <w:rPr>
                <w:rFonts w:ascii="黑体"/>
                <w:sz w:val="28"/>
              </w:rPr>
            </w:pPr>
          </w:p>
          <w:p>
            <w:pPr>
              <w:pStyle w:val="TableParagraph"/>
              <w:ind w:left="453"/>
              <w:rPr>
                <w:sz w:val="20"/>
              </w:rPr>
            </w:pPr>
            <w:r>
              <w:rPr>
                <w:sz w:val="20"/>
              </w:rPr>
              <w:t>98</w:t>
            </w:r>
          </w:p>
        </w:tc>
        <w:tc>
          <w:tcPr>
            <w:tcW w:w="1253" w:type="dxa"/>
          </w:tcPr>
          <w:p>
            <w:pPr>
              <w:pStyle w:val="TableParagraph"/>
              <w:spacing w:before="2"/>
              <w:rPr>
                <w:rFonts w:ascii="黑体"/>
                <w:sz w:val="28"/>
              </w:rPr>
            </w:pPr>
          </w:p>
          <w:p>
            <w:pPr>
              <w:pStyle w:val="TableParagraph"/>
              <w:ind w:left="101" w:right="101"/>
              <w:jc w:val="center"/>
              <w:rPr>
                <w:sz w:val="20"/>
              </w:rPr>
            </w:pPr>
            <w:r>
              <w:rPr>
                <w:sz w:val="20"/>
              </w:rPr>
              <w:t>公安分局</w:t>
            </w:r>
          </w:p>
        </w:tc>
      </w:tr>
      <w:tr>
        <w:trPr>
          <w:trHeight w:val="1060" w:hRule="atLeast"/>
        </w:trPr>
        <w:tc>
          <w:tcPr>
            <w:tcW w:w="544" w:type="dxa"/>
          </w:tcPr>
          <w:p>
            <w:pPr>
              <w:pStyle w:val="TableParagraph"/>
              <w:spacing w:before="2"/>
              <w:rPr>
                <w:rFonts w:ascii="黑体"/>
                <w:sz w:val="28"/>
              </w:rPr>
            </w:pPr>
          </w:p>
          <w:p>
            <w:pPr>
              <w:pStyle w:val="TableParagraph"/>
              <w:ind w:left="145" w:right="146"/>
              <w:jc w:val="center"/>
              <w:rPr>
                <w:sz w:val="20"/>
              </w:rPr>
            </w:pPr>
            <w:r>
              <w:rPr>
                <w:sz w:val="20"/>
              </w:rPr>
              <w:t>31</w:t>
            </w:r>
          </w:p>
        </w:tc>
        <w:tc>
          <w:tcPr>
            <w:tcW w:w="2160" w:type="dxa"/>
          </w:tcPr>
          <w:p>
            <w:pPr>
              <w:pStyle w:val="TableParagraph"/>
              <w:spacing w:before="6"/>
              <w:rPr>
                <w:rFonts w:ascii="黑体"/>
                <w:sz w:val="18"/>
              </w:rPr>
            </w:pPr>
          </w:p>
          <w:p>
            <w:pPr>
              <w:pStyle w:val="TableParagraph"/>
              <w:spacing w:line="237" w:lineRule="auto"/>
              <w:ind w:left="173" w:right="156" w:firstLine="1"/>
              <w:rPr>
                <w:sz w:val="20"/>
              </w:rPr>
            </w:pPr>
            <w:r>
              <w:rPr>
                <w:sz w:val="20"/>
              </w:rPr>
              <w:t>乐山市公安局五通桥区分局禁毒情报中心</w:t>
            </w:r>
          </w:p>
        </w:tc>
        <w:tc>
          <w:tcPr>
            <w:tcW w:w="1260" w:type="dxa"/>
          </w:tcPr>
          <w:p>
            <w:pPr>
              <w:pStyle w:val="TableParagraph"/>
              <w:spacing w:before="2"/>
              <w:rPr>
                <w:rFonts w:ascii="黑体"/>
                <w:sz w:val="28"/>
              </w:rPr>
            </w:pPr>
          </w:p>
          <w:p>
            <w:pPr>
              <w:pStyle w:val="TableParagraph"/>
              <w:ind w:left="154" w:right="155"/>
              <w:jc w:val="center"/>
              <w:rPr>
                <w:sz w:val="20"/>
              </w:rPr>
            </w:pPr>
            <w:r>
              <w:rPr>
                <w:sz w:val="20"/>
              </w:rPr>
              <w:t>2018</w:t>
            </w:r>
          </w:p>
        </w:tc>
        <w:tc>
          <w:tcPr>
            <w:tcW w:w="3534" w:type="dxa"/>
          </w:tcPr>
          <w:p>
            <w:pPr>
              <w:pStyle w:val="TableParagraph"/>
              <w:spacing w:before="6"/>
              <w:rPr>
                <w:rFonts w:ascii="黑体"/>
                <w:sz w:val="18"/>
              </w:rPr>
            </w:pPr>
          </w:p>
          <w:p>
            <w:pPr>
              <w:pStyle w:val="TableParagraph"/>
              <w:spacing w:line="237" w:lineRule="auto"/>
              <w:ind w:left="1060" w:right="144" w:hanging="900"/>
              <w:rPr>
                <w:sz w:val="20"/>
              </w:rPr>
            </w:pPr>
            <w:r>
              <w:rPr>
                <w:sz w:val="20"/>
              </w:rPr>
              <w:t>乐山市公安局五通桥区分局禁毒情报中心 150 平方米</w:t>
            </w:r>
          </w:p>
        </w:tc>
        <w:tc>
          <w:tcPr>
            <w:tcW w:w="1116" w:type="dxa"/>
          </w:tcPr>
          <w:p>
            <w:pPr>
              <w:pStyle w:val="TableParagraph"/>
              <w:spacing w:before="2"/>
              <w:rPr>
                <w:rFonts w:ascii="黑体"/>
                <w:sz w:val="28"/>
              </w:rPr>
            </w:pPr>
          </w:p>
          <w:p>
            <w:pPr>
              <w:pStyle w:val="TableParagraph"/>
              <w:ind w:left="452"/>
              <w:rPr>
                <w:sz w:val="20"/>
              </w:rPr>
            </w:pPr>
            <w:r>
              <w:rPr>
                <w:sz w:val="20"/>
              </w:rPr>
              <w:t>44</w:t>
            </w:r>
          </w:p>
        </w:tc>
        <w:tc>
          <w:tcPr>
            <w:tcW w:w="1253" w:type="dxa"/>
          </w:tcPr>
          <w:p>
            <w:pPr>
              <w:pStyle w:val="TableParagraph"/>
              <w:spacing w:before="2"/>
              <w:rPr>
                <w:rFonts w:ascii="黑体"/>
                <w:sz w:val="28"/>
              </w:rPr>
            </w:pPr>
          </w:p>
          <w:p>
            <w:pPr>
              <w:pStyle w:val="TableParagraph"/>
              <w:ind w:left="101" w:right="101"/>
              <w:jc w:val="center"/>
              <w:rPr>
                <w:sz w:val="20"/>
              </w:rPr>
            </w:pPr>
            <w:r>
              <w:rPr>
                <w:sz w:val="20"/>
              </w:rPr>
              <w:t>公安分局</w:t>
            </w:r>
          </w:p>
        </w:tc>
      </w:tr>
      <w:tr>
        <w:trPr>
          <w:trHeight w:val="1060" w:hRule="atLeast"/>
        </w:trPr>
        <w:tc>
          <w:tcPr>
            <w:tcW w:w="544" w:type="dxa"/>
          </w:tcPr>
          <w:p>
            <w:pPr>
              <w:pStyle w:val="TableParagraph"/>
              <w:spacing w:before="2"/>
              <w:rPr>
                <w:rFonts w:ascii="黑体"/>
                <w:sz w:val="28"/>
              </w:rPr>
            </w:pPr>
          </w:p>
          <w:p>
            <w:pPr>
              <w:pStyle w:val="TableParagraph"/>
              <w:ind w:left="145" w:right="146"/>
              <w:jc w:val="center"/>
              <w:rPr>
                <w:sz w:val="20"/>
              </w:rPr>
            </w:pPr>
            <w:r>
              <w:rPr>
                <w:sz w:val="20"/>
              </w:rPr>
              <w:t>32</w:t>
            </w:r>
          </w:p>
        </w:tc>
        <w:tc>
          <w:tcPr>
            <w:tcW w:w="2160" w:type="dxa"/>
          </w:tcPr>
          <w:p>
            <w:pPr>
              <w:pStyle w:val="TableParagraph"/>
              <w:spacing w:before="6"/>
              <w:rPr>
                <w:rFonts w:ascii="黑体"/>
                <w:sz w:val="18"/>
              </w:rPr>
            </w:pPr>
          </w:p>
          <w:p>
            <w:pPr>
              <w:pStyle w:val="TableParagraph"/>
              <w:spacing w:line="237" w:lineRule="auto"/>
              <w:ind w:left="374" w:right="356"/>
              <w:rPr>
                <w:sz w:val="20"/>
              </w:rPr>
            </w:pPr>
            <w:r>
              <w:rPr>
                <w:sz w:val="20"/>
              </w:rPr>
              <w:t>乐山市五通桥区司法局业务用房</w:t>
            </w:r>
          </w:p>
        </w:tc>
        <w:tc>
          <w:tcPr>
            <w:tcW w:w="1260" w:type="dxa"/>
          </w:tcPr>
          <w:p>
            <w:pPr>
              <w:pStyle w:val="TableParagraph"/>
              <w:spacing w:before="2"/>
              <w:rPr>
                <w:rFonts w:ascii="黑体"/>
                <w:sz w:val="28"/>
              </w:rPr>
            </w:pPr>
          </w:p>
          <w:p>
            <w:pPr>
              <w:pStyle w:val="TableParagraph"/>
              <w:ind w:left="154" w:right="154"/>
              <w:jc w:val="center"/>
              <w:rPr>
                <w:sz w:val="20"/>
              </w:rPr>
            </w:pPr>
            <w:r>
              <w:rPr>
                <w:sz w:val="20"/>
              </w:rPr>
              <w:t>2017-2019</w:t>
            </w:r>
          </w:p>
        </w:tc>
        <w:tc>
          <w:tcPr>
            <w:tcW w:w="3534" w:type="dxa"/>
          </w:tcPr>
          <w:p>
            <w:pPr>
              <w:pStyle w:val="TableParagraph"/>
              <w:spacing w:before="2"/>
              <w:rPr>
                <w:rFonts w:ascii="黑体"/>
                <w:sz w:val="28"/>
              </w:rPr>
            </w:pPr>
          </w:p>
          <w:p>
            <w:pPr>
              <w:pStyle w:val="TableParagraph"/>
              <w:ind w:left="2" w:right="2"/>
              <w:jc w:val="center"/>
              <w:rPr>
                <w:sz w:val="20"/>
              </w:rPr>
            </w:pPr>
            <w:r>
              <w:rPr>
                <w:sz w:val="20"/>
              </w:rPr>
              <w:t>购置司法业务用房 1517.9 平方米</w:t>
            </w:r>
          </w:p>
        </w:tc>
        <w:tc>
          <w:tcPr>
            <w:tcW w:w="1116" w:type="dxa"/>
          </w:tcPr>
          <w:p>
            <w:pPr>
              <w:pStyle w:val="TableParagraph"/>
              <w:spacing w:before="2"/>
              <w:rPr>
                <w:rFonts w:ascii="黑体"/>
                <w:sz w:val="28"/>
              </w:rPr>
            </w:pPr>
          </w:p>
          <w:p>
            <w:pPr>
              <w:pStyle w:val="TableParagraph"/>
              <w:ind w:left="402"/>
              <w:rPr>
                <w:sz w:val="20"/>
              </w:rPr>
            </w:pPr>
            <w:r>
              <w:rPr>
                <w:sz w:val="20"/>
              </w:rPr>
              <w:t>440</w:t>
            </w:r>
          </w:p>
        </w:tc>
        <w:tc>
          <w:tcPr>
            <w:tcW w:w="1253" w:type="dxa"/>
          </w:tcPr>
          <w:p>
            <w:pPr>
              <w:pStyle w:val="TableParagraph"/>
              <w:spacing w:before="2"/>
              <w:rPr>
                <w:rFonts w:ascii="黑体"/>
                <w:sz w:val="28"/>
              </w:rPr>
            </w:pPr>
          </w:p>
          <w:p>
            <w:pPr>
              <w:pStyle w:val="TableParagraph"/>
              <w:ind w:left="100" w:right="101"/>
              <w:jc w:val="center"/>
              <w:rPr>
                <w:sz w:val="20"/>
              </w:rPr>
            </w:pPr>
            <w:r>
              <w:rPr>
                <w:sz w:val="20"/>
              </w:rPr>
              <w:t>司法局</w:t>
            </w:r>
          </w:p>
        </w:tc>
      </w:tr>
      <w:tr>
        <w:trPr>
          <w:trHeight w:val="1060" w:hRule="atLeast"/>
        </w:trPr>
        <w:tc>
          <w:tcPr>
            <w:tcW w:w="544" w:type="dxa"/>
          </w:tcPr>
          <w:p>
            <w:pPr>
              <w:pStyle w:val="TableParagraph"/>
              <w:spacing w:before="2"/>
              <w:rPr>
                <w:rFonts w:ascii="黑体"/>
                <w:sz w:val="28"/>
              </w:rPr>
            </w:pPr>
          </w:p>
          <w:p>
            <w:pPr>
              <w:pStyle w:val="TableParagraph"/>
              <w:ind w:left="145" w:right="146"/>
              <w:jc w:val="center"/>
              <w:rPr>
                <w:sz w:val="20"/>
              </w:rPr>
            </w:pPr>
            <w:r>
              <w:rPr>
                <w:sz w:val="20"/>
              </w:rPr>
              <w:t>33</w:t>
            </w:r>
          </w:p>
        </w:tc>
        <w:tc>
          <w:tcPr>
            <w:tcW w:w="2160" w:type="dxa"/>
          </w:tcPr>
          <w:p>
            <w:pPr>
              <w:pStyle w:val="TableParagraph"/>
              <w:spacing w:before="6"/>
              <w:rPr>
                <w:rFonts w:ascii="黑体"/>
                <w:sz w:val="18"/>
              </w:rPr>
            </w:pPr>
          </w:p>
          <w:p>
            <w:pPr>
              <w:pStyle w:val="TableParagraph"/>
              <w:spacing w:line="237" w:lineRule="auto"/>
              <w:ind w:left="674" w:right="156" w:hanging="500"/>
              <w:rPr>
                <w:sz w:val="20"/>
              </w:rPr>
            </w:pPr>
            <w:r>
              <w:rPr>
                <w:sz w:val="20"/>
              </w:rPr>
              <w:t>五通桥区福利院土地扩建项目</w:t>
            </w:r>
          </w:p>
        </w:tc>
        <w:tc>
          <w:tcPr>
            <w:tcW w:w="1260" w:type="dxa"/>
          </w:tcPr>
          <w:p>
            <w:pPr>
              <w:pStyle w:val="TableParagraph"/>
              <w:spacing w:before="2"/>
              <w:rPr>
                <w:rFonts w:ascii="黑体"/>
                <w:sz w:val="28"/>
              </w:rPr>
            </w:pPr>
          </w:p>
          <w:p>
            <w:pPr>
              <w:pStyle w:val="TableParagraph"/>
              <w:ind w:left="154" w:right="154"/>
              <w:jc w:val="center"/>
              <w:rPr>
                <w:sz w:val="20"/>
              </w:rPr>
            </w:pPr>
            <w:r>
              <w:rPr>
                <w:sz w:val="20"/>
              </w:rPr>
              <w:t>2019-2020</w:t>
            </w:r>
          </w:p>
        </w:tc>
        <w:tc>
          <w:tcPr>
            <w:tcW w:w="3534" w:type="dxa"/>
          </w:tcPr>
          <w:p>
            <w:pPr>
              <w:pStyle w:val="TableParagraph"/>
              <w:spacing w:before="6"/>
              <w:rPr>
                <w:rFonts w:ascii="黑体"/>
                <w:sz w:val="18"/>
              </w:rPr>
            </w:pPr>
          </w:p>
          <w:p>
            <w:pPr>
              <w:pStyle w:val="TableParagraph"/>
              <w:spacing w:line="237" w:lineRule="auto"/>
              <w:ind w:left="885" w:right="145" w:hanging="749"/>
              <w:rPr>
                <w:sz w:val="20"/>
              </w:rPr>
            </w:pPr>
            <w:r>
              <w:rPr>
                <w:spacing w:val="-11"/>
                <w:sz w:val="20"/>
              </w:rPr>
              <w:t>建设一幢 </w:t>
            </w:r>
            <w:r>
              <w:rPr>
                <w:sz w:val="20"/>
              </w:rPr>
              <w:t>6</w:t>
            </w:r>
            <w:r>
              <w:rPr>
                <w:spacing w:val="-13"/>
                <w:sz w:val="20"/>
              </w:rPr>
              <w:t> 楼一底电梯公寓，共 </w:t>
            </w:r>
            <w:r>
              <w:rPr>
                <w:sz w:val="20"/>
              </w:rPr>
              <w:t>7000 平方米，308</w:t>
            </w:r>
            <w:r>
              <w:rPr>
                <w:spacing w:val="-15"/>
                <w:sz w:val="20"/>
              </w:rPr>
              <w:t> 个床位</w:t>
            </w:r>
          </w:p>
        </w:tc>
        <w:tc>
          <w:tcPr>
            <w:tcW w:w="1116" w:type="dxa"/>
          </w:tcPr>
          <w:p>
            <w:pPr>
              <w:pStyle w:val="TableParagraph"/>
              <w:spacing w:before="2"/>
              <w:rPr>
                <w:rFonts w:ascii="黑体"/>
                <w:sz w:val="28"/>
              </w:rPr>
            </w:pPr>
          </w:p>
          <w:p>
            <w:pPr>
              <w:pStyle w:val="TableParagraph"/>
              <w:ind w:left="352"/>
              <w:rPr>
                <w:sz w:val="20"/>
              </w:rPr>
            </w:pPr>
            <w:r>
              <w:rPr>
                <w:sz w:val="20"/>
              </w:rPr>
              <w:t>2500</w:t>
            </w:r>
          </w:p>
        </w:tc>
        <w:tc>
          <w:tcPr>
            <w:tcW w:w="1253" w:type="dxa"/>
          </w:tcPr>
          <w:p>
            <w:pPr>
              <w:pStyle w:val="TableParagraph"/>
              <w:spacing w:before="2"/>
              <w:rPr>
                <w:rFonts w:ascii="黑体"/>
                <w:sz w:val="28"/>
              </w:rPr>
            </w:pPr>
          </w:p>
          <w:p>
            <w:pPr>
              <w:pStyle w:val="TableParagraph"/>
              <w:ind w:left="100" w:right="101"/>
              <w:jc w:val="center"/>
              <w:rPr>
                <w:sz w:val="20"/>
              </w:rPr>
            </w:pPr>
            <w:r>
              <w:rPr>
                <w:sz w:val="20"/>
              </w:rPr>
              <w:t>民政局</w:t>
            </w:r>
          </w:p>
        </w:tc>
      </w:tr>
      <w:tr>
        <w:trPr>
          <w:trHeight w:val="1060" w:hRule="atLeast"/>
        </w:trPr>
        <w:tc>
          <w:tcPr>
            <w:tcW w:w="544" w:type="dxa"/>
          </w:tcPr>
          <w:p>
            <w:pPr>
              <w:pStyle w:val="TableParagraph"/>
              <w:spacing w:before="2"/>
              <w:rPr>
                <w:rFonts w:ascii="黑体"/>
                <w:sz w:val="28"/>
              </w:rPr>
            </w:pPr>
          </w:p>
          <w:p>
            <w:pPr>
              <w:pStyle w:val="TableParagraph"/>
              <w:ind w:left="146" w:right="146"/>
              <w:jc w:val="center"/>
              <w:rPr>
                <w:sz w:val="20"/>
              </w:rPr>
            </w:pPr>
            <w:r>
              <w:rPr>
                <w:sz w:val="20"/>
              </w:rPr>
              <w:t>34</w:t>
            </w:r>
          </w:p>
        </w:tc>
        <w:tc>
          <w:tcPr>
            <w:tcW w:w="2160" w:type="dxa"/>
          </w:tcPr>
          <w:p>
            <w:pPr>
              <w:pStyle w:val="TableParagraph"/>
              <w:spacing w:before="2"/>
              <w:rPr>
                <w:rFonts w:ascii="黑体"/>
                <w:sz w:val="28"/>
              </w:rPr>
            </w:pPr>
          </w:p>
          <w:p>
            <w:pPr>
              <w:pStyle w:val="TableParagraph"/>
              <w:ind w:left="573"/>
              <w:rPr>
                <w:sz w:val="20"/>
              </w:rPr>
            </w:pPr>
            <w:r>
              <w:rPr>
                <w:sz w:val="20"/>
              </w:rPr>
              <w:t>冠英养老院</w:t>
            </w:r>
          </w:p>
        </w:tc>
        <w:tc>
          <w:tcPr>
            <w:tcW w:w="1260" w:type="dxa"/>
          </w:tcPr>
          <w:p>
            <w:pPr>
              <w:pStyle w:val="TableParagraph"/>
              <w:spacing w:before="2"/>
              <w:rPr>
                <w:rFonts w:ascii="黑体"/>
                <w:sz w:val="28"/>
              </w:rPr>
            </w:pPr>
          </w:p>
          <w:p>
            <w:pPr>
              <w:pStyle w:val="TableParagraph"/>
              <w:ind w:left="154" w:right="155"/>
              <w:jc w:val="center"/>
              <w:rPr>
                <w:sz w:val="20"/>
              </w:rPr>
            </w:pPr>
            <w:r>
              <w:rPr>
                <w:sz w:val="20"/>
              </w:rPr>
              <w:t>2019-2020</w:t>
            </w:r>
          </w:p>
        </w:tc>
        <w:tc>
          <w:tcPr>
            <w:tcW w:w="3534" w:type="dxa"/>
          </w:tcPr>
          <w:p>
            <w:pPr>
              <w:pStyle w:val="TableParagraph"/>
              <w:spacing w:before="3"/>
              <w:rPr>
                <w:rFonts w:ascii="黑体"/>
                <w:sz w:val="18"/>
              </w:rPr>
            </w:pPr>
          </w:p>
          <w:p>
            <w:pPr>
              <w:pStyle w:val="TableParagraph"/>
              <w:spacing w:line="260" w:lineRule="exact"/>
              <w:ind w:left="84" w:right="2"/>
              <w:jc w:val="center"/>
              <w:rPr>
                <w:sz w:val="20"/>
              </w:rPr>
            </w:pPr>
            <w:r>
              <w:rPr>
                <w:spacing w:val="-18"/>
                <w:sz w:val="20"/>
              </w:rPr>
              <w:t>占地 </w:t>
            </w:r>
            <w:r>
              <w:rPr>
                <w:sz w:val="20"/>
              </w:rPr>
              <w:t>40</w:t>
            </w:r>
            <w:r>
              <w:rPr>
                <w:spacing w:val="-15"/>
                <w:sz w:val="20"/>
              </w:rPr>
              <w:t> 亩，建筑面积 </w:t>
            </w:r>
            <w:r>
              <w:rPr>
                <w:sz w:val="20"/>
              </w:rPr>
              <w:t>1.35</w:t>
            </w:r>
            <w:r>
              <w:rPr>
                <w:spacing w:val="-10"/>
                <w:sz w:val="20"/>
              </w:rPr>
              <w:t> 万平方米，</w:t>
            </w:r>
          </w:p>
          <w:p>
            <w:pPr>
              <w:pStyle w:val="TableParagraph"/>
              <w:spacing w:line="260" w:lineRule="exact"/>
              <w:ind w:left="1" w:right="2"/>
              <w:jc w:val="center"/>
              <w:rPr>
                <w:sz w:val="20"/>
              </w:rPr>
            </w:pPr>
            <w:r>
              <w:rPr>
                <w:sz w:val="20"/>
              </w:rPr>
              <w:t>床位 300 张</w:t>
            </w:r>
          </w:p>
        </w:tc>
        <w:tc>
          <w:tcPr>
            <w:tcW w:w="1116" w:type="dxa"/>
          </w:tcPr>
          <w:p>
            <w:pPr>
              <w:pStyle w:val="TableParagraph"/>
              <w:spacing w:before="2"/>
              <w:rPr>
                <w:rFonts w:ascii="黑体"/>
                <w:sz w:val="28"/>
              </w:rPr>
            </w:pPr>
          </w:p>
          <w:p>
            <w:pPr>
              <w:pStyle w:val="TableParagraph"/>
              <w:ind w:left="352"/>
              <w:rPr>
                <w:sz w:val="20"/>
              </w:rPr>
            </w:pPr>
            <w:r>
              <w:rPr>
                <w:sz w:val="20"/>
              </w:rPr>
              <w:t>1250</w:t>
            </w:r>
          </w:p>
        </w:tc>
        <w:tc>
          <w:tcPr>
            <w:tcW w:w="1253" w:type="dxa"/>
          </w:tcPr>
          <w:p>
            <w:pPr>
              <w:pStyle w:val="TableParagraph"/>
              <w:spacing w:before="2"/>
              <w:rPr>
                <w:rFonts w:ascii="黑体"/>
                <w:sz w:val="28"/>
              </w:rPr>
            </w:pPr>
          </w:p>
          <w:p>
            <w:pPr>
              <w:pStyle w:val="TableParagraph"/>
              <w:ind w:left="100" w:right="101"/>
              <w:jc w:val="center"/>
              <w:rPr>
                <w:sz w:val="20"/>
              </w:rPr>
            </w:pPr>
            <w:r>
              <w:rPr>
                <w:sz w:val="20"/>
              </w:rPr>
              <w:t>民政局</w:t>
            </w:r>
          </w:p>
        </w:tc>
      </w:tr>
      <w:tr>
        <w:trPr>
          <w:trHeight w:val="1060" w:hRule="atLeast"/>
        </w:trPr>
        <w:tc>
          <w:tcPr>
            <w:tcW w:w="544" w:type="dxa"/>
          </w:tcPr>
          <w:p>
            <w:pPr>
              <w:pStyle w:val="TableParagraph"/>
              <w:spacing w:before="2"/>
              <w:rPr>
                <w:rFonts w:ascii="黑体"/>
                <w:sz w:val="28"/>
              </w:rPr>
            </w:pPr>
          </w:p>
          <w:p>
            <w:pPr>
              <w:pStyle w:val="TableParagraph"/>
              <w:ind w:left="145" w:right="146"/>
              <w:jc w:val="center"/>
              <w:rPr>
                <w:sz w:val="20"/>
              </w:rPr>
            </w:pPr>
            <w:r>
              <w:rPr>
                <w:sz w:val="20"/>
              </w:rPr>
              <w:t>35</w:t>
            </w:r>
          </w:p>
        </w:tc>
        <w:tc>
          <w:tcPr>
            <w:tcW w:w="2160" w:type="dxa"/>
          </w:tcPr>
          <w:p>
            <w:pPr>
              <w:pStyle w:val="TableParagraph"/>
              <w:spacing w:before="6"/>
              <w:rPr>
                <w:rFonts w:ascii="黑体"/>
                <w:sz w:val="18"/>
              </w:rPr>
            </w:pPr>
          </w:p>
          <w:p>
            <w:pPr>
              <w:pStyle w:val="TableParagraph"/>
              <w:spacing w:line="237" w:lineRule="auto"/>
              <w:ind w:left="674" w:right="156" w:hanging="500"/>
              <w:rPr>
                <w:sz w:val="20"/>
              </w:rPr>
            </w:pPr>
            <w:r>
              <w:rPr>
                <w:sz w:val="20"/>
              </w:rPr>
              <w:t>乐山市五通桥区金山人民法庭</w:t>
            </w:r>
          </w:p>
        </w:tc>
        <w:tc>
          <w:tcPr>
            <w:tcW w:w="1260" w:type="dxa"/>
          </w:tcPr>
          <w:p>
            <w:pPr>
              <w:pStyle w:val="TableParagraph"/>
              <w:spacing w:before="2"/>
              <w:rPr>
                <w:rFonts w:ascii="黑体"/>
                <w:sz w:val="28"/>
              </w:rPr>
            </w:pPr>
          </w:p>
          <w:p>
            <w:pPr>
              <w:pStyle w:val="TableParagraph"/>
              <w:ind w:left="154" w:right="154"/>
              <w:jc w:val="center"/>
              <w:rPr>
                <w:sz w:val="20"/>
              </w:rPr>
            </w:pPr>
            <w:r>
              <w:rPr>
                <w:sz w:val="20"/>
              </w:rPr>
              <w:t>2016-2017</w:t>
            </w:r>
          </w:p>
        </w:tc>
        <w:tc>
          <w:tcPr>
            <w:tcW w:w="3534" w:type="dxa"/>
          </w:tcPr>
          <w:p>
            <w:pPr>
              <w:pStyle w:val="TableParagraph"/>
              <w:spacing w:before="2"/>
              <w:rPr>
                <w:rFonts w:ascii="黑体"/>
                <w:sz w:val="28"/>
              </w:rPr>
            </w:pPr>
          </w:p>
          <w:p>
            <w:pPr>
              <w:pStyle w:val="TableParagraph"/>
              <w:ind w:left="2" w:right="2"/>
              <w:jc w:val="center"/>
              <w:rPr>
                <w:sz w:val="20"/>
              </w:rPr>
            </w:pPr>
            <w:r>
              <w:rPr>
                <w:sz w:val="20"/>
              </w:rPr>
              <w:t>新建金山法庭</w:t>
            </w:r>
          </w:p>
        </w:tc>
        <w:tc>
          <w:tcPr>
            <w:tcW w:w="1116" w:type="dxa"/>
          </w:tcPr>
          <w:p>
            <w:pPr>
              <w:pStyle w:val="TableParagraph"/>
              <w:spacing w:before="2"/>
              <w:rPr>
                <w:rFonts w:ascii="黑体"/>
                <w:sz w:val="28"/>
              </w:rPr>
            </w:pPr>
          </w:p>
          <w:p>
            <w:pPr>
              <w:pStyle w:val="TableParagraph"/>
              <w:ind w:left="402"/>
              <w:rPr>
                <w:sz w:val="20"/>
              </w:rPr>
            </w:pPr>
            <w:r>
              <w:rPr>
                <w:sz w:val="20"/>
              </w:rPr>
              <w:t>500</w:t>
            </w:r>
          </w:p>
        </w:tc>
        <w:tc>
          <w:tcPr>
            <w:tcW w:w="1253" w:type="dxa"/>
          </w:tcPr>
          <w:p>
            <w:pPr>
              <w:pStyle w:val="TableParagraph"/>
              <w:spacing w:before="2"/>
              <w:rPr>
                <w:rFonts w:ascii="黑体"/>
                <w:sz w:val="28"/>
              </w:rPr>
            </w:pPr>
          </w:p>
          <w:p>
            <w:pPr>
              <w:pStyle w:val="TableParagraph"/>
              <w:ind w:left="101" w:right="101"/>
              <w:jc w:val="center"/>
              <w:rPr>
                <w:sz w:val="20"/>
              </w:rPr>
            </w:pPr>
            <w:r>
              <w:rPr>
                <w:sz w:val="20"/>
              </w:rPr>
              <w:t>区法院</w:t>
            </w:r>
          </w:p>
        </w:tc>
      </w:tr>
      <w:tr>
        <w:trPr>
          <w:trHeight w:val="1920" w:hRule="atLeast"/>
        </w:trPr>
        <w:tc>
          <w:tcPr>
            <w:tcW w:w="544" w:type="dxa"/>
          </w:tcPr>
          <w:p>
            <w:pPr>
              <w:pStyle w:val="TableParagraph"/>
              <w:rPr>
                <w:rFonts w:ascii="黑体"/>
                <w:sz w:val="20"/>
              </w:rPr>
            </w:pPr>
          </w:p>
          <w:p>
            <w:pPr>
              <w:pStyle w:val="TableParagraph"/>
              <w:rPr>
                <w:rFonts w:ascii="黑体"/>
                <w:sz w:val="20"/>
              </w:rPr>
            </w:pPr>
          </w:p>
          <w:p>
            <w:pPr>
              <w:pStyle w:val="TableParagraph"/>
              <w:spacing w:before="1"/>
              <w:rPr>
                <w:rFonts w:ascii="黑体"/>
                <w:sz w:val="21"/>
              </w:rPr>
            </w:pPr>
          </w:p>
          <w:p>
            <w:pPr>
              <w:pStyle w:val="TableParagraph"/>
              <w:ind w:left="145" w:right="146"/>
              <w:jc w:val="center"/>
              <w:rPr>
                <w:sz w:val="20"/>
              </w:rPr>
            </w:pPr>
            <w:r>
              <w:rPr>
                <w:sz w:val="20"/>
              </w:rPr>
              <w:t>36</w:t>
            </w:r>
          </w:p>
        </w:tc>
        <w:tc>
          <w:tcPr>
            <w:tcW w:w="2160" w:type="dxa"/>
          </w:tcPr>
          <w:p>
            <w:pPr>
              <w:pStyle w:val="TableParagraph"/>
              <w:rPr>
                <w:rFonts w:ascii="黑体"/>
                <w:sz w:val="20"/>
              </w:rPr>
            </w:pPr>
          </w:p>
          <w:p>
            <w:pPr>
              <w:pStyle w:val="TableParagraph"/>
              <w:rPr>
                <w:rFonts w:ascii="黑体"/>
                <w:sz w:val="20"/>
              </w:rPr>
            </w:pPr>
          </w:p>
          <w:p>
            <w:pPr>
              <w:pStyle w:val="TableParagraph"/>
              <w:spacing w:line="237" w:lineRule="auto" w:before="149"/>
              <w:ind w:left="274" w:right="156" w:hanging="100"/>
              <w:rPr>
                <w:sz w:val="20"/>
              </w:rPr>
            </w:pPr>
            <w:r>
              <w:rPr>
                <w:sz w:val="20"/>
              </w:rPr>
              <w:t>五通桥区妇幼保健院门诊、住院综合楼</w:t>
            </w:r>
          </w:p>
        </w:tc>
        <w:tc>
          <w:tcPr>
            <w:tcW w:w="1260" w:type="dxa"/>
          </w:tcPr>
          <w:p>
            <w:pPr>
              <w:pStyle w:val="TableParagraph"/>
              <w:rPr>
                <w:rFonts w:ascii="黑体"/>
                <w:sz w:val="20"/>
              </w:rPr>
            </w:pPr>
          </w:p>
          <w:p>
            <w:pPr>
              <w:pStyle w:val="TableParagraph"/>
              <w:rPr>
                <w:rFonts w:ascii="黑体"/>
                <w:sz w:val="20"/>
              </w:rPr>
            </w:pPr>
          </w:p>
          <w:p>
            <w:pPr>
              <w:pStyle w:val="TableParagraph"/>
              <w:spacing w:before="1"/>
              <w:rPr>
                <w:rFonts w:ascii="黑体"/>
                <w:sz w:val="21"/>
              </w:rPr>
            </w:pPr>
          </w:p>
          <w:p>
            <w:pPr>
              <w:pStyle w:val="TableParagraph"/>
              <w:ind w:left="154" w:right="155"/>
              <w:jc w:val="center"/>
              <w:rPr>
                <w:sz w:val="20"/>
              </w:rPr>
            </w:pPr>
            <w:r>
              <w:rPr>
                <w:sz w:val="20"/>
              </w:rPr>
              <w:t>2019</w:t>
            </w:r>
          </w:p>
        </w:tc>
        <w:tc>
          <w:tcPr>
            <w:tcW w:w="3534" w:type="dxa"/>
          </w:tcPr>
          <w:p>
            <w:pPr>
              <w:pStyle w:val="TableParagraph"/>
              <w:spacing w:before="7"/>
              <w:rPr>
                <w:rFonts w:ascii="黑体"/>
                <w:sz w:val="21"/>
              </w:rPr>
            </w:pPr>
          </w:p>
          <w:p>
            <w:pPr>
              <w:pStyle w:val="TableParagraph"/>
              <w:spacing w:line="237" w:lineRule="auto"/>
              <w:ind w:left="103" w:right="-18" w:firstLine="8"/>
              <w:rPr>
                <w:sz w:val="20"/>
              </w:rPr>
            </w:pPr>
            <w:r>
              <w:rPr>
                <w:spacing w:val="-7"/>
                <w:sz w:val="20"/>
              </w:rPr>
              <w:t>修建总建设面积 </w:t>
            </w:r>
            <w:r>
              <w:rPr>
                <w:sz w:val="20"/>
              </w:rPr>
              <w:t>2160</w:t>
            </w:r>
            <w:r>
              <w:rPr>
                <w:spacing w:val="-8"/>
                <w:sz w:val="20"/>
              </w:rPr>
              <w:t> 平方米门诊、住</w:t>
            </w:r>
            <w:r>
              <w:rPr>
                <w:spacing w:val="-12"/>
                <w:sz w:val="20"/>
              </w:rPr>
              <w:t>院综合楼，完善妇女保健科、儿童保健科、妇产科、儿科等一级科室 </w:t>
            </w:r>
            <w:r>
              <w:rPr>
                <w:sz w:val="20"/>
              </w:rPr>
              <w:t>8</w:t>
            </w:r>
            <w:r>
              <w:rPr>
                <w:spacing w:val="-21"/>
                <w:sz w:val="20"/>
              </w:rPr>
              <w:t> 个，完善设置二级专业科室和医技其他业务 </w:t>
            </w:r>
            <w:r>
              <w:rPr>
                <w:spacing w:val="-15"/>
                <w:sz w:val="20"/>
              </w:rPr>
              <w:t>科室，改善手术室、产房及消毒供应室。</w:t>
            </w:r>
          </w:p>
        </w:tc>
        <w:tc>
          <w:tcPr>
            <w:tcW w:w="1116" w:type="dxa"/>
          </w:tcPr>
          <w:p>
            <w:pPr>
              <w:pStyle w:val="TableParagraph"/>
              <w:rPr>
                <w:rFonts w:ascii="黑体"/>
                <w:sz w:val="20"/>
              </w:rPr>
            </w:pPr>
          </w:p>
          <w:p>
            <w:pPr>
              <w:pStyle w:val="TableParagraph"/>
              <w:rPr>
                <w:rFonts w:ascii="黑体"/>
                <w:sz w:val="20"/>
              </w:rPr>
            </w:pPr>
          </w:p>
          <w:p>
            <w:pPr>
              <w:pStyle w:val="TableParagraph"/>
              <w:spacing w:before="1"/>
              <w:rPr>
                <w:rFonts w:ascii="黑体"/>
                <w:sz w:val="21"/>
              </w:rPr>
            </w:pPr>
          </w:p>
          <w:p>
            <w:pPr>
              <w:pStyle w:val="TableParagraph"/>
              <w:ind w:left="401"/>
              <w:rPr>
                <w:sz w:val="20"/>
              </w:rPr>
            </w:pPr>
            <w:r>
              <w:rPr>
                <w:sz w:val="20"/>
              </w:rPr>
              <w:t>756</w:t>
            </w:r>
          </w:p>
        </w:tc>
        <w:tc>
          <w:tcPr>
            <w:tcW w:w="1253" w:type="dxa"/>
          </w:tcPr>
          <w:p>
            <w:pPr>
              <w:pStyle w:val="TableParagraph"/>
              <w:rPr>
                <w:rFonts w:ascii="黑体"/>
                <w:sz w:val="20"/>
              </w:rPr>
            </w:pPr>
          </w:p>
          <w:p>
            <w:pPr>
              <w:pStyle w:val="TableParagraph"/>
              <w:rPr>
                <w:rFonts w:ascii="黑体"/>
                <w:sz w:val="20"/>
              </w:rPr>
            </w:pPr>
          </w:p>
          <w:p>
            <w:pPr>
              <w:pStyle w:val="TableParagraph"/>
              <w:spacing w:before="1"/>
              <w:rPr>
                <w:rFonts w:ascii="黑体"/>
                <w:sz w:val="21"/>
              </w:rPr>
            </w:pPr>
          </w:p>
          <w:p>
            <w:pPr>
              <w:pStyle w:val="TableParagraph"/>
              <w:ind w:left="101" w:right="101"/>
              <w:jc w:val="center"/>
              <w:rPr>
                <w:sz w:val="20"/>
              </w:rPr>
            </w:pPr>
            <w:r>
              <w:rPr>
                <w:sz w:val="20"/>
              </w:rPr>
              <w:t>卫计局</w:t>
            </w:r>
          </w:p>
        </w:tc>
      </w:tr>
    </w:tbl>
    <w:p>
      <w:pPr>
        <w:spacing w:after="0"/>
        <w:jc w:val="center"/>
        <w:rPr>
          <w:sz w:val="20"/>
        </w:rPr>
        <w:sectPr>
          <w:pgSz w:w="11910" w:h="16840"/>
          <w:pgMar w:header="0" w:footer="938" w:top="1440" w:bottom="1120" w:left="880" w:right="940"/>
        </w:sectPr>
      </w:pPr>
    </w:p>
    <w:tbl>
      <w:tblPr>
        <w:tblW w:w="0" w:type="auto"/>
        <w:jc w:val="left"/>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44"/>
        <w:gridCol w:w="2160"/>
        <w:gridCol w:w="1260"/>
        <w:gridCol w:w="3534"/>
        <w:gridCol w:w="1116"/>
        <w:gridCol w:w="1253"/>
      </w:tblGrid>
      <w:tr>
        <w:trPr>
          <w:trHeight w:val="1060" w:hRule="atLeast"/>
        </w:trPr>
        <w:tc>
          <w:tcPr>
            <w:tcW w:w="544" w:type="dxa"/>
          </w:tcPr>
          <w:p>
            <w:pPr>
              <w:pStyle w:val="TableParagraph"/>
              <w:spacing w:before="2"/>
              <w:rPr>
                <w:rFonts w:ascii="黑体"/>
                <w:sz w:val="28"/>
              </w:rPr>
            </w:pPr>
          </w:p>
          <w:p>
            <w:pPr>
              <w:pStyle w:val="TableParagraph"/>
              <w:ind w:left="145" w:right="146"/>
              <w:jc w:val="center"/>
              <w:rPr>
                <w:sz w:val="20"/>
              </w:rPr>
            </w:pPr>
            <w:r>
              <w:rPr>
                <w:sz w:val="20"/>
              </w:rPr>
              <w:t>37</w:t>
            </w:r>
          </w:p>
        </w:tc>
        <w:tc>
          <w:tcPr>
            <w:tcW w:w="2160" w:type="dxa"/>
          </w:tcPr>
          <w:p>
            <w:pPr>
              <w:pStyle w:val="TableParagraph"/>
              <w:spacing w:before="6"/>
              <w:rPr>
                <w:rFonts w:ascii="黑体"/>
                <w:sz w:val="18"/>
              </w:rPr>
            </w:pPr>
          </w:p>
          <w:p>
            <w:pPr>
              <w:pStyle w:val="TableParagraph"/>
              <w:spacing w:line="237" w:lineRule="auto"/>
              <w:ind w:left="374" w:right="156" w:hanging="200"/>
              <w:rPr>
                <w:sz w:val="20"/>
              </w:rPr>
            </w:pPr>
            <w:r>
              <w:rPr>
                <w:sz w:val="20"/>
              </w:rPr>
              <w:t>竹根社区卫生服务中心整体搬迁项目</w:t>
            </w:r>
          </w:p>
        </w:tc>
        <w:tc>
          <w:tcPr>
            <w:tcW w:w="1260" w:type="dxa"/>
          </w:tcPr>
          <w:p>
            <w:pPr>
              <w:pStyle w:val="TableParagraph"/>
              <w:spacing w:before="2"/>
              <w:rPr>
                <w:rFonts w:ascii="黑体"/>
                <w:sz w:val="28"/>
              </w:rPr>
            </w:pPr>
          </w:p>
          <w:p>
            <w:pPr>
              <w:pStyle w:val="TableParagraph"/>
              <w:ind w:left="154" w:right="155"/>
              <w:jc w:val="center"/>
              <w:rPr>
                <w:sz w:val="20"/>
              </w:rPr>
            </w:pPr>
            <w:r>
              <w:rPr>
                <w:sz w:val="20"/>
              </w:rPr>
              <w:t>2019</w:t>
            </w:r>
          </w:p>
        </w:tc>
        <w:tc>
          <w:tcPr>
            <w:tcW w:w="3534" w:type="dxa"/>
          </w:tcPr>
          <w:p>
            <w:pPr>
              <w:pStyle w:val="TableParagraph"/>
              <w:spacing w:line="237" w:lineRule="auto" w:before="112"/>
              <w:ind w:left="3" w:right="2"/>
              <w:jc w:val="center"/>
              <w:rPr>
                <w:sz w:val="20"/>
              </w:rPr>
            </w:pPr>
            <w:r>
              <w:rPr>
                <w:sz w:val="20"/>
              </w:rPr>
              <w:t>新建标准化社区卫生服务中心，开设基本公共卫生服务、基本医疗，建设面积</w:t>
            </w:r>
          </w:p>
          <w:p>
            <w:pPr>
              <w:pStyle w:val="TableParagraph"/>
              <w:spacing w:line="259" w:lineRule="exact"/>
              <w:ind w:left="2" w:right="2"/>
              <w:jc w:val="center"/>
              <w:rPr>
                <w:sz w:val="20"/>
              </w:rPr>
            </w:pPr>
            <w:r>
              <w:rPr>
                <w:sz w:val="20"/>
              </w:rPr>
              <w:t>3590 平方米。</w:t>
            </w:r>
          </w:p>
        </w:tc>
        <w:tc>
          <w:tcPr>
            <w:tcW w:w="1116" w:type="dxa"/>
          </w:tcPr>
          <w:p>
            <w:pPr>
              <w:pStyle w:val="TableParagraph"/>
              <w:spacing w:before="2"/>
              <w:rPr>
                <w:rFonts w:ascii="黑体"/>
                <w:sz w:val="28"/>
              </w:rPr>
            </w:pPr>
          </w:p>
          <w:p>
            <w:pPr>
              <w:pStyle w:val="TableParagraph"/>
              <w:ind w:left="182" w:right="183"/>
              <w:jc w:val="center"/>
              <w:rPr>
                <w:sz w:val="20"/>
              </w:rPr>
            </w:pPr>
            <w:r>
              <w:rPr>
                <w:sz w:val="20"/>
              </w:rPr>
              <w:t>718</w:t>
            </w:r>
          </w:p>
        </w:tc>
        <w:tc>
          <w:tcPr>
            <w:tcW w:w="1253" w:type="dxa"/>
          </w:tcPr>
          <w:p>
            <w:pPr>
              <w:pStyle w:val="TableParagraph"/>
              <w:spacing w:before="2"/>
              <w:rPr>
                <w:rFonts w:ascii="黑体"/>
                <w:sz w:val="28"/>
              </w:rPr>
            </w:pPr>
          </w:p>
          <w:p>
            <w:pPr>
              <w:pStyle w:val="TableParagraph"/>
              <w:ind w:left="101" w:right="101"/>
              <w:jc w:val="center"/>
              <w:rPr>
                <w:sz w:val="20"/>
              </w:rPr>
            </w:pPr>
            <w:r>
              <w:rPr>
                <w:sz w:val="20"/>
              </w:rPr>
              <w:t>卫计局</w:t>
            </w:r>
          </w:p>
        </w:tc>
      </w:tr>
      <w:tr>
        <w:trPr>
          <w:trHeight w:val="1060" w:hRule="atLeast"/>
        </w:trPr>
        <w:tc>
          <w:tcPr>
            <w:tcW w:w="544" w:type="dxa"/>
          </w:tcPr>
          <w:p>
            <w:pPr>
              <w:pStyle w:val="TableParagraph"/>
              <w:spacing w:before="2"/>
              <w:rPr>
                <w:rFonts w:ascii="黑体"/>
                <w:sz w:val="28"/>
              </w:rPr>
            </w:pPr>
          </w:p>
          <w:p>
            <w:pPr>
              <w:pStyle w:val="TableParagraph"/>
              <w:ind w:left="146" w:right="146"/>
              <w:jc w:val="center"/>
              <w:rPr>
                <w:sz w:val="20"/>
              </w:rPr>
            </w:pPr>
            <w:r>
              <w:rPr>
                <w:sz w:val="20"/>
              </w:rPr>
              <w:t>38</w:t>
            </w:r>
          </w:p>
        </w:tc>
        <w:tc>
          <w:tcPr>
            <w:tcW w:w="2160" w:type="dxa"/>
          </w:tcPr>
          <w:p>
            <w:pPr>
              <w:pStyle w:val="TableParagraph"/>
              <w:spacing w:before="2"/>
              <w:rPr>
                <w:rFonts w:ascii="黑体"/>
                <w:sz w:val="28"/>
              </w:rPr>
            </w:pPr>
          </w:p>
          <w:p>
            <w:pPr>
              <w:pStyle w:val="TableParagraph"/>
              <w:ind w:left="473"/>
              <w:rPr>
                <w:sz w:val="20"/>
              </w:rPr>
            </w:pPr>
            <w:r>
              <w:rPr>
                <w:sz w:val="20"/>
              </w:rPr>
              <w:t>中心医院 2 号</w:t>
            </w:r>
          </w:p>
        </w:tc>
        <w:tc>
          <w:tcPr>
            <w:tcW w:w="1260" w:type="dxa"/>
          </w:tcPr>
          <w:p>
            <w:pPr>
              <w:pStyle w:val="TableParagraph"/>
              <w:spacing w:before="2"/>
              <w:rPr>
                <w:rFonts w:ascii="黑体"/>
                <w:sz w:val="28"/>
              </w:rPr>
            </w:pPr>
          </w:p>
          <w:p>
            <w:pPr>
              <w:pStyle w:val="TableParagraph"/>
              <w:ind w:right="173"/>
              <w:jc w:val="right"/>
              <w:rPr>
                <w:sz w:val="20"/>
              </w:rPr>
            </w:pPr>
            <w:r>
              <w:rPr>
                <w:sz w:val="20"/>
              </w:rPr>
              <w:t>2019-2021</w:t>
            </w:r>
          </w:p>
        </w:tc>
        <w:tc>
          <w:tcPr>
            <w:tcW w:w="3534" w:type="dxa"/>
          </w:tcPr>
          <w:p>
            <w:pPr>
              <w:pStyle w:val="TableParagraph"/>
              <w:spacing w:before="2"/>
              <w:rPr>
                <w:rFonts w:ascii="黑体"/>
                <w:sz w:val="28"/>
              </w:rPr>
            </w:pPr>
          </w:p>
          <w:p>
            <w:pPr>
              <w:pStyle w:val="TableParagraph"/>
              <w:jc w:val="center"/>
              <w:rPr>
                <w:sz w:val="20"/>
              </w:rPr>
            </w:pPr>
            <w:r>
              <w:rPr>
                <w:sz w:val="20"/>
              </w:rPr>
              <w:t>建筑面积 4.3 万平方米，占地 86.2 亩</w:t>
            </w:r>
          </w:p>
        </w:tc>
        <w:tc>
          <w:tcPr>
            <w:tcW w:w="1116" w:type="dxa"/>
          </w:tcPr>
          <w:p>
            <w:pPr>
              <w:pStyle w:val="TableParagraph"/>
              <w:spacing w:before="2"/>
              <w:rPr>
                <w:rFonts w:ascii="黑体"/>
                <w:sz w:val="28"/>
              </w:rPr>
            </w:pPr>
          </w:p>
          <w:p>
            <w:pPr>
              <w:pStyle w:val="TableParagraph"/>
              <w:ind w:left="183" w:right="182"/>
              <w:jc w:val="center"/>
              <w:rPr>
                <w:sz w:val="20"/>
              </w:rPr>
            </w:pPr>
            <w:r>
              <w:rPr>
                <w:sz w:val="20"/>
              </w:rPr>
              <w:t>40000</w:t>
            </w:r>
          </w:p>
        </w:tc>
        <w:tc>
          <w:tcPr>
            <w:tcW w:w="1253" w:type="dxa"/>
          </w:tcPr>
          <w:p>
            <w:pPr>
              <w:pStyle w:val="TableParagraph"/>
              <w:spacing w:line="237" w:lineRule="auto" w:before="112"/>
              <w:ind w:left="121" w:right="118" w:firstLine="50"/>
              <w:jc w:val="both"/>
              <w:rPr>
                <w:sz w:val="20"/>
              </w:rPr>
            </w:pPr>
            <w:r>
              <w:rPr>
                <w:sz w:val="20"/>
              </w:rPr>
              <w:t>卫计局/乐山三江临港经济开发区</w:t>
            </w:r>
          </w:p>
        </w:tc>
      </w:tr>
      <w:tr>
        <w:trPr>
          <w:trHeight w:val="1600" w:hRule="atLeast"/>
        </w:trPr>
        <w:tc>
          <w:tcPr>
            <w:tcW w:w="544" w:type="dxa"/>
          </w:tcPr>
          <w:p>
            <w:pPr>
              <w:pStyle w:val="TableParagraph"/>
              <w:rPr>
                <w:rFonts w:ascii="黑体"/>
                <w:sz w:val="20"/>
              </w:rPr>
            </w:pPr>
          </w:p>
          <w:p>
            <w:pPr>
              <w:pStyle w:val="TableParagraph"/>
              <w:rPr>
                <w:rFonts w:ascii="黑体"/>
                <w:sz w:val="29"/>
              </w:rPr>
            </w:pPr>
          </w:p>
          <w:p>
            <w:pPr>
              <w:pStyle w:val="TableParagraph"/>
              <w:spacing w:before="1"/>
              <w:ind w:left="145" w:right="146"/>
              <w:jc w:val="center"/>
              <w:rPr>
                <w:sz w:val="20"/>
              </w:rPr>
            </w:pPr>
            <w:r>
              <w:rPr>
                <w:sz w:val="20"/>
              </w:rPr>
              <w:t>39</w:t>
            </w:r>
          </w:p>
        </w:tc>
        <w:tc>
          <w:tcPr>
            <w:tcW w:w="2160" w:type="dxa"/>
          </w:tcPr>
          <w:p>
            <w:pPr>
              <w:pStyle w:val="TableParagraph"/>
              <w:rPr>
                <w:rFonts w:ascii="黑体"/>
                <w:sz w:val="20"/>
              </w:rPr>
            </w:pPr>
          </w:p>
          <w:p>
            <w:pPr>
              <w:pStyle w:val="TableParagraph"/>
              <w:spacing w:before="4"/>
              <w:rPr>
                <w:rFonts w:ascii="黑体"/>
                <w:sz w:val="19"/>
              </w:rPr>
            </w:pPr>
          </w:p>
          <w:p>
            <w:pPr>
              <w:pStyle w:val="TableParagraph"/>
              <w:spacing w:line="237" w:lineRule="auto" w:before="1"/>
              <w:ind w:left="574" w:right="156" w:hanging="400"/>
              <w:rPr>
                <w:sz w:val="20"/>
              </w:rPr>
            </w:pPr>
            <w:r>
              <w:rPr>
                <w:sz w:val="20"/>
              </w:rPr>
              <w:t>五通桥区中医医院整体迁建工程</w:t>
            </w:r>
          </w:p>
        </w:tc>
        <w:tc>
          <w:tcPr>
            <w:tcW w:w="1260" w:type="dxa"/>
          </w:tcPr>
          <w:p>
            <w:pPr>
              <w:pStyle w:val="TableParagraph"/>
              <w:rPr>
                <w:rFonts w:ascii="黑体"/>
                <w:sz w:val="20"/>
              </w:rPr>
            </w:pPr>
          </w:p>
          <w:p>
            <w:pPr>
              <w:pStyle w:val="TableParagraph"/>
              <w:rPr>
                <w:rFonts w:ascii="黑体"/>
                <w:sz w:val="29"/>
              </w:rPr>
            </w:pPr>
          </w:p>
          <w:p>
            <w:pPr>
              <w:pStyle w:val="TableParagraph"/>
              <w:spacing w:before="1"/>
              <w:ind w:right="174"/>
              <w:jc w:val="right"/>
              <w:rPr>
                <w:sz w:val="20"/>
              </w:rPr>
            </w:pPr>
            <w:r>
              <w:rPr>
                <w:sz w:val="20"/>
              </w:rPr>
              <w:t>2014-2017</w:t>
            </w:r>
          </w:p>
        </w:tc>
        <w:tc>
          <w:tcPr>
            <w:tcW w:w="3534" w:type="dxa"/>
          </w:tcPr>
          <w:p>
            <w:pPr>
              <w:pStyle w:val="TableParagraph"/>
              <w:spacing w:line="260" w:lineRule="exact" w:before="124"/>
              <w:ind w:right="1"/>
              <w:jc w:val="center"/>
              <w:rPr>
                <w:sz w:val="20"/>
              </w:rPr>
            </w:pPr>
            <w:r>
              <w:rPr>
                <w:sz w:val="20"/>
              </w:rPr>
              <w:t>新建门诊楼 10000 平方米；住院综合楼</w:t>
            </w:r>
          </w:p>
          <w:p>
            <w:pPr>
              <w:pStyle w:val="TableParagraph"/>
              <w:spacing w:line="259" w:lineRule="exact"/>
              <w:ind w:left="2" w:right="2"/>
              <w:jc w:val="center"/>
              <w:rPr>
                <w:sz w:val="20"/>
              </w:rPr>
            </w:pPr>
            <w:r>
              <w:rPr>
                <w:sz w:val="20"/>
              </w:rPr>
              <w:t>15500 平方米装饰装修工程，职工周转</w:t>
            </w:r>
          </w:p>
          <w:p>
            <w:pPr>
              <w:pStyle w:val="TableParagraph"/>
              <w:spacing w:line="237" w:lineRule="auto" w:before="1"/>
              <w:ind w:left="102" w:right="101" w:hanging="1"/>
              <w:jc w:val="center"/>
              <w:rPr>
                <w:sz w:val="20"/>
              </w:rPr>
            </w:pPr>
            <w:r>
              <w:rPr>
                <w:spacing w:val="-27"/>
                <w:sz w:val="20"/>
              </w:rPr>
              <w:t>房 </w:t>
            </w:r>
            <w:r>
              <w:rPr>
                <w:sz w:val="20"/>
              </w:rPr>
              <w:t>500</w:t>
            </w:r>
            <w:r>
              <w:rPr>
                <w:spacing w:val="-13"/>
                <w:sz w:val="20"/>
              </w:rPr>
              <w:t> 平方米，购置医疗设备，院外周</w:t>
            </w:r>
            <w:r>
              <w:rPr>
                <w:spacing w:val="-10"/>
                <w:sz w:val="20"/>
              </w:rPr>
              <w:t>边环境改造，以及新建污水处理池和供电系统等</w:t>
            </w:r>
          </w:p>
        </w:tc>
        <w:tc>
          <w:tcPr>
            <w:tcW w:w="1116" w:type="dxa"/>
          </w:tcPr>
          <w:p>
            <w:pPr>
              <w:pStyle w:val="TableParagraph"/>
              <w:rPr>
                <w:rFonts w:ascii="黑体"/>
                <w:sz w:val="20"/>
              </w:rPr>
            </w:pPr>
          </w:p>
          <w:p>
            <w:pPr>
              <w:pStyle w:val="TableParagraph"/>
              <w:rPr>
                <w:rFonts w:ascii="黑体"/>
                <w:sz w:val="29"/>
              </w:rPr>
            </w:pPr>
          </w:p>
          <w:p>
            <w:pPr>
              <w:pStyle w:val="TableParagraph"/>
              <w:spacing w:before="1"/>
              <w:ind w:left="183" w:right="183"/>
              <w:jc w:val="center"/>
              <w:rPr>
                <w:sz w:val="20"/>
              </w:rPr>
            </w:pPr>
            <w:r>
              <w:rPr>
                <w:sz w:val="20"/>
              </w:rPr>
              <w:t>11500</w:t>
            </w:r>
          </w:p>
        </w:tc>
        <w:tc>
          <w:tcPr>
            <w:tcW w:w="1253" w:type="dxa"/>
          </w:tcPr>
          <w:p>
            <w:pPr>
              <w:pStyle w:val="TableParagraph"/>
              <w:rPr>
                <w:rFonts w:ascii="黑体"/>
                <w:sz w:val="20"/>
              </w:rPr>
            </w:pPr>
          </w:p>
          <w:p>
            <w:pPr>
              <w:pStyle w:val="TableParagraph"/>
              <w:rPr>
                <w:rFonts w:ascii="黑体"/>
                <w:sz w:val="29"/>
              </w:rPr>
            </w:pPr>
          </w:p>
          <w:p>
            <w:pPr>
              <w:pStyle w:val="TableParagraph"/>
              <w:spacing w:before="1"/>
              <w:ind w:left="101" w:right="101"/>
              <w:jc w:val="center"/>
              <w:rPr>
                <w:sz w:val="20"/>
              </w:rPr>
            </w:pPr>
            <w:r>
              <w:rPr>
                <w:sz w:val="20"/>
              </w:rPr>
              <w:t>卫计局</w:t>
            </w:r>
          </w:p>
        </w:tc>
      </w:tr>
      <w:tr>
        <w:trPr>
          <w:trHeight w:val="1060" w:hRule="atLeast"/>
        </w:trPr>
        <w:tc>
          <w:tcPr>
            <w:tcW w:w="544" w:type="dxa"/>
          </w:tcPr>
          <w:p>
            <w:pPr>
              <w:pStyle w:val="TableParagraph"/>
              <w:spacing w:before="2"/>
              <w:rPr>
                <w:rFonts w:ascii="黑体"/>
                <w:sz w:val="28"/>
              </w:rPr>
            </w:pPr>
          </w:p>
          <w:p>
            <w:pPr>
              <w:pStyle w:val="TableParagraph"/>
              <w:ind w:left="145" w:right="146"/>
              <w:jc w:val="center"/>
              <w:rPr>
                <w:sz w:val="20"/>
              </w:rPr>
            </w:pPr>
            <w:r>
              <w:rPr>
                <w:sz w:val="20"/>
              </w:rPr>
              <w:t>40</w:t>
            </w:r>
          </w:p>
        </w:tc>
        <w:tc>
          <w:tcPr>
            <w:tcW w:w="2160" w:type="dxa"/>
          </w:tcPr>
          <w:p>
            <w:pPr>
              <w:pStyle w:val="TableParagraph"/>
              <w:spacing w:before="6"/>
              <w:rPr>
                <w:rFonts w:ascii="黑体"/>
                <w:sz w:val="18"/>
              </w:rPr>
            </w:pPr>
          </w:p>
          <w:p>
            <w:pPr>
              <w:pStyle w:val="TableParagraph"/>
              <w:spacing w:line="237" w:lineRule="auto"/>
              <w:ind w:left="674" w:right="156" w:hanging="500"/>
              <w:rPr>
                <w:sz w:val="20"/>
              </w:rPr>
            </w:pPr>
            <w:r>
              <w:rPr>
                <w:sz w:val="20"/>
              </w:rPr>
              <w:t>五通桥区精神病医院业务用房</w:t>
            </w:r>
          </w:p>
        </w:tc>
        <w:tc>
          <w:tcPr>
            <w:tcW w:w="1260" w:type="dxa"/>
          </w:tcPr>
          <w:p>
            <w:pPr>
              <w:pStyle w:val="TableParagraph"/>
              <w:spacing w:before="2"/>
              <w:rPr>
                <w:rFonts w:ascii="黑体"/>
                <w:sz w:val="28"/>
              </w:rPr>
            </w:pPr>
          </w:p>
          <w:p>
            <w:pPr>
              <w:pStyle w:val="TableParagraph"/>
              <w:ind w:right="174"/>
              <w:jc w:val="right"/>
              <w:rPr>
                <w:sz w:val="20"/>
              </w:rPr>
            </w:pPr>
            <w:r>
              <w:rPr>
                <w:sz w:val="20"/>
              </w:rPr>
              <w:t>2019-2020</w:t>
            </w:r>
          </w:p>
        </w:tc>
        <w:tc>
          <w:tcPr>
            <w:tcW w:w="3534" w:type="dxa"/>
          </w:tcPr>
          <w:p>
            <w:pPr>
              <w:pStyle w:val="TableParagraph"/>
              <w:spacing w:before="2"/>
              <w:rPr>
                <w:rFonts w:ascii="黑体"/>
                <w:sz w:val="28"/>
              </w:rPr>
            </w:pPr>
          </w:p>
          <w:p>
            <w:pPr>
              <w:pStyle w:val="TableParagraph"/>
              <w:ind w:left="2" w:right="2"/>
              <w:jc w:val="center"/>
              <w:rPr>
                <w:sz w:val="20"/>
              </w:rPr>
            </w:pPr>
            <w:r>
              <w:rPr>
                <w:sz w:val="20"/>
              </w:rPr>
              <w:t>6000 平方米</w:t>
            </w:r>
          </w:p>
        </w:tc>
        <w:tc>
          <w:tcPr>
            <w:tcW w:w="1116" w:type="dxa"/>
          </w:tcPr>
          <w:p>
            <w:pPr>
              <w:pStyle w:val="TableParagraph"/>
              <w:spacing w:before="2"/>
              <w:rPr>
                <w:rFonts w:ascii="黑体"/>
                <w:sz w:val="28"/>
              </w:rPr>
            </w:pPr>
          </w:p>
          <w:p>
            <w:pPr>
              <w:pStyle w:val="TableParagraph"/>
              <w:ind w:left="182" w:right="183"/>
              <w:jc w:val="center"/>
              <w:rPr>
                <w:sz w:val="20"/>
              </w:rPr>
            </w:pPr>
            <w:r>
              <w:rPr>
                <w:sz w:val="20"/>
              </w:rPr>
              <w:t>1800</w:t>
            </w:r>
          </w:p>
        </w:tc>
        <w:tc>
          <w:tcPr>
            <w:tcW w:w="1253" w:type="dxa"/>
          </w:tcPr>
          <w:p>
            <w:pPr>
              <w:pStyle w:val="TableParagraph"/>
              <w:spacing w:line="237" w:lineRule="auto" w:before="112"/>
              <w:ind w:left="101" w:right="100"/>
              <w:jc w:val="center"/>
              <w:rPr>
                <w:sz w:val="20"/>
              </w:rPr>
            </w:pPr>
            <w:r>
              <w:rPr>
                <w:sz w:val="20"/>
              </w:rPr>
              <w:t>乐山市五通桥区精神病医院</w:t>
            </w:r>
          </w:p>
        </w:tc>
      </w:tr>
      <w:tr>
        <w:trPr>
          <w:trHeight w:val="1420" w:hRule="atLeast"/>
        </w:trPr>
        <w:tc>
          <w:tcPr>
            <w:tcW w:w="544" w:type="dxa"/>
          </w:tcPr>
          <w:p>
            <w:pPr>
              <w:pStyle w:val="TableParagraph"/>
              <w:rPr>
                <w:rFonts w:ascii="黑体"/>
                <w:sz w:val="20"/>
              </w:rPr>
            </w:pPr>
          </w:p>
          <w:p>
            <w:pPr>
              <w:pStyle w:val="TableParagraph"/>
              <w:spacing w:before="12"/>
              <w:rPr>
                <w:rFonts w:ascii="黑体"/>
                <w:sz w:val="21"/>
              </w:rPr>
            </w:pPr>
          </w:p>
          <w:p>
            <w:pPr>
              <w:pStyle w:val="TableParagraph"/>
              <w:ind w:left="146" w:right="146"/>
              <w:jc w:val="center"/>
              <w:rPr>
                <w:sz w:val="20"/>
              </w:rPr>
            </w:pPr>
            <w:r>
              <w:rPr>
                <w:sz w:val="20"/>
              </w:rPr>
              <w:t>41</w:t>
            </w:r>
          </w:p>
        </w:tc>
        <w:tc>
          <w:tcPr>
            <w:tcW w:w="2160" w:type="dxa"/>
          </w:tcPr>
          <w:p>
            <w:pPr>
              <w:pStyle w:val="TableParagraph"/>
              <w:rPr>
                <w:rFonts w:ascii="黑体"/>
                <w:sz w:val="20"/>
              </w:rPr>
            </w:pPr>
          </w:p>
          <w:p>
            <w:pPr>
              <w:pStyle w:val="TableParagraph"/>
              <w:spacing w:before="12"/>
              <w:rPr>
                <w:rFonts w:ascii="黑体"/>
                <w:sz w:val="21"/>
              </w:rPr>
            </w:pPr>
          </w:p>
          <w:p>
            <w:pPr>
              <w:pStyle w:val="TableParagraph"/>
              <w:ind w:left="172"/>
              <w:rPr>
                <w:sz w:val="20"/>
              </w:rPr>
            </w:pPr>
            <w:r>
              <w:rPr>
                <w:sz w:val="20"/>
              </w:rPr>
              <w:t>数字化城市管理平台</w:t>
            </w:r>
          </w:p>
        </w:tc>
        <w:tc>
          <w:tcPr>
            <w:tcW w:w="1260" w:type="dxa"/>
          </w:tcPr>
          <w:p>
            <w:pPr>
              <w:pStyle w:val="TableParagraph"/>
              <w:rPr>
                <w:rFonts w:ascii="黑体"/>
                <w:sz w:val="20"/>
              </w:rPr>
            </w:pPr>
          </w:p>
          <w:p>
            <w:pPr>
              <w:pStyle w:val="TableParagraph"/>
              <w:spacing w:before="12"/>
              <w:rPr>
                <w:rFonts w:ascii="黑体"/>
                <w:sz w:val="21"/>
              </w:rPr>
            </w:pPr>
          </w:p>
          <w:p>
            <w:pPr>
              <w:pStyle w:val="TableParagraph"/>
              <w:ind w:right="172"/>
              <w:jc w:val="right"/>
              <w:rPr>
                <w:sz w:val="20"/>
              </w:rPr>
            </w:pPr>
            <w:r>
              <w:rPr>
                <w:sz w:val="20"/>
              </w:rPr>
              <w:t>2016-2017</w:t>
            </w:r>
          </w:p>
        </w:tc>
        <w:tc>
          <w:tcPr>
            <w:tcW w:w="3534" w:type="dxa"/>
          </w:tcPr>
          <w:p>
            <w:pPr>
              <w:pStyle w:val="TableParagraph"/>
              <w:spacing w:line="237" w:lineRule="auto" w:before="33"/>
              <w:ind w:left="102" w:right="2"/>
              <w:jc w:val="center"/>
              <w:rPr>
                <w:sz w:val="20"/>
              </w:rPr>
            </w:pPr>
            <w:r>
              <w:rPr>
                <w:spacing w:val="-15"/>
                <w:sz w:val="20"/>
              </w:rPr>
              <w:t>数据采集系统、监督受理系统、数据库、</w:t>
            </w:r>
            <w:r>
              <w:rPr>
                <w:spacing w:val="-13"/>
                <w:sz w:val="20"/>
              </w:rPr>
              <w:t>网络建设、指挥协调中心、信息共享平</w:t>
            </w:r>
            <w:r>
              <w:rPr>
                <w:spacing w:val="-12"/>
                <w:sz w:val="20"/>
              </w:rPr>
              <w:t>台等，通过数字化城市管理平台，使城</w:t>
            </w:r>
            <w:r>
              <w:rPr>
                <w:spacing w:val="-15"/>
                <w:sz w:val="20"/>
              </w:rPr>
              <w:t>市管理领域实现管理精细化、责任网格</w:t>
            </w:r>
            <w:r>
              <w:rPr>
                <w:spacing w:val="-1"/>
                <w:sz w:val="20"/>
              </w:rPr>
              <w:t>化、依托信息化、服务人性化。</w:t>
            </w:r>
          </w:p>
        </w:tc>
        <w:tc>
          <w:tcPr>
            <w:tcW w:w="1116" w:type="dxa"/>
          </w:tcPr>
          <w:p>
            <w:pPr>
              <w:pStyle w:val="TableParagraph"/>
              <w:rPr>
                <w:rFonts w:ascii="黑体"/>
                <w:sz w:val="20"/>
              </w:rPr>
            </w:pPr>
          </w:p>
          <w:p>
            <w:pPr>
              <w:pStyle w:val="TableParagraph"/>
              <w:spacing w:before="12"/>
              <w:rPr>
                <w:rFonts w:ascii="黑体"/>
                <w:sz w:val="21"/>
              </w:rPr>
            </w:pPr>
          </w:p>
          <w:p>
            <w:pPr>
              <w:pStyle w:val="TableParagraph"/>
              <w:ind w:left="182" w:right="183"/>
              <w:jc w:val="center"/>
              <w:rPr>
                <w:sz w:val="20"/>
              </w:rPr>
            </w:pPr>
            <w:r>
              <w:rPr>
                <w:sz w:val="20"/>
              </w:rPr>
              <w:t>800</w:t>
            </w:r>
          </w:p>
        </w:tc>
        <w:tc>
          <w:tcPr>
            <w:tcW w:w="1253" w:type="dxa"/>
          </w:tcPr>
          <w:p>
            <w:pPr>
              <w:pStyle w:val="TableParagraph"/>
              <w:rPr>
                <w:rFonts w:ascii="黑体"/>
                <w:sz w:val="20"/>
              </w:rPr>
            </w:pPr>
          </w:p>
          <w:p>
            <w:pPr>
              <w:pStyle w:val="TableParagraph"/>
              <w:spacing w:before="12"/>
              <w:rPr>
                <w:rFonts w:ascii="黑体"/>
                <w:sz w:val="21"/>
              </w:rPr>
            </w:pPr>
          </w:p>
          <w:p>
            <w:pPr>
              <w:pStyle w:val="TableParagraph"/>
              <w:ind w:left="101" w:right="101"/>
              <w:jc w:val="center"/>
              <w:rPr>
                <w:sz w:val="20"/>
              </w:rPr>
            </w:pPr>
            <w:r>
              <w:rPr>
                <w:sz w:val="20"/>
              </w:rPr>
              <w:t>城管局</w:t>
            </w:r>
          </w:p>
        </w:tc>
      </w:tr>
      <w:tr>
        <w:trPr>
          <w:trHeight w:val="1240" w:hRule="atLeast"/>
        </w:trPr>
        <w:tc>
          <w:tcPr>
            <w:tcW w:w="544" w:type="dxa"/>
          </w:tcPr>
          <w:p>
            <w:pPr>
              <w:pStyle w:val="TableParagraph"/>
              <w:rPr>
                <w:rFonts w:ascii="黑体"/>
                <w:sz w:val="20"/>
              </w:rPr>
            </w:pPr>
          </w:p>
          <w:p>
            <w:pPr>
              <w:pStyle w:val="TableParagraph"/>
              <w:rPr>
                <w:rFonts w:ascii="黑体"/>
                <w:sz w:val="15"/>
              </w:rPr>
            </w:pPr>
          </w:p>
          <w:p>
            <w:pPr>
              <w:pStyle w:val="TableParagraph"/>
              <w:ind w:left="145" w:right="146"/>
              <w:jc w:val="center"/>
              <w:rPr>
                <w:sz w:val="20"/>
              </w:rPr>
            </w:pPr>
            <w:r>
              <w:rPr>
                <w:sz w:val="20"/>
              </w:rPr>
              <w:t>42</w:t>
            </w:r>
          </w:p>
        </w:tc>
        <w:tc>
          <w:tcPr>
            <w:tcW w:w="2160" w:type="dxa"/>
          </w:tcPr>
          <w:p>
            <w:pPr>
              <w:pStyle w:val="TableParagraph"/>
              <w:spacing w:before="5"/>
              <w:rPr>
                <w:rFonts w:ascii="黑体"/>
                <w:sz w:val="15"/>
              </w:rPr>
            </w:pPr>
          </w:p>
          <w:p>
            <w:pPr>
              <w:pStyle w:val="TableParagraph"/>
              <w:spacing w:line="237" w:lineRule="auto"/>
              <w:ind w:left="47" w:right="43"/>
              <w:jc w:val="center"/>
              <w:rPr>
                <w:sz w:val="20"/>
              </w:rPr>
            </w:pPr>
            <w:r>
              <w:rPr>
                <w:sz w:val="20"/>
              </w:rPr>
              <w:t>金山小学、竹镇中食堂建设及金山镇、金粟镇幼儿园建设</w:t>
            </w:r>
          </w:p>
        </w:tc>
        <w:tc>
          <w:tcPr>
            <w:tcW w:w="1260" w:type="dxa"/>
          </w:tcPr>
          <w:p>
            <w:pPr>
              <w:pStyle w:val="TableParagraph"/>
              <w:rPr>
                <w:rFonts w:ascii="黑体"/>
                <w:sz w:val="20"/>
              </w:rPr>
            </w:pPr>
          </w:p>
          <w:p>
            <w:pPr>
              <w:pStyle w:val="TableParagraph"/>
              <w:rPr>
                <w:rFonts w:ascii="黑体"/>
                <w:sz w:val="15"/>
              </w:rPr>
            </w:pPr>
          </w:p>
          <w:p>
            <w:pPr>
              <w:pStyle w:val="TableParagraph"/>
              <w:ind w:right="174"/>
              <w:jc w:val="right"/>
              <w:rPr>
                <w:sz w:val="20"/>
              </w:rPr>
            </w:pPr>
            <w:r>
              <w:rPr>
                <w:sz w:val="20"/>
              </w:rPr>
              <w:t>2015-2017</w:t>
            </w:r>
          </w:p>
        </w:tc>
        <w:tc>
          <w:tcPr>
            <w:tcW w:w="3534" w:type="dxa"/>
          </w:tcPr>
          <w:p>
            <w:pPr>
              <w:pStyle w:val="TableParagraph"/>
              <w:spacing w:before="3"/>
              <w:rPr>
                <w:rFonts w:ascii="黑体"/>
                <w:sz w:val="15"/>
              </w:rPr>
            </w:pPr>
          </w:p>
          <w:p>
            <w:pPr>
              <w:pStyle w:val="TableParagraph"/>
              <w:spacing w:line="260" w:lineRule="exact"/>
              <w:ind w:left="1" w:right="2"/>
              <w:jc w:val="center"/>
              <w:rPr>
                <w:sz w:val="20"/>
              </w:rPr>
            </w:pPr>
            <w:r>
              <w:rPr>
                <w:sz w:val="20"/>
              </w:rPr>
              <w:t>新建食堂约 1500 平方米，新建幼儿园</w:t>
            </w:r>
          </w:p>
          <w:p>
            <w:pPr>
              <w:pStyle w:val="TableParagraph"/>
              <w:spacing w:line="259" w:lineRule="exact"/>
              <w:ind w:left="2" w:right="2"/>
              <w:jc w:val="center"/>
              <w:rPr>
                <w:sz w:val="20"/>
              </w:rPr>
            </w:pPr>
            <w:r>
              <w:rPr>
                <w:sz w:val="20"/>
              </w:rPr>
              <w:t>园舍约 1500 平方米，幼儿活动场地建</w:t>
            </w:r>
          </w:p>
          <w:p>
            <w:pPr>
              <w:pStyle w:val="TableParagraph"/>
              <w:spacing w:line="260" w:lineRule="exact"/>
              <w:ind w:left="2" w:right="2"/>
              <w:jc w:val="center"/>
              <w:rPr>
                <w:sz w:val="20"/>
              </w:rPr>
            </w:pPr>
            <w:r>
              <w:rPr>
                <w:sz w:val="20"/>
              </w:rPr>
              <w:t>设约 1000 平方米</w:t>
            </w:r>
          </w:p>
        </w:tc>
        <w:tc>
          <w:tcPr>
            <w:tcW w:w="1116" w:type="dxa"/>
          </w:tcPr>
          <w:p>
            <w:pPr>
              <w:pStyle w:val="TableParagraph"/>
              <w:rPr>
                <w:rFonts w:ascii="黑体"/>
                <w:sz w:val="20"/>
              </w:rPr>
            </w:pPr>
          </w:p>
          <w:p>
            <w:pPr>
              <w:pStyle w:val="TableParagraph"/>
              <w:rPr>
                <w:rFonts w:ascii="黑体"/>
                <w:sz w:val="15"/>
              </w:rPr>
            </w:pPr>
          </w:p>
          <w:p>
            <w:pPr>
              <w:pStyle w:val="TableParagraph"/>
              <w:ind w:left="182" w:right="183"/>
              <w:jc w:val="center"/>
              <w:rPr>
                <w:sz w:val="20"/>
              </w:rPr>
            </w:pPr>
            <w:r>
              <w:rPr>
                <w:sz w:val="20"/>
              </w:rPr>
              <w:t>575</w:t>
            </w:r>
          </w:p>
        </w:tc>
        <w:tc>
          <w:tcPr>
            <w:tcW w:w="1253" w:type="dxa"/>
          </w:tcPr>
          <w:p>
            <w:pPr>
              <w:pStyle w:val="TableParagraph"/>
              <w:rPr>
                <w:rFonts w:ascii="黑体"/>
                <w:sz w:val="20"/>
              </w:rPr>
            </w:pPr>
          </w:p>
          <w:p>
            <w:pPr>
              <w:pStyle w:val="TableParagraph"/>
              <w:rPr>
                <w:rFonts w:ascii="黑体"/>
                <w:sz w:val="15"/>
              </w:rPr>
            </w:pPr>
          </w:p>
          <w:p>
            <w:pPr>
              <w:pStyle w:val="TableParagraph"/>
              <w:ind w:left="101" w:right="101"/>
              <w:jc w:val="center"/>
              <w:rPr>
                <w:sz w:val="20"/>
              </w:rPr>
            </w:pPr>
            <w:r>
              <w:rPr>
                <w:sz w:val="20"/>
              </w:rPr>
              <w:t>教育局</w:t>
            </w:r>
          </w:p>
        </w:tc>
      </w:tr>
      <w:tr>
        <w:trPr>
          <w:trHeight w:val="3080" w:hRule="atLeast"/>
        </w:trPr>
        <w:tc>
          <w:tcPr>
            <w:tcW w:w="544" w:type="dxa"/>
          </w:tcPr>
          <w:p>
            <w:pPr>
              <w:pStyle w:val="TableParagraph"/>
              <w:rPr>
                <w:rFonts w:ascii="黑体"/>
                <w:sz w:val="20"/>
              </w:rPr>
            </w:pPr>
          </w:p>
          <w:p>
            <w:pPr>
              <w:pStyle w:val="TableParagraph"/>
              <w:rPr>
                <w:rFonts w:ascii="黑体"/>
                <w:sz w:val="20"/>
              </w:rPr>
            </w:pPr>
          </w:p>
          <w:p>
            <w:pPr>
              <w:pStyle w:val="TableParagraph"/>
              <w:rPr>
                <w:rFonts w:ascii="黑体"/>
                <w:sz w:val="20"/>
              </w:rPr>
            </w:pPr>
          </w:p>
          <w:p>
            <w:pPr>
              <w:pStyle w:val="TableParagraph"/>
              <w:rPr>
                <w:rFonts w:ascii="黑体"/>
                <w:sz w:val="20"/>
              </w:rPr>
            </w:pPr>
          </w:p>
          <w:p>
            <w:pPr>
              <w:pStyle w:val="TableParagraph"/>
              <w:spacing w:before="8"/>
              <w:rPr>
                <w:rFonts w:ascii="黑体"/>
                <w:sz w:val="25"/>
              </w:rPr>
            </w:pPr>
          </w:p>
          <w:p>
            <w:pPr>
              <w:pStyle w:val="TableParagraph"/>
              <w:ind w:left="145" w:right="146"/>
              <w:jc w:val="center"/>
              <w:rPr>
                <w:sz w:val="20"/>
              </w:rPr>
            </w:pPr>
            <w:r>
              <w:rPr>
                <w:sz w:val="20"/>
              </w:rPr>
              <w:t>43</w:t>
            </w:r>
          </w:p>
        </w:tc>
        <w:tc>
          <w:tcPr>
            <w:tcW w:w="2160" w:type="dxa"/>
          </w:tcPr>
          <w:p>
            <w:pPr>
              <w:pStyle w:val="TableParagraph"/>
              <w:rPr>
                <w:rFonts w:ascii="黑体"/>
                <w:sz w:val="20"/>
              </w:rPr>
            </w:pPr>
          </w:p>
          <w:p>
            <w:pPr>
              <w:pStyle w:val="TableParagraph"/>
              <w:rPr>
                <w:rFonts w:ascii="黑体"/>
                <w:sz w:val="20"/>
              </w:rPr>
            </w:pPr>
          </w:p>
          <w:p>
            <w:pPr>
              <w:pStyle w:val="TableParagraph"/>
              <w:spacing w:before="3"/>
              <w:rPr>
                <w:rFonts w:ascii="黑体"/>
                <w:sz w:val="16"/>
              </w:rPr>
            </w:pPr>
          </w:p>
          <w:p>
            <w:pPr>
              <w:pStyle w:val="TableParagraph"/>
              <w:spacing w:line="237" w:lineRule="auto"/>
              <w:ind w:left="109" w:right="49"/>
              <w:jc w:val="center"/>
              <w:rPr>
                <w:sz w:val="20"/>
              </w:rPr>
            </w:pPr>
            <w:r>
              <w:rPr>
                <w:spacing w:val="-1"/>
                <w:sz w:val="20"/>
              </w:rPr>
              <w:t>冠英学校、石麟小学、蔡金中小学、冠英二 </w:t>
            </w:r>
            <w:r>
              <w:rPr>
                <w:spacing w:val="-8"/>
                <w:sz w:val="20"/>
              </w:rPr>
              <w:t>中、金山小学、西坝中学、盐码头小学、桥沟学校等学校校舍及场 地改造</w:t>
            </w:r>
          </w:p>
        </w:tc>
        <w:tc>
          <w:tcPr>
            <w:tcW w:w="1260" w:type="dxa"/>
          </w:tcPr>
          <w:p>
            <w:pPr>
              <w:pStyle w:val="TableParagraph"/>
              <w:rPr>
                <w:rFonts w:ascii="黑体"/>
                <w:sz w:val="20"/>
              </w:rPr>
            </w:pPr>
          </w:p>
          <w:p>
            <w:pPr>
              <w:pStyle w:val="TableParagraph"/>
              <w:rPr>
                <w:rFonts w:ascii="黑体"/>
                <w:sz w:val="20"/>
              </w:rPr>
            </w:pPr>
          </w:p>
          <w:p>
            <w:pPr>
              <w:pStyle w:val="TableParagraph"/>
              <w:rPr>
                <w:rFonts w:ascii="黑体"/>
                <w:sz w:val="20"/>
              </w:rPr>
            </w:pPr>
          </w:p>
          <w:p>
            <w:pPr>
              <w:pStyle w:val="TableParagraph"/>
              <w:rPr>
                <w:rFonts w:ascii="黑体"/>
                <w:sz w:val="20"/>
              </w:rPr>
            </w:pPr>
          </w:p>
          <w:p>
            <w:pPr>
              <w:pStyle w:val="TableParagraph"/>
              <w:spacing w:before="8"/>
              <w:rPr>
                <w:rFonts w:ascii="黑体"/>
                <w:sz w:val="25"/>
              </w:rPr>
            </w:pPr>
          </w:p>
          <w:p>
            <w:pPr>
              <w:pStyle w:val="TableParagraph"/>
              <w:ind w:left="102"/>
              <w:rPr>
                <w:sz w:val="20"/>
              </w:rPr>
            </w:pPr>
            <w:r>
              <w:rPr>
                <w:sz w:val="20"/>
              </w:rPr>
              <w:t>2016-2020</w:t>
            </w:r>
          </w:p>
        </w:tc>
        <w:tc>
          <w:tcPr>
            <w:tcW w:w="3534" w:type="dxa"/>
          </w:tcPr>
          <w:p>
            <w:pPr>
              <w:pStyle w:val="TableParagraph"/>
              <w:spacing w:line="260" w:lineRule="exact" w:before="85"/>
              <w:ind w:left="102"/>
              <w:rPr>
                <w:sz w:val="20"/>
              </w:rPr>
            </w:pPr>
            <w:r>
              <w:rPr>
                <w:sz w:val="20"/>
              </w:rPr>
              <w:t>冠英学校改扩建校舍约 2200 平方米，</w:t>
            </w:r>
          </w:p>
          <w:p>
            <w:pPr>
              <w:pStyle w:val="TableParagraph"/>
              <w:spacing w:line="259" w:lineRule="exact"/>
              <w:ind w:left="102"/>
              <w:rPr>
                <w:sz w:val="20"/>
              </w:rPr>
            </w:pPr>
            <w:r>
              <w:rPr>
                <w:sz w:val="20"/>
              </w:rPr>
              <w:t>改造运动场约 4000 平方米；石麟小学</w:t>
            </w:r>
          </w:p>
          <w:p>
            <w:pPr>
              <w:pStyle w:val="TableParagraph"/>
              <w:spacing w:line="259" w:lineRule="exact"/>
              <w:ind w:left="102"/>
              <w:rPr>
                <w:sz w:val="20"/>
              </w:rPr>
            </w:pPr>
            <w:r>
              <w:rPr>
                <w:sz w:val="20"/>
              </w:rPr>
              <w:t>维修综合楼 1265 平方米，改扩建运动</w:t>
            </w:r>
          </w:p>
          <w:p>
            <w:pPr>
              <w:pStyle w:val="TableParagraph"/>
              <w:spacing w:line="259" w:lineRule="exact"/>
              <w:ind w:left="102"/>
              <w:rPr>
                <w:sz w:val="20"/>
              </w:rPr>
            </w:pPr>
            <w:r>
              <w:rPr>
                <w:sz w:val="20"/>
              </w:rPr>
              <w:t>场 6000 平方米；蔡金镇中小学新建厕</w:t>
            </w:r>
          </w:p>
          <w:p>
            <w:pPr>
              <w:pStyle w:val="TableParagraph"/>
              <w:spacing w:line="260" w:lineRule="exact"/>
              <w:ind w:left="102"/>
              <w:rPr>
                <w:sz w:val="20"/>
              </w:rPr>
            </w:pPr>
            <w:r>
              <w:rPr>
                <w:spacing w:val="-18"/>
                <w:sz w:val="20"/>
              </w:rPr>
              <w:t>所约 </w:t>
            </w:r>
            <w:r>
              <w:rPr>
                <w:sz w:val="20"/>
              </w:rPr>
              <w:t>280</w:t>
            </w:r>
            <w:r>
              <w:rPr>
                <w:spacing w:val="-13"/>
                <w:sz w:val="20"/>
              </w:rPr>
              <w:t> 平方米，蔡金小学改扩建运动</w:t>
            </w:r>
          </w:p>
          <w:p>
            <w:pPr>
              <w:pStyle w:val="TableParagraph"/>
              <w:spacing w:line="260" w:lineRule="exact"/>
              <w:ind w:left="102"/>
              <w:rPr>
                <w:sz w:val="20"/>
              </w:rPr>
            </w:pPr>
            <w:r>
              <w:rPr>
                <w:spacing w:val="-18"/>
                <w:sz w:val="20"/>
              </w:rPr>
              <w:t>场约 </w:t>
            </w:r>
            <w:r>
              <w:rPr>
                <w:sz w:val="20"/>
              </w:rPr>
              <w:t>10000</w:t>
            </w:r>
            <w:r>
              <w:rPr>
                <w:spacing w:val="-14"/>
                <w:sz w:val="20"/>
              </w:rPr>
              <w:t> 平方米；冠英二中改扩建校</w:t>
            </w:r>
          </w:p>
          <w:p>
            <w:pPr>
              <w:pStyle w:val="TableParagraph"/>
              <w:spacing w:line="259" w:lineRule="exact"/>
              <w:ind w:left="102"/>
              <w:rPr>
                <w:sz w:val="20"/>
              </w:rPr>
            </w:pPr>
            <w:r>
              <w:rPr>
                <w:spacing w:val="-18"/>
                <w:sz w:val="20"/>
              </w:rPr>
              <w:t>舍约 </w:t>
            </w:r>
            <w:r>
              <w:rPr>
                <w:sz w:val="20"/>
              </w:rPr>
              <w:t>880</w:t>
            </w:r>
            <w:r>
              <w:rPr>
                <w:spacing w:val="-13"/>
                <w:sz w:val="20"/>
              </w:rPr>
              <w:t> 平方米；金山小学改扩建运动</w:t>
            </w:r>
          </w:p>
          <w:p>
            <w:pPr>
              <w:pStyle w:val="TableParagraph"/>
              <w:spacing w:line="259" w:lineRule="exact"/>
              <w:ind w:left="102"/>
              <w:rPr>
                <w:sz w:val="20"/>
              </w:rPr>
            </w:pPr>
            <w:r>
              <w:rPr>
                <w:spacing w:val="-18"/>
                <w:sz w:val="20"/>
              </w:rPr>
              <w:t>场约 </w:t>
            </w:r>
            <w:r>
              <w:rPr>
                <w:sz w:val="20"/>
              </w:rPr>
              <w:t>10000</w:t>
            </w:r>
            <w:r>
              <w:rPr>
                <w:spacing w:val="-14"/>
                <w:sz w:val="20"/>
              </w:rPr>
              <w:t> 平方米；西坝中学改扩建运</w:t>
            </w:r>
          </w:p>
          <w:p>
            <w:pPr>
              <w:pStyle w:val="TableParagraph"/>
              <w:spacing w:line="259" w:lineRule="exact"/>
              <w:ind w:left="102"/>
              <w:rPr>
                <w:sz w:val="20"/>
              </w:rPr>
            </w:pPr>
            <w:r>
              <w:rPr>
                <w:sz w:val="20"/>
              </w:rPr>
              <w:t>动场约 6000 平方米；盐码头小学新建</w:t>
            </w:r>
          </w:p>
          <w:p>
            <w:pPr>
              <w:pStyle w:val="TableParagraph"/>
              <w:spacing w:line="259" w:lineRule="exact"/>
              <w:ind w:left="102"/>
              <w:rPr>
                <w:sz w:val="20"/>
              </w:rPr>
            </w:pPr>
            <w:r>
              <w:rPr>
                <w:sz w:val="20"/>
              </w:rPr>
              <w:t>校舍 2000 平方米；桥沟学校改造运动</w:t>
            </w:r>
          </w:p>
          <w:p>
            <w:pPr>
              <w:pStyle w:val="TableParagraph"/>
              <w:spacing w:line="260" w:lineRule="exact"/>
              <w:ind w:left="102"/>
              <w:rPr>
                <w:sz w:val="20"/>
              </w:rPr>
            </w:pPr>
            <w:r>
              <w:rPr>
                <w:sz w:val="20"/>
              </w:rPr>
              <w:t>场约 5000 平方米。</w:t>
            </w:r>
          </w:p>
        </w:tc>
        <w:tc>
          <w:tcPr>
            <w:tcW w:w="1116" w:type="dxa"/>
          </w:tcPr>
          <w:p>
            <w:pPr>
              <w:pStyle w:val="TableParagraph"/>
              <w:rPr>
                <w:rFonts w:ascii="黑体"/>
                <w:sz w:val="20"/>
              </w:rPr>
            </w:pPr>
          </w:p>
          <w:p>
            <w:pPr>
              <w:pStyle w:val="TableParagraph"/>
              <w:rPr>
                <w:rFonts w:ascii="黑体"/>
                <w:sz w:val="20"/>
              </w:rPr>
            </w:pPr>
          </w:p>
          <w:p>
            <w:pPr>
              <w:pStyle w:val="TableParagraph"/>
              <w:rPr>
                <w:rFonts w:ascii="黑体"/>
                <w:sz w:val="20"/>
              </w:rPr>
            </w:pPr>
          </w:p>
          <w:p>
            <w:pPr>
              <w:pStyle w:val="TableParagraph"/>
              <w:rPr>
                <w:rFonts w:ascii="黑体"/>
                <w:sz w:val="20"/>
              </w:rPr>
            </w:pPr>
          </w:p>
          <w:p>
            <w:pPr>
              <w:pStyle w:val="TableParagraph"/>
              <w:spacing w:before="8"/>
              <w:rPr>
                <w:rFonts w:ascii="黑体"/>
                <w:sz w:val="25"/>
              </w:rPr>
            </w:pPr>
          </w:p>
          <w:p>
            <w:pPr>
              <w:pStyle w:val="TableParagraph"/>
              <w:ind w:left="183" w:right="183"/>
              <w:jc w:val="center"/>
              <w:rPr>
                <w:sz w:val="20"/>
              </w:rPr>
            </w:pPr>
            <w:r>
              <w:rPr>
                <w:sz w:val="20"/>
              </w:rPr>
              <w:t>2300</w:t>
            </w:r>
          </w:p>
        </w:tc>
        <w:tc>
          <w:tcPr>
            <w:tcW w:w="1253" w:type="dxa"/>
          </w:tcPr>
          <w:p>
            <w:pPr>
              <w:pStyle w:val="TableParagraph"/>
              <w:rPr>
                <w:rFonts w:ascii="黑体"/>
                <w:sz w:val="20"/>
              </w:rPr>
            </w:pPr>
          </w:p>
          <w:p>
            <w:pPr>
              <w:pStyle w:val="TableParagraph"/>
              <w:rPr>
                <w:rFonts w:ascii="黑体"/>
                <w:sz w:val="20"/>
              </w:rPr>
            </w:pPr>
          </w:p>
          <w:p>
            <w:pPr>
              <w:pStyle w:val="TableParagraph"/>
              <w:rPr>
                <w:rFonts w:ascii="黑体"/>
                <w:sz w:val="20"/>
              </w:rPr>
            </w:pPr>
          </w:p>
          <w:p>
            <w:pPr>
              <w:pStyle w:val="TableParagraph"/>
              <w:rPr>
                <w:rFonts w:ascii="黑体"/>
                <w:sz w:val="20"/>
              </w:rPr>
            </w:pPr>
          </w:p>
          <w:p>
            <w:pPr>
              <w:pStyle w:val="TableParagraph"/>
              <w:spacing w:before="8"/>
              <w:rPr>
                <w:rFonts w:ascii="黑体"/>
                <w:sz w:val="25"/>
              </w:rPr>
            </w:pPr>
          </w:p>
          <w:p>
            <w:pPr>
              <w:pStyle w:val="TableParagraph"/>
              <w:ind w:left="100" w:right="101"/>
              <w:jc w:val="center"/>
              <w:rPr>
                <w:sz w:val="20"/>
              </w:rPr>
            </w:pPr>
            <w:r>
              <w:rPr>
                <w:sz w:val="20"/>
              </w:rPr>
              <w:t>教育局</w:t>
            </w:r>
          </w:p>
        </w:tc>
      </w:tr>
      <w:tr>
        <w:trPr>
          <w:trHeight w:val="1060" w:hRule="atLeast"/>
        </w:trPr>
        <w:tc>
          <w:tcPr>
            <w:tcW w:w="544" w:type="dxa"/>
          </w:tcPr>
          <w:p>
            <w:pPr>
              <w:pStyle w:val="TableParagraph"/>
              <w:spacing w:before="2"/>
              <w:rPr>
                <w:rFonts w:ascii="黑体"/>
                <w:sz w:val="28"/>
              </w:rPr>
            </w:pPr>
          </w:p>
          <w:p>
            <w:pPr>
              <w:pStyle w:val="TableParagraph"/>
              <w:ind w:left="145" w:right="146"/>
              <w:jc w:val="center"/>
              <w:rPr>
                <w:sz w:val="20"/>
              </w:rPr>
            </w:pPr>
            <w:r>
              <w:rPr>
                <w:sz w:val="20"/>
              </w:rPr>
              <w:t>44</w:t>
            </w:r>
          </w:p>
        </w:tc>
        <w:tc>
          <w:tcPr>
            <w:tcW w:w="2160" w:type="dxa"/>
          </w:tcPr>
          <w:p>
            <w:pPr>
              <w:pStyle w:val="TableParagraph"/>
              <w:spacing w:before="6"/>
              <w:rPr>
                <w:rFonts w:ascii="黑体"/>
                <w:sz w:val="18"/>
              </w:rPr>
            </w:pPr>
          </w:p>
          <w:p>
            <w:pPr>
              <w:pStyle w:val="TableParagraph"/>
              <w:spacing w:line="237" w:lineRule="auto"/>
              <w:ind w:left="475" w:right="155" w:hanging="300"/>
              <w:rPr>
                <w:sz w:val="20"/>
              </w:rPr>
            </w:pPr>
            <w:r>
              <w:rPr>
                <w:sz w:val="20"/>
              </w:rPr>
              <w:t>牛华中学综合楼建设及运动场扩建</w:t>
            </w:r>
          </w:p>
        </w:tc>
        <w:tc>
          <w:tcPr>
            <w:tcW w:w="1260" w:type="dxa"/>
          </w:tcPr>
          <w:p>
            <w:pPr>
              <w:pStyle w:val="TableParagraph"/>
              <w:spacing w:before="2"/>
              <w:rPr>
                <w:rFonts w:ascii="黑体"/>
                <w:sz w:val="28"/>
              </w:rPr>
            </w:pPr>
          </w:p>
          <w:p>
            <w:pPr>
              <w:pStyle w:val="TableParagraph"/>
              <w:ind w:left="103"/>
              <w:rPr>
                <w:sz w:val="20"/>
              </w:rPr>
            </w:pPr>
            <w:r>
              <w:rPr>
                <w:sz w:val="20"/>
              </w:rPr>
              <w:t>2017-2019</w:t>
            </w:r>
          </w:p>
        </w:tc>
        <w:tc>
          <w:tcPr>
            <w:tcW w:w="3534" w:type="dxa"/>
          </w:tcPr>
          <w:p>
            <w:pPr>
              <w:pStyle w:val="TableParagraph"/>
              <w:spacing w:line="260" w:lineRule="exact" w:before="109"/>
              <w:ind w:left="103"/>
              <w:rPr>
                <w:sz w:val="20"/>
              </w:rPr>
            </w:pPr>
            <w:r>
              <w:rPr>
                <w:sz w:val="20"/>
              </w:rPr>
              <w:t>新建艺体综合楼 1500 平方米，扩建运</w:t>
            </w:r>
          </w:p>
          <w:p>
            <w:pPr>
              <w:pStyle w:val="TableParagraph"/>
              <w:spacing w:line="237" w:lineRule="auto" w:before="1"/>
              <w:ind w:left="103" w:right="145"/>
              <w:rPr>
                <w:sz w:val="20"/>
              </w:rPr>
            </w:pPr>
            <w:r>
              <w:rPr>
                <w:spacing w:val="-14"/>
                <w:sz w:val="20"/>
              </w:rPr>
              <w:t>动场约 </w:t>
            </w:r>
            <w:r>
              <w:rPr>
                <w:sz w:val="20"/>
              </w:rPr>
              <w:t>6000</w:t>
            </w:r>
            <w:r>
              <w:rPr>
                <w:spacing w:val="-13"/>
                <w:sz w:val="20"/>
              </w:rPr>
              <w:t> 平方米,新建厕所约 </w:t>
            </w:r>
            <w:r>
              <w:rPr>
                <w:sz w:val="20"/>
              </w:rPr>
              <w:t>500 平方米</w:t>
            </w:r>
          </w:p>
        </w:tc>
        <w:tc>
          <w:tcPr>
            <w:tcW w:w="1116" w:type="dxa"/>
          </w:tcPr>
          <w:p>
            <w:pPr>
              <w:pStyle w:val="TableParagraph"/>
              <w:spacing w:before="2"/>
              <w:rPr>
                <w:rFonts w:ascii="黑体"/>
                <w:sz w:val="28"/>
              </w:rPr>
            </w:pPr>
          </w:p>
          <w:p>
            <w:pPr>
              <w:pStyle w:val="TableParagraph"/>
              <w:ind w:left="183" w:right="183"/>
              <w:jc w:val="center"/>
              <w:rPr>
                <w:sz w:val="20"/>
              </w:rPr>
            </w:pPr>
            <w:r>
              <w:rPr>
                <w:sz w:val="20"/>
              </w:rPr>
              <w:t>1000</w:t>
            </w:r>
          </w:p>
        </w:tc>
        <w:tc>
          <w:tcPr>
            <w:tcW w:w="1253" w:type="dxa"/>
          </w:tcPr>
          <w:p>
            <w:pPr>
              <w:pStyle w:val="TableParagraph"/>
              <w:spacing w:before="2"/>
              <w:rPr>
                <w:rFonts w:ascii="黑体"/>
                <w:sz w:val="28"/>
              </w:rPr>
            </w:pPr>
          </w:p>
          <w:p>
            <w:pPr>
              <w:pStyle w:val="TableParagraph"/>
              <w:ind w:left="100" w:right="101"/>
              <w:jc w:val="center"/>
              <w:rPr>
                <w:sz w:val="20"/>
              </w:rPr>
            </w:pPr>
            <w:r>
              <w:rPr>
                <w:sz w:val="20"/>
              </w:rPr>
              <w:t>教育局</w:t>
            </w:r>
          </w:p>
        </w:tc>
      </w:tr>
      <w:tr>
        <w:trPr>
          <w:trHeight w:val="1060" w:hRule="atLeast"/>
        </w:trPr>
        <w:tc>
          <w:tcPr>
            <w:tcW w:w="544" w:type="dxa"/>
          </w:tcPr>
          <w:p>
            <w:pPr>
              <w:pStyle w:val="TableParagraph"/>
              <w:spacing w:before="2"/>
              <w:rPr>
                <w:rFonts w:ascii="黑体"/>
                <w:sz w:val="28"/>
              </w:rPr>
            </w:pPr>
          </w:p>
          <w:p>
            <w:pPr>
              <w:pStyle w:val="TableParagraph"/>
              <w:ind w:left="145" w:right="146"/>
              <w:jc w:val="center"/>
              <w:rPr>
                <w:sz w:val="20"/>
              </w:rPr>
            </w:pPr>
            <w:r>
              <w:rPr>
                <w:sz w:val="20"/>
              </w:rPr>
              <w:t>45</w:t>
            </w:r>
          </w:p>
        </w:tc>
        <w:tc>
          <w:tcPr>
            <w:tcW w:w="2160" w:type="dxa"/>
          </w:tcPr>
          <w:p>
            <w:pPr>
              <w:pStyle w:val="TableParagraph"/>
              <w:spacing w:line="237" w:lineRule="auto" w:before="112"/>
              <w:ind w:left="102" w:right="98"/>
              <w:jc w:val="center"/>
              <w:rPr>
                <w:sz w:val="20"/>
              </w:rPr>
            </w:pPr>
            <w:r>
              <w:rPr>
                <w:sz w:val="20"/>
              </w:rPr>
              <w:t>五通桥中学学生宿舍楼建设及足球场改建工程</w:t>
            </w:r>
          </w:p>
        </w:tc>
        <w:tc>
          <w:tcPr>
            <w:tcW w:w="1260" w:type="dxa"/>
          </w:tcPr>
          <w:p>
            <w:pPr>
              <w:pStyle w:val="TableParagraph"/>
              <w:spacing w:before="2"/>
              <w:rPr>
                <w:rFonts w:ascii="黑体"/>
                <w:sz w:val="28"/>
              </w:rPr>
            </w:pPr>
          </w:p>
          <w:p>
            <w:pPr>
              <w:pStyle w:val="TableParagraph"/>
              <w:ind w:left="102"/>
              <w:rPr>
                <w:sz w:val="20"/>
              </w:rPr>
            </w:pPr>
            <w:r>
              <w:rPr>
                <w:sz w:val="20"/>
              </w:rPr>
              <w:t>2017-2019</w:t>
            </w:r>
          </w:p>
        </w:tc>
        <w:tc>
          <w:tcPr>
            <w:tcW w:w="3534" w:type="dxa"/>
          </w:tcPr>
          <w:p>
            <w:pPr>
              <w:pStyle w:val="TableParagraph"/>
              <w:spacing w:before="3"/>
              <w:rPr>
                <w:rFonts w:ascii="黑体"/>
                <w:sz w:val="18"/>
              </w:rPr>
            </w:pPr>
          </w:p>
          <w:p>
            <w:pPr>
              <w:pStyle w:val="TableParagraph"/>
              <w:spacing w:line="260" w:lineRule="exact"/>
              <w:ind w:left="102"/>
              <w:rPr>
                <w:sz w:val="20"/>
              </w:rPr>
            </w:pPr>
            <w:r>
              <w:rPr>
                <w:sz w:val="20"/>
              </w:rPr>
              <w:t>新建学生宿舍楼 3000 平方米，改造运</w:t>
            </w:r>
          </w:p>
          <w:p>
            <w:pPr>
              <w:pStyle w:val="TableParagraph"/>
              <w:spacing w:line="260" w:lineRule="exact"/>
              <w:ind w:left="102"/>
              <w:rPr>
                <w:sz w:val="20"/>
              </w:rPr>
            </w:pPr>
            <w:r>
              <w:rPr>
                <w:sz w:val="20"/>
              </w:rPr>
              <w:t>动场约 10000 平方米</w:t>
            </w:r>
          </w:p>
        </w:tc>
        <w:tc>
          <w:tcPr>
            <w:tcW w:w="1116" w:type="dxa"/>
          </w:tcPr>
          <w:p>
            <w:pPr>
              <w:pStyle w:val="TableParagraph"/>
              <w:spacing w:before="2"/>
              <w:rPr>
                <w:rFonts w:ascii="黑体"/>
                <w:sz w:val="28"/>
              </w:rPr>
            </w:pPr>
          </w:p>
          <w:p>
            <w:pPr>
              <w:pStyle w:val="TableParagraph"/>
              <w:ind w:left="183" w:right="183"/>
              <w:jc w:val="center"/>
              <w:rPr>
                <w:sz w:val="20"/>
              </w:rPr>
            </w:pPr>
            <w:r>
              <w:rPr>
                <w:sz w:val="20"/>
              </w:rPr>
              <w:t>1000</w:t>
            </w:r>
          </w:p>
        </w:tc>
        <w:tc>
          <w:tcPr>
            <w:tcW w:w="1253" w:type="dxa"/>
          </w:tcPr>
          <w:p>
            <w:pPr>
              <w:pStyle w:val="TableParagraph"/>
              <w:spacing w:before="2"/>
              <w:rPr>
                <w:rFonts w:ascii="黑体"/>
                <w:sz w:val="28"/>
              </w:rPr>
            </w:pPr>
          </w:p>
          <w:p>
            <w:pPr>
              <w:pStyle w:val="TableParagraph"/>
              <w:ind w:left="100" w:right="101"/>
              <w:jc w:val="center"/>
              <w:rPr>
                <w:sz w:val="20"/>
              </w:rPr>
            </w:pPr>
            <w:r>
              <w:rPr>
                <w:sz w:val="20"/>
              </w:rPr>
              <w:t>教育局</w:t>
            </w:r>
          </w:p>
        </w:tc>
      </w:tr>
      <w:tr>
        <w:trPr>
          <w:trHeight w:val="1060" w:hRule="atLeast"/>
        </w:trPr>
        <w:tc>
          <w:tcPr>
            <w:tcW w:w="544" w:type="dxa"/>
          </w:tcPr>
          <w:p>
            <w:pPr>
              <w:pStyle w:val="TableParagraph"/>
              <w:spacing w:before="2"/>
              <w:rPr>
                <w:rFonts w:ascii="黑体"/>
                <w:sz w:val="28"/>
              </w:rPr>
            </w:pPr>
          </w:p>
          <w:p>
            <w:pPr>
              <w:pStyle w:val="TableParagraph"/>
              <w:ind w:left="145" w:right="146"/>
              <w:jc w:val="center"/>
              <w:rPr>
                <w:sz w:val="20"/>
              </w:rPr>
            </w:pPr>
            <w:r>
              <w:rPr>
                <w:sz w:val="20"/>
              </w:rPr>
              <w:t>46</w:t>
            </w:r>
          </w:p>
        </w:tc>
        <w:tc>
          <w:tcPr>
            <w:tcW w:w="2160" w:type="dxa"/>
          </w:tcPr>
          <w:p>
            <w:pPr>
              <w:pStyle w:val="TableParagraph"/>
              <w:spacing w:before="2"/>
              <w:rPr>
                <w:rFonts w:ascii="黑体"/>
                <w:sz w:val="28"/>
              </w:rPr>
            </w:pPr>
          </w:p>
          <w:p>
            <w:pPr>
              <w:pStyle w:val="TableParagraph"/>
              <w:ind w:left="113"/>
              <w:rPr>
                <w:sz w:val="20"/>
              </w:rPr>
            </w:pPr>
            <w:r>
              <w:rPr>
                <w:sz w:val="20"/>
              </w:rPr>
              <w:t>职业教育产教融合工程</w:t>
            </w:r>
          </w:p>
        </w:tc>
        <w:tc>
          <w:tcPr>
            <w:tcW w:w="1260" w:type="dxa"/>
          </w:tcPr>
          <w:p>
            <w:pPr>
              <w:pStyle w:val="TableParagraph"/>
              <w:spacing w:before="2"/>
              <w:rPr>
                <w:rFonts w:ascii="黑体"/>
                <w:sz w:val="28"/>
              </w:rPr>
            </w:pPr>
          </w:p>
          <w:p>
            <w:pPr>
              <w:pStyle w:val="TableParagraph"/>
              <w:ind w:left="103"/>
              <w:rPr>
                <w:sz w:val="20"/>
              </w:rPr>
            </w:pPr>
            <w:r>
              <w:rPr>
                <w:sz w:val="20"/>
              </w:rPr>
              <w:t>2016-2020</w:t>
            </w:r>
          </w:p>
        </w:tc>
        <w:tc>
          <w:tcPr>
            <w:tcW w:w="3534" w:type="dxa"/>
          </w:tcPr>
          <w:p>
            <w:pPr>
              <w:pStyle w:val="TableParagraph"/>
              <w:spacing w:before="6"/>
              <w:rPr>
                <w:rFonts w:ascii="黑体"/>
                <w:sz w:val="18"/>
              </w:rPr>
            </w:pPr>
          </w:p>
          <w:p>
            <w:pPr>
              <w:pStyle w:val="TableParagraph"/>
              <w:spacing w:line="237" w:lineRule="auto"/>
              <w:ind w:left="103" w:right="217"/>
              <w:rPr>
                <w:sz w:val="20"/>
              </w:rPr>
            </w:pPr>
            <w:r>
              <w:rPr>
                <w:spacing w:val="-5"/>
                <w:sz w:val="20"/>
              </w:rPr>
              <w:t>新建校舍及实训场地等约 </w:t>
            </w:r>
            <w:r>
              <w:rPr>
                <w:sz w:val="20"/>
              </w:rPr>
              <w:t>10000</w:t>
            </w:r>
            <w:r>
              <w:rPr>
                <w:spacing w:val="-19"/>
                <w:sz w:val="20"/>
              </w:rPr>
              <w:t> 平方</w:t>
            </w:r>
            <w:r>
              <w:rPr>
                <w:spacing w:val="-24"/>
                <w:sz w:val="20"/>
              </w:rPr>
              <w:t>米，购置设备 </w:t>
            </w:r>
            <w:r>
              <w:rPr>
                <w:sz w:val="20"/>
              </w:rPr>
              <w:t>61（台、套、件）</w:t>
            </w:r>
          </w:p>
        </w:tc>
        <w:tc>
          <w:tcPr>
            <w:tcW w:w="1116" w:type="dxa"/>
          </w:tcPr>
          <w:p>
            <w:pPr>
              <w:pStyle w:val="TableParagraph"/>
              <w:spacing w:before="2"/>
              <w:rPr>
                <w:rFonts w:ascii="黑体"/>
                <w:sz w:val="28"/>
              </w:rPr>
            </w:pPr>
          </w:p>
          <w:p>
            <w:pPr>
              <w:pStyle w:val="TableParagraph"/>
              <w:ind w:left="183" w:right="183"/>
              <w:jc w:val="center"/>
              <w:rPr>
                <w:sz w:val="20"/>
              </w:rPr>
            </w:pPr>
            <w:r>
              <w:rPr>
                <w:sz w:val="20"/>
              </w:rPr>
              <w:t>3000</w:t>
            </w:r>
          </w:p>
        </w:tc>
        <w:tc>
          <w:tcPr>
            <w:tcW w:w="1253" w:type="dxa"/>
          </w:tcPr>
          <w:p>
            <w:pPr>
              <w:pStyle w:val="TableParagraph"/>
              <w:spacing w:before="2"/>
              <w:rPr>
                <w:rFonts w:ascii="黑体"/>
                <w:sz w:val="28"/>
              </w:rPr>
            </w:pPr>
          </w:p>
          <w:p>
            <w:pPr>
              <w:pStyle w:val="TableParagraph"/>
              <w:ind w:left="100" w:right="101"/>
              <w:jc w:val="center"/>
              <w:rPr>
                <w:sz w:val="20"/>
              </w:rPr>
            </w:pPr>
            <w:r>
              <w:rPr>
                <w:sz w:val="20"/>
              </w:rPr>
              <w:t>教育局</w:t>
            </w:r>
          </w:p>
        </w:tc>
      </w:tr>
    </w:tbl>
    <w:p>
      <w:pPr>
        <w:spacing w:after="0"/>
        <w:jc w:val="center"/>
        <w:rPr>
          <w:sz w:val="20"/>
        </w:rPr>
        <w:sectPr>
          <w:pgSz w:w="11910" w:h="16840"/>
          <w:pgMar w:header="0" w:footer="998" w:top="1440" w:bottom="1120" w:left="880" w:right="940"/>
        </w:sectPr>
      </w:pPr>
    </w:p>
    <w:tbl>
      <w:tblPr>
        <w:tblW w:w="0" w:type="auto"/>
        <w:jc w:val="left"/>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44"/>
        <w:gridCol w:w="2160"/>
        <w:gridCol w:w="1260"/>
        <w:gridCol w:w="3534"/>
        <w:gridCol w:w="1116"/>
        <w:gridCol w:w="1253"/>
      </w:tblGrid>
      <w:tr>
        <w:trPr>
          <w:trHeight w:val="1060" w:hRule="atLeast"/>
        </w:trPr>
        <w:tc>
          <w:tcPr>
            <w:tcW w:w="544" w:type="dxa"/>
          </w:tcPr>
          <w:p>
            <w:pPr>
              <w:pStyle w:val="TableParagraph"/>
              <w:spacing w:before="2"/>
              <w:rPr>
                <w:rFonts w:ascii="黑体"/>
                <w:sz w:val="28"/>
              </w:rPr>
            </w:pPr>
          </w:p>
          <w:p>
            <w:pPr>
              <w:pStyle w:val="TableParagraph"/>
              <w:ind w:left="146" w:right="146"/>
              <w:jc w:val="center"/>
              <w:rPr>
                <w:sz w:val="20"/>
              </w:rPr>
            </w:pPr>
            <w:r>
              <w:rPr>
                <w:sz w:val="20"/>
              </w:rPr>
              <w:t>47</w:t>
            </w:r>
          </w:p>
        </w:tc>
        <w:tc>
          <w:tcPr>
            <w:tcW w:w="2160" w:type="dxa"/>
          </w:tcPr>
          <w:p>
            <w:pPr>
              <w:pStyle w:val="TableParagraph"/>
              <w:spacing w:before="2"/>
              <w:rPr>
                <w:rFonts w:ascii="黑体"/>
                <w:sz w:val="28"/>
              </w:rPr>
            </w:pPr>
          </w:p>
          <w:p>
            <w:pPr>
              <w:pStyle w:val="TableParagraph"/>
              <w:ind w:left="101"/>
              <w:rPr>
                <w:sz w:val="20"/>
              </w:rPr>
            </w:pPr>
            <w:r>
              <w:rPr>
                <w:sz w:val="20"/>
              </w:rPr>
              <w:t>新建育才中小学</w:t>
            </w:r>
          </w:p>
        </w:tc>
        <w:tc>
          <w:tcPr>
            <w:tcW w:w="1260" w:type="dxa"/>
          </w:tcPr>
          <w:p>
            <w:pPr>
              <w:pStyle w:val="TableParagraph"/>
              <w:spacing w:before="2"/>
              <w:rPr>
                <w:rFonts w:ascii="黑体"/>
                <w:sz w:val="28"/>
              </w:rPr>
            </w:pPr>
          </w:p>
          <w:p>
            <w:pPr>
              <w:pStyle w:val="TableParagraph"/>
              <w:ind w:left="102"/>
              <w:rPr>
                <w:sz w:val="20"/>
              </w:rPr>
            </w:pPr>
            <w:r>
              <w:rPr>
                <w:sz w:val="20"/>
              </w:rPr>
              <w:t>2016-2021</w:t>
            </w:r>
          </w:p>
        </w:tc>
        <w:tc>
          <w:tcPr>
            <w:tcW w:w="3534" w:type="dxa"/>
          </w:tcPr>
          <w:p>
            <w:pPr>
              <w:pStyle w:val="TableParagraph"/>
              <w:spacing w:before="6"/>
              <w:rPr>
                <w:rFonts w:ascii="黑体"/>
                <w:sz w:val="18"/>
              </w:rPr>
            </w:pPr>
          </w:p>
          <w:p>
            <w:pPr>
              <w:pStyle w:val="TableParagraph"/>
              <w:spacing w:line="237" w:lineRule="auto"/>
              <w:ind w:left="103" w:right="2"/>
              <w:rPr>
                <w:sz w:val="20"/>
              </w:rPr>
            </w:pPr>
            <w:r>
              <w:rPr>
                <w:spacing w:val="-5"/>
                <w:sz w:val="20"/>
              </w:rPr>
              <w:t>在竹根片规划区域新征地 </w:t>
            </w:r>
            <w:r>
              <w:rPr>
                <w:sz w:val="20"/>
              </w:rPr>
              <w:t>112</w:t>
            </w:r>
            <w:r>
              <w:rPr>
                <w:spacing w:val="-28"/>
                <w:sz w:val="20"/>
              </w:rPr>
              <w:t> 亩，并建</w:t>
            </w:r>
            <w:r>
              <w:rPr>
                <w:spacing w:val="-10"/>
                <w:sz w:val="20"/>
              </w:rPr>
              <w:t>设相应的校舍及场地，相关设备购置等</w:t>
            </w:r>
          </w:p>
        </w:tc>
        <w:tc>
          <w:tcPr>
            <w:tcW w:w="1116" w:type="dxa"/>
          </w:tcPr>
          <w:p>
            <w:pPr>
              <w:pStyle w:val="TableParagraph"/>
              <w:spacing w:before="2"/>
              <w:rPr>
                <w:rFonts w:ascii="黑体"/>
                <w:sz w:val="28"/>
              </w:rPr>
            </w:pPr>
          </w:p>
          <w:p>
            <w:pPr>
              <w:pStyle w:val="TableParagraph"/>
              <w:ind w:left="183" w:right="183"/>
              <w:jc w:val="center"/>
              <w:rPr>
                <w:sz w:val="20"/>
              </w:rPr>
            </w:pPr>
            <w:r>
              <w:rPr>
                <w:sz w:val="20"/>
              </w:rPr>
              <w:t>30000</w:t>
            </w:r>
          </w:p>
        </w:tc>
        <w:tc>
          <w:tcPr>
            <w:tcW w:w="1253" w:type="dxa"/>
          </w:tcPr>
          <w:p>
            <w:pPr>
              <w:pStyle w:val="TableParagraph"/>
              <w:spacing w:before="2"/>
              <w:rPr>
                <w:rFonts w:ascii="黑体"/>
                <w:sz w:val="28"/>
              </w:rPr>
            </w:pPr>
          </w:p>
          <w:p>
            <w:pPr>
              <w:pStyle w:val="TableParagraph"/>
              <w:ind w:left="101" w:right="101"/>
              <w:jc w:val="center"/>
              <w:rPr>
                <w:sz w:val="20"/>
              </w:rPr>
            </w:pPr>
            <w:r>
              <w:rPr>
                <w:sz w:val="20"/>
              </w:rPr>
              <w:t>教育局</w:t>
            </w:r>
          </w:p>
        </w:tc>
      </w:tr>
      <w:tr>
        <w:trPr>
          <w:trHeight w:val="1060" w:hRule="atLeast"/>
        </w:trPr>
        <w:tc>
          <w:tcPr>
            <w:tcW w:w="544" w:type="dxa"/>
          </w:tcPr>
          <w:p>
            <w:pPr>
              <w:pStyle w:val="TableParagraph"/>
              <w:spacing w:before="2"/>
              <w:rPr>
                <w:rFonts w:ascii="黑体"/>
                <w:sz w:val="28"/>
              </w:rPr>
            </w:pPr>
          </w:p>
          <w:p>
            <w:pPr>
              <w:pStyle w:val="TableParagraph"/>
              <w:ind w:left="145" w:right="146"/>
              <w:jc w:val="center"/>
              <w:rPr>
                <w:sz w:val="20"/>
              </w:rPr>
            </w:pPr>
            <w:r>
              <w:rPr>
                <w:sz w:val="20"/>
              </w:rPr>
              <w:t>48</w:t>
            </w:r>
          </w:p>
        </w:tc>
        <w:tc>
          <w:tcPr>
            <w:tcW w:w="2160" w:type="dxa"/>
          </w:tcPr>
          <w:p>
            <w:pPr>
              <w:pStyle w:val="TableParagraph"/>
              <w:spacing w:before="6"/>
              <w:rPr>
                <w:rFonts w:ascii="黑体"/>
                <w:sz w:val="18"/>
              </w:rPr>
            </w:pPr>
          </w:p>
          <w:p>
            <w:pPr>
              <w:pStyle w:val="TableParagraph"/>
              <w:spacing w:line="237" w:lineRule="auto"/>
              <w:ind w:left="374" w:right="156" w:hanging="200"/>
              <w:rPr>
                <w:sz w:val="20"/>
              </w:rPr>
            </w:pPr>
            <w:r>
              <w:rPr>
                <w:sz w:val="20"/>
              </w:rPr>
              <w:t>北大多元教育实验学校（乐山）项目</w:t>
            </w:r>
          </w:p>
        </w:tc>
        <w:tc>
          <w:tcPr>
            <w:tcW w:w="1260" w:type="dxa"/>
          </w:tcPr>
          <w:p>
            <w:pPr>
              <w:pStyle w:val="TableParagraph"/>
              <w:spacing w:before="2"/>
              <w:rPr>
                <w:rFonts w:ascii="黑体"/>
                <w:sz w:val="28"/>
              </w:rPr>
            </w:pPr>
          </w:p>
          <w:p>
            <w:pPr>
              <w:pStyle w:val="TableParagraph"/>
              <w:ind w:right="172"/>
              <w:jc w:val="right"/>
              <w:rPr>
                <w:sz w:val="20"/>
              </w:rPr>
            </w:pPr>
            <w:r>
              <w:rPr>
                <w:sz w:val="20"/>
              </w:rPr>
              <w:t>2016-2018</w:t>
            </w:r>
          </w:p>
        </w:tc>
        <w:tc>
          <w:tcPr>
            <w:tcW w:w="3534" w:type="dxa"/>
          </w:tcPr>
          <w:p>
            <w:pPr>
              <w:pStyle w:val="TableParagraph"/>
              <w:spacing w:before="2"/>
              <w:rPr>
                <w:rFonts w:ascii="黑体"/>
                <w:sz w:val="28"/>
              </w:rPr>
            </w:pPr>
          </w:p>
          <w:p>
            <w:pPr>
              <w:pStyle w:val="TableParagraph"/>
              <w:ind w:left="1" w:right="2"/>
              <w:jc w:val="center"/>
              <w:rPr>
                <w:sz w:val="20"/>
              </w:rPr>
            </w:pPr>
            <w:r>
              <w:rPr>
                <w:sz w:val="20"/>
              </w:rPr>
              <w:t>建筑面积 12 万平方米，占地 200 亩</w:t>
            </w:r>
          </w:p>
        </w:tc>
        <w:tc>
          <w:tcPr>
            <w:tcW w:w="1116" w:type="dxa"/>
          </w:tcPr>
          <w:p>
            <w:pPr>
              <w:pStyle w:val="TableParagraph"/>
              <w:spacing w:before="2"/>
              <w:rPr>
                <w:rFonts w:ascii="黑体"/>
                <w:sz w:val="28"/>
              </w:rPr>
            </w:pPr>
          </w:p>
          <w:p>
            <w:pPr>
              <w:pStyle w:val="TableParagraph"/>
              <w:ind w:left="183" w:right="182"/>
              <w:jc w:val="center"/>
              <w:rPr>
                <w:sz w:val="20"/>
              </w:rPr>
            </w:pPr>
            <w:r>
              <w:rPr>
                <w:sz w:val="20"/>
              </w:rPr>
              <w:t>41000</w:t>
            </w:r>
          </w:p>
        </w:tc>
        <w:tc>
          <w:tcPr>
            <w:tcW w:w="1253" w:type="dxa"/>
          </w:tcPr>
          <w:p>
            <w:pPr>
              <w:pStyle w:val="TableParagraph"/>
              <w:spacing w:line="237" w:lineRule="auto" w:before="112"/>
              <w:ind w:left="120" w:right="119" w:firstLine="50"/>
              <w:jc w:val="both"/>
              <w:rPr>
                <w:sz w:val="20"/>
              </w:rPr>
            </w:pPr>
            <w:r>
              <w:rPr>
                <w:sz w:val="20"/>
              </w:rPr>
              <w:t>教育局/乐山三江临港经济开发区</w:t>
            </w:r>
          </w:p>
        </w:tc>
      </w:tr>
      <w:tr>
        <w:trPr>
          <w:trHeight w:val="1060" w:hRule="atLeast"/>
        </w:trPr>
        <w:tc>
          <w:tcPr>
            <w:tcW w:w="544" w:type="dxa"/>
          </w:tcPr>
          <w:p>
            <w:pPr>
              <w:pStyle w:val="TableParagraph"/>
              <w:spacing w:before="2"/>
              <w:rPr>
                <w:rFonts w:ascii="黑体"/>
                <w:sz w:val="28"/>
              </w:rPr>
            </w:pPr>
          </w:p>
          <w:p>
            <w:pPr>
              <w:pStyle w:val="TableParagraph"/>
              <w:ind w:left="145" w:right="146"/>
              <w:jc w:val="center"/>
              <w:rPr>
                <w:sz w:val="20"/>
              </w:rPr>
            </w:pPr>
            <w:r>
              <w:rPr>
                <w:sz w:val="20"/>
              </w:rPr>
              <w:t>49</w:t>
            </w:r>
          </w:p>
        </w:tc>
        <w:tc>
          <w:tcPr>
            <w:tcW w:w="2160" w:type="dxa"/>
          </w:tcPr>
          <w:p>
            <w:pPr>
              <w:pStyle w:val="TableParagraph"/>
              <w:spacing w:before="6"/>
              <w:rPr>
                <w:rFonts w:ascii="黑体"/>
                <w:sz w:val="18"/>
              </w:rPr>
            </w:pPr>
          </w:p>
          <w:p>
            <w:pPr>
              <w:pStyle w:val="TableParagraph"/>
              <w:spacing w:line="237" w:lineRule="auto"/>
              <w:ind w:left="173" w:right="28" w:hanging="71"/>
              <w:rPr>
                <w:sz w:val="20"/>
              </w:rPr>
            </w:pPr>
            <w:r>
              <w:rPr>
                <w:sz w:val="20"/>
              </w:rPr>
              <w:t>新建临港一小、临港一中、临港第一幼儿园</w:t>
            </w:r>
          </w:p>
        </w:tc>
        <w:tc>
          <w:tcPr>
            <w:tcW w:w="1260" w:type="dxa"/>
          </w:tcPr>
          <w:p>
            <w:pPr>
              <w:pStyle w:val="TableParagraph"/>
              <w:spacing w:before="2"/>
              <w:rPr>
                <w:rFonts w:ascii="黑体"/>
                <w:sz w:val="28"/>
              </w:rPr>
            </w:pPr>
          </w:p>
          <w:p>
            <w:pPr>
              <w:pStyle w:val="TableParagraph"/>
              <w:ind w:left="102"/>
              <w:rPr>
                <w:sz w:val="20"/>
              </w:rPr>
            </w:pPr>
            <w:r>
              <w:rPr>
                <w:sz w:val="20"/>
              </w:rPr>
              <w:t>2017-2023</w:t>
            </w:r>
          </w:p>
        </w:tc>
        <w:tc>
          <w:tcPr>
            <w:tcW w:w="3534" w:type="dxa"/>
          </w:tcPr>
          <w:p>
            <w:pPr>
              <w:pStyle w:val="TableParagraph"/>
              <w:spacing w:before="6"/>
              <w:rPr>
                <w:rFonts w:ascii="黑体"/>
                <w:sz w:val="18"/>
              </w:rPr>
            </w:pPr>
          </w:p>
          <w:p>
            <w:pPr>
              <w:pStyle w:val="TableParagraph"/>
              <w:spacing w:line="237" w:lineRule="auto"/>
              <w:ind w:left="360" w:right="2" w:hanging="258"/>
              <w:rPr>
                <w:sz w:val="20"/>
              </w:rPr>
            </w:pPr>
            <w:r>
              <w:rPr>
                <w:spacing w:val="-18"/>
                <w:sz w:val="20"/>
              </w:rPr>
              <w:t>占地 </w:t>
            </w:r>
            <w:r>
              <w:rPr>
                <w:sz w:val="20"/>
              </w:rPr>
              <w:t>110</w:t>
            </w:r>
            <w:r>
              <w:rPr>
                <w:spacing w:val="-8"/>
                <w:sz w:val="20"/>
              </w:rPr>
              <w:t> 亩，建设相应的校舍及场地、</w:t>
            </w:r>
            <w:r>
              <w:rPr>
                <w:spacing w:val="-1"/>
                <w:sz w:val="20"/>
              </w:rPr>
              <w:t>附属工程建设、相关设备购置等</w:t>
            </w:r>
          </w:p>
        </w:tc>
        <w:tc>
          <w:tcPr>
            <w:tcW w:w="1116" w:type="dxa"/>
          </w:tcPr>
          <w:p>
            <w:pPr>
              <w:pStyle w:val="TableParagraph"/>
              <w:spacing w:before="2"/>
              <w:rPr>
                <w:rFonts w:ascii="黑体"/>
                <w:sz w:val="28"/>
              </w:rPr>
            </w:pPr>
          </w:p>
          <w:p>
            <w:pPr>
              <w:pStyle w:val="TableParagraph"/>
              <w:ind w:left="183" w:right="183"/>
              <w:jc w:val="center"/>
              <w:rPr>
                <w:sz w:val="20"/>
              </w:rPr>
            </w:pPr>
            <w:r>
              <w:rPr>
                <w:sz w:val="20"/>
              </w:rPr>
              <w:t>20000</w:t>
            </w:r>
          </w:p>
        </w:tc>
        <w:tc>
          <w:tcPr>
            <w:tcW w:w="1253" w:type="dxa"/>
          </w:tcPr>
          <w:p>
            <w:pPr>
              <w:pStyle w:val="TableParagraph"/>
              <w:spacing w:line="237" w:lineRule="auto" w:before="112"/>
              <w:ind w:left="120" w:right="119" w:firstLine="50"/>
              <w:jc w:val="both"/>
              <w:rPr>
                <w:sz w:val="20"/>
              </w:rPr>
            </w:pPr>
            <w:r>
              <w:rPr>
                <w:sz w:val="20"/>
              </w:rPr>
              <w:t>教育局/乐山三江临港经济开发区</w:t>
            </w:r>
          </w:p>
        </w:tc>
      </w:tr>
      <w:tr>
        <w:trPr>
          <w:trHeight w:val="1060" w:hRule="atLeast"/>
        </w:trPr>
        <w:tc>
          <w:tcPr>
            <w:tcW w:w="544" w:type="dxa"/>
          </w:tcPr>
          <w:p>
            <w:pPr>
              <w:pStyle w:val="TableParagraph"/>
              <w:spacing w:before="2"/>
              <w:rPr>
                <w:rFonts w:ascii="黑体"/>
                <w:sz w:val="28"/>
              </w:rPr>
            </w:pPr>
          </w:p>
          <w:p>
            <w:pPr>
              <w:pStyle w:val="TableParagraph"/>
              <w:ind w:left="145" w:right="146"/>
              <w:jc w:val="center"/>
              <w:rPr>
                <w:sz w:val="20"/>
              </w:rPr>
            </w:pPr>
            <w:r>
              <w:rPr>
                <w:sz w:val="20"/>
              </w:rPr>
              <w:t>50</w:t>
            </w:r>
          </w:p>
        </w:tc>
        <w:tc>
          <w:tcPr>
            <w:tcW w:w="2160" w:type="dxa"/>
          </w:tcPr>
          <w:p>
            <w:pPr>
              <w:pStyle w:val="TableParagraph"/>
              <w:spacing w:before="6"/>
              <w:rPr>
                <w:rFonts w:ascii="黑体"/>
                <w:sz w:val="18"/>
              </w:rPr>
            </w:pPr>
          </w:p>
          <w:p>
            <w:pPr>
              <w:pStyle w:val="TableParagraph"/>
              <w:spacing w:line="237" w:lineRule="auto"/>
              <w:ind w:left="874" w:right="156" w:hanging="700"/>
              <w:rPr>
                <w:sz w:val="20"/>
              </w:rPr>
            </w:pPr>
            <w:r>
              <w:rPr>
                <w:sz w:val="20"/>
              </w:rPr>
              <w:t>冠英镇新建一民办幼儿园</w:t>
            </w:r>
          </w:p>
        </w:tc>
        <w:tc>
          <w:tcPr>
            <w:tcW w:w="1260" w:type="dxa"/>
          </w:tcPr>
          <w:p>
            <w:pPr>
              <w:pStyle w:val="TableParagraph"/>
              <w:spacing w:before="2"/>
              <w:rPr>
                <w:rFonts w:ascii="黑体"/>
                <w:sz w:val="28"/>
              </w:rPr>
            </w:pPr>
          </w:p>
          <w:p>
            <w:pPr>
              <w:pStyle w:val="TableParagraph"/>
              <w:ind w:right="173"/>
              <w:jc w:val="right"/>
              <w:rPr>
                <w:sz w:val="20"/>
              </w:rPr>
            </w:pPr>
            <w:r>
              <w:rPr>
                <w:sz w:val="20"/>
              </w:rPr>
              <w:t>2017-2019</w:t>
            </w:r>
          </w:p>
        </w:tc>
        <w:tc>
          <w:tcPr>
            <w:tcW w:w="3534" w:type="dxa"/>
          </w:tcPr>
          <w:p>
            <w:pPr>
              <w:pStyle w:val="TableParagraph"/>
              <w:spacing w:before="2"/>
              <w:rPr>
                <w:rFonts w:ascii="黑体"/>
                <w:sz w:val="28"/>
              </w:rPr>
            </w:pPr>
          </w:p>
          <w:p>
            <w:pPr>
              <w:pStyle w:val="TableParagraph"/>
              <w:ind w:left="1" w:right="2"/>
              <w:jc w:val="center"/>
              <w:rPr>
                <w:sz w:val="20"/>
              </w:rPr>
            </w:pPr>
            <w:r>
              <w:rPr>
                <w:sz w:val="20"/>
              </w:rPr>
              <w:t>占地 5-10 亩，并建设相应校舍及场地</w:t>
            </w:r>
          </w:p>
        </w:tc>
        <w:tc>
          <w:tcPr>
            <w:tcW w:w="1116" w:type="dxa"/>
          </w:tcPr>
          <w:p>
            <w:pPr>
              <w:pStyle w:val="TableParagraph"/>
              <w:spacing w:before="2"/>
              <w:rPr>
                <w:rFonts w:ascii="黑体"/>
                <w:sz w:val="28"/>
              </w:rPr>
            </w:pPr>
          </w:p>
          <w:p>
            <w:pPr>
              <w:pStyle w:val="TableParagraph"/>
              <w:ind w:left="183" w:right="183"/>
              <w:jc w:val="center"/>
              <w:rPr>
                <w:sz w:val="20"/>
              </w:rPr>
            </w:pPr>
            <w:r>
              <w:rPr>
                <w:sz w:val="20"/>
              </w:rPr>
              <w:t>1500</w:t>
            </w:r>
          </w:p>
        </w:tc>
        <w:tc>
          <w:tcPr>
            <w:tcW w:w="1253" w:type="dxa"/>
          </w:tcPr>
          <w:p>
            <w:pPr>
              <w:pStyle w:val="TableParagraph"/>
              <w:spacing w:line="237" w:lineRule="auto" w:before="112"/>
              <w:ind w:left="120" w:right="119" w:firstLine="50"/>
              <w:jc w:val="both"/>
              <w:rPr>
                <w:sz w:val="20"/>
              </w:rPr>
            </w:pPr>
            <w:r>
              <w:rPr>
                <w:sz w:val="20"/>
              </w:rPr>
              <w:t>教育局/乐山三江临港经济开发区</w:t>
            </w:r>
          </w:p>
        </w:tc>
      </w:tr>
      <w:tr>
        <w:trPr>
          <w:trHeight w:val="1060" w:hRule="atLeast"/>
        </w:trPr>
        <w:tc>
          <w:tcPr>
            <w:tcW w:w="544" w:type="dxa"/>
          </w:tcPr>
          <w:p>
            <w:pPr>
              <w:pStyle w:val="TableParagraph"/>
              <w:spacing w:before="2"/>
              <w:rPr>
                <w:rFonts w:ascii="黑体"/>
                <w:sz w:val="28"/>
              </w:rPr>
            </w:pPr>
          </w:p>
          <w:p>
            <w:pPr>
              <w:pStyle w:val="TableParagraph"/>
              <w:ind w:left="145" w:right="146"/>
              <w:jc w:val="center"/>
              <w:rPr>
                <w:sz w:val="20"/>
              </w:rPr>
            </w:pPr>
            <w:r>
              <w:rPr>
                <w:sz w:val="20"/>
              </w:rPr>
              <w:t>51</w:t>
            </w:r>
          </w:p>
        </w:tc>
        <w:tc>
          <w:tcPr>
            <w:tcW w:w="2160" w:type="dxa"/>
          </w:tcPr>
          <w:p>
            <w:pPr>
              <w:pStyle w:val="TableParagraph"/>
              <w:spacing w:before="6"/>
              <w:rPr>
                <w:rFonts w:ascii="黑体"/>
                <w:sz w:val="18"/>
              </w:rPr>
            </w:pPr>
          </w:p>
          <w:p>
            <w:pPr>
              <w:pStyle w:val="TableParagraph"/>
              <w:spacing w:line="237" w:lineRule="auto"/>
              <w:ind w:left="773" w:right="165" w:hanging="599"/>
              <w:rPr>
                <w:sz w:val="20"/>
              </w:rPr>
            </w:pPr>
            <w:r>
              <w:rPr>
                <w:spacing w:val="-9"/>
                <w:sz w:val="20"/>
              </w:rPr>
              <w:t>牛华镇改建 </w:t>
            </w:r>
            <w:r>
              <w:rPr>
                <w:sz w:val="20"/>
              </w:rPr>
              <w:t>1</w:t>
            </w:r>
            <w:r>
              <w:rPr>
                <w:spacing w:val="-14"/>
                <w:sz w:val="20"/>
              </w:rPr>
              <w:t> 所民办幼儿园</w:t>
            </w:r>
          </w:p>
        </w:tc>
        <w:tc>
          <w:tcPr>
            <w:tcW w:w="1260" w:type="dxa"/>
          </w:tcPr>
          <w:p>
            <w:pPr>
              <w:pStyle w:val="TableParagraph"/>
              <w:spacing w:before="2"/>
              <w:rPr>
                <w:rFonts w:ascii="黑体"/>
                <w:sz w:val="28"/>
              </w:rPr>
            </w:pPr>
          </w:p>
          <w:p>
            <w:pPr>
              <w:pStyle w:val="TableParagraph"/>
              <w:ind w:right="172"/>
              <w:jc w:val="right"/>
              <w:rPr>
                <w:sz w:val="20"/>
              </w:rPr>
            </w:pPr>
            <w:r>
              <w:rPr>
                <w:sz w:val="20"/>
              </w:rPr>
              <w:t>2015-2016</w:t>
            </w:r>
          </w:p>
        </w:tc>
        <w:tc>
          <w:tcPr>
            <w:tcW w:w="3534" w:type="dxa"/>
          </w:tcPr>
          <w:p>
            <w:pPr>
              <w:pStyle w:val="TableParagraph"/>
              <w:spacing w:before="2"/>
              <w:rPr>
                <w:rFonts w:ascii="黑体"/>
                <w:sz w:val="28"/>
              </w:rPr>
            </w:pPr>
          </w:p>
          <w:p>
            <w:pPr>
              <w:pStyle w:val="TableParagraph"/>
              <w:ind w:left="2" w:right="2"/>
              <w:jc w:val="center"/>
              <w:rPr>
                <w:sz w:val="20"/>
              </w:rPr>
            </w:pPr>
            <w:r>
              <w:rPr>
                <w:sz w:val="20"/>
              </w:rPr>
              <w:t>依托现有建筑及其场地，改建幼儿园</w:t>
            </w:r>
          </w:p>
        </w:tc>
        <w:tc>
          <w:tcPr>
            <w:tcW w:w="1116" w:type="dxa"/>
          </w:tcPr>
          <w:p>
            <w:pPr>
              <w:pStyle w:val="TableParagraph"/>
              <w:spacing w:before="2"/>
              <w:rPr>
                <w:rFonts w:ascii="黑体"/>
                <w:sz w:val="28"/>
              </w:rPr>
            </w:pPr>
          </w:p>
          <w:p>
            <w:pPr>
              <w:pStyle w:val="TableParagraph"/>
              <w:ind w:left="183" w:right="183"/>
              <w:jc w:val="center"/>
              <w:rPr>
                <w:sz w:val="20"/>
              </w:rPr>
            </w:pPr>
            <w:r>
              <w:rPr>
                <w:sz w:val="20"/>
              </w:rPr>
              <w:t>500</w:t>
            </w:r>
          </w:p>
        </w:tc>
        <w:tc>
          <w:tcPr>
            <w:tcW w:w="1253" w:type="dxa"/>
          </w:tcPr>
          <w:p>
            <w:pPr>
              <w:pStyle w:val="TableParagraph"/>
              <w:spacing w:before="2"/>
              <w:rPr>
                <w:rFonts w:ascii="黑体"/>
                <w:sz w:val="28"/>
              </w:rPr>
            </w:pPr>
          </w:p>
          <w:p>
            <w:pPr>
              <w:pStyle w:val="TableParagraph"/>
              <w:ind w:left="101" w:right="101"/>
              <w:jc w:val="center"/>
              <w:rPr>
                <w:sz w:val="20"/>
              </w:rPr>
            </w:pPr>
            <w:r>
              <w:rPr>
                <w:sz w:val="20"/>
              </w:rPr>
              <w:t>教育局</w:t>
            </w:r>
          </w:p>
        </w:tc>
      </w:tr>
      <w:tr>
        <w:trPr>
          <w:trHeight w:val="1060" w:hRule="atLeast"/>
        </w:trPr>
        <w:tc>
          <w:tcPr>
            <w:tcW w:w="544" w:type="dxa"/>
          </w:tcPr>
          <w:p>
            <w:pPr>
              <w:pStyle w:val="TableParagraph"/>
              <w:spacing w:before="2"/>
              <w:rPr>
                <w:rFonts w:ascii="黑体"/>
                <w:sz w:val="28"/>
              </w:rPr>
            </w:pPr>
          </w:p>
          <w:p>
            <w:pPr>
              <w:pStyle w:val="TableParagraph"/>
              <w:ind w:left="145" w:right="146"/>
              <w:jc w:val="center"/>
              <w:rPr>
                <w:sz w:val="20"/>
              </w:rPr>
            </w:pPr>
            <w:r>
              <w:rPr>
                <w:sz w:val="20"/>
              </w:rPr>
              <w:t>52</w:t>
            </w:r>
          </w:p>
        </w:tc>
        <w:tc>
          <w:tcPr>
            <w:tcW w:w="2160" w:type="dxa"/>
          </w:tcPr>
          <w:p>
            <w:pPr>
              <w:pStyle w:val="TableParagraph"/>
              <w:spacing w:before="6"/>
              <w:rPr>
                <w:rFonts w:ascii="黑体"/>
                <w:sz w:val="18"/>
              </w:rPr>
            </w:pPr>
          </w:p>
          <w:p>
            <w:pPr>
              <w:pStyle w:val="TableParagraph"/>
              <w:spacing w:line="237" w:lineRule="auto"/>
              <w:ind w:left="773" w:right="165" w:hanging="599"/>
              <w:rPr>
                <w:sz w:val="20"/>
              </w:rPr>
            </w:pPr>
            <w:r>
              <w:rPr>
                <w:spacing w:val="-9"/>
                <w:sz w:val="20"/>
              </w:rPr>
              <w:t>竹根镇新建 </w:t>
            </w:r>
            <w:r>
              <w:rPr>
                <w:sz w:val="20"/>
              </w:rPr>
              <w:t>2</w:t>
            </w:r>
            <w:r>
              <w:rPr>
                <w:spacing w:val="-14"/>
                <w:sz w:val="20"/>
              </w:rPr>
              <w:t> 所民办幼儿园</w:t>
            </w:r>
          </w:p>
        </w:tc>
        <w:tc>
          <w:tcPr>
            <w:tcW w:w="1260" w:type="dxa"/>
          </w:tcPr>
          <w:p>
            <w:pPr>
              <w:pStyle w:val="TableParagraph"/>
              <w:spacing w:before="2"/>
              <w:rPr>
                <w:rFonts w:ascii="黑体"/>
                <w:sz w:val="28"/>
              </w:rPr>
            </w:pPr>
          </w:p>
          <w:p>
            <w:pPr>
              <w:pStyle w:val="TableParagraph"/>
              <w:ind w:left="102"/>
              <w:rPr>
                <w:sz w:val="20"/>
              </w:rPr>
            </w:pPr>
            <w:r>
              <w:rPr>
                <w:sz w:val="20"/>
              </w:rPr>
              <w:t>2016-2019</w:t>
            </w:r>
          </w:p>
        </w:tc>
        <w:tc>
          <w:tcPr>
            <w:tcW w:w="3534" w:type="dxa"/>
          </w:tcPr>
          <w:p>
            <w:pPr>
              <w:pStyle w:val="TableParagraph"/>
              <w:spacing w:before="2"/>
              <w:rPr>
                <w:rFonts w:ascii="黑体"/>
                <w:sz w:val="28"/>
              </w:rPr>
            </w:pPr>
          </w:p>
          <w:p>
            <w:pPr>
              <w:pStyle w:val="TableParagraph"/>
              <w:ind w:left="2" w:right="2"/>
              <w:jc w:val="center"/>
              <w:rPr>
                <w:sz w:val="20"/>
              </w:rPr>
            </w:pPr>
            <w:r>
              <w:rPr>
                <w:sz w:val="20"/>
              </w:rPr>
              <w:t>占地 5-10 亩，并建设相应校舍及场地</w:t>
            </w:r>
          </w:p>
        </w:tc>
        <w:tc>
          <w:tcPr>
            <w:tcW w:w="1116" w:type="dxa"/>
          </w:tcPr>
          <w:p>
            <w:pPr>
              <w:pStyle w:val="TableParagraph"/>
              <w:spacing w:before="2"/>
              <w:rPr>
                <w:rFonts w:ascii="黑体"/>
                <w:sz w:val="28"/>
              </w:rPr>
            </w:pPr>
          </w:p>
          <w:p>
            <w:pPr>
              <w:pStyle w:val="TableParagraph"/>
              <w:ind w:left="183" w:right="183"/>
              <w:jc w:val="center"/>
              <w:rPr>
                <w:sz w:val="20"/>
              </w:rPr>
            </w:pPr>
            <w:r>
              <w:rPr>
                <w:sz w:val="20"/>
              </w:rPr>
              <w:t>3000</w:t>
            </w:r>
          </w:p>
        </w:tc>
        <w:tc>
          <w:tcPr>
            <w:tcW w:w="1253" w:type="dxa"/>
          </w:tcPr>
          <w:p>
            <w:pPr>
              <w:pStyle w:val="TableParagraph"/>
              <w:spacing w:before="2"/>
              <w:rPr>
                <w:rFonts w:ascii="黑体"/>
                <w:sz w:val="28"/>
              </w:rPr>
            </w:pPr>
          </w:p>
          <w:p>
            <w:pPr>
              <w:pStyle w:val="TableParagraph"/>
              <w:ind w:left="101" w:right="101"/>
              <w:jc w:val="center"/>
              <w:rPr>
                <w:sz w:val="20"/>
              </w:rPr>
            </w:pPr>
            <w:r>
              <w:rPr>
                <w:sz w:val="20"/>
              </w:rPr>
              <w:t>教育局</w:t>
            </w:r>
          </w:p>
        </w:tc>
      </w:tr>
      <w:tr>
        <w:trPr>
          <w:trHeight w:val="1060" w:hRule="atLeast"/>
        </w:trPr>
        <w:tc>
          <w:tcPr>
            <w:tcW w:w="544" w:type="dxa"/>
          </w:tcPr>
          <w:p>
            <w:pPr>
              <w:pStyle w:val="TableParagraph"/>
              <w:spacing w:before="2"/>
              <w:rPr>
                <w:rFonts w:ascii="黑体"/>
                <w:sz w:val="28"/>
              </w:rPr>
            </w:pPr>
          </w:p>
          <w:p>
            <w:pPr>
              <w:pStyle w:val="TableParagraph"/>
              <w:ind w:left="145" w:right="146"/>
              <w:jc w:val="center"/>
              <w:rPr>
                <w:sz w:val="20"/>
              </w:rPr>
            </w:pPr>
            <w:r>
              <w:rPr>
                <w:sz w:val="20"/>
              </w:rPr>
              <w:t>53</w:t>
            </w:r>
          </w:p>
        </w:tc>
        <w:tc>
          <w:tcPr>
            <w:tcW w:w="2160" w:type="dxa"/>
          </w:tcPr>
          <w:p>
            <w:pPr>
              <w:pStyle w:val="TableParagraph"/>
              <w:spacing w:before="6"/>
              <w:rPr>
                <w:rFonts w:ascii="黑体"/>
                <w:sz w:val="18"/>
              </w:rPr>
            </w:pPr>
          </w:p>
          <w:p>
            <w:pPr>
              <w:pStyle w:val="TableParagraph"/>
              <w:spacing w:line="237" w:lineRule="auto"/>
              <w:ind w:left="773" w:right="165" w:hanging="599"/>
              <w:rPr>
                <w:sz w:val="20"/>
              </w:rPr>
            </w:pPr>
            <w:r>
              <w:rPr>
                <w:spacing w:val="-9"/>
                <w:sz w:val="20"/>
              </w:rPr>
              <w:t>石麟镇新建 </w:t>
            </w:r>
            <w:r>
              <w:rPr>
                <w:sz w:val="20"/>
              </w:rPr>
              <w:t>1</w:t>
            </w:r>
            <w:r>
              <w:rPr>
                <w:spacing w:val="-14"/>
                <w:sz w:val="20"/>
              </w:rPr>
              <w:t> 所民办幼儿园</w:t>
            </w:r>
          </w:p>
        </w:tc>
        <w:tc>
          <w:tcPr>
            <w:tcW w:w="1260" w:type="dxa"/>
          </w:tcPr>
          <w:p>
            <w:pPr>
              <w:pStyle w:val="TableParagraph"/>
              <w:spacing w:before="2"/>
              <w:rPr>
                <w:rFonts w:ascii="黑体"/>
                <w:sz w:val="28"/>
              </w:rPr>
            </w:pPr>
          </w:p>
          <w:p>
            <w:pPr>
              <w:pStyle w:val="TableParagraph"/>
              <w:ind w:left="154" w:right="154"/>
              <w:jc w:val="center"/>
              <w:rPr>
                <w:sz w:val="20"/>
              </w:rPr>
            </w:pPr>
            <w:r>
              <w:rPr>
                <w:sz w:val="20"/>
              </w:rPr>
              <w:t>2017</w:t>
            </w:r>
          </w:p>
        </w:tc>
        <w:tc>
          <w:tcPr>
            <w:tcW w:w="3534" w:type="dxa"/>
          </w:tcPr>
          <w:p>
            <w:pPr>
              <w:pStyle w:val="TableParagraph"/>
              <w:spacing w:before="2"/>
              <w:rPr>
                <w:rFonts w:ascii="黑体"/>
                <w:sz w:val="28"/>
              </w:rPr>
            </w:pPr>
          </w:p>
          <w:p>
            <w:pPr>
              <w:pStyle w:val="TableParagraph"/>
              <w:ind w:left="2" w:right="2"/>
              <w:jc w:val="center"/>
              <w:rPr>
                <w:sz w:val="20"/>
              </w:rPr>
            </w:pPr>
            <w:r>
              <w:rPr>
                <w:sz w:val="20"/>
              </w:rPr>
              <w:t>占地 5-10 亩，并建设相应校舍及场地</w:t>
            </w:r>
          </w:p>
        </w:tc>
        <w:tc>
          <w:tcPr>
            <w:tcW w:w="1116" w:type="dxa"/>
          </w:tcPr>
          <w:p>
            <w:pPr>
              <w:pStyle w:val="TableParagraph"/>
              <w:spacing w:before="2"/>
              <w:rPr>
                <w:rFonts w:ascii="黑体"/>
                <w:sz w:val="28"/>
              </w:rPr>
            </w:pPr>
          </w:p>
          <w:p>
            <w:pPr>
              <w:pStyle w:val="TableParagraph"/>
              <w:ind w:left="183" w:right="183"/>
              <w:jc w:val="center"/>
              <w:rPr>
                <w:sz w:val="20"/>
              </w:rPr>
            </w:pPr>
            <w:r>
              <w:rPr>
                <w:sz w:val="20"/>
              </w:rPr>
              <w:t>1500</w:t>
            </w:r>
          </w:p>
        </w:tc>
        <w:tc>
          <w:tcPr>
            <w:tcW w:w="1253" w:type="dxa"/>
          </w:tcPr>
          <w:p>
            <w:pPr>
              <w:pStyle w:val="TableParagraph"/>
              <w:spacing w:before="2"/>
              <w:rPr>
                <w:rFonts w:ascii="黑体"/>
                <w:sz w:val="28"/>
              </w:rPr>
            </w:pPr>
          </w:p>
          <w:p>
            <w:pPr>
              <w:pStyle w:val="TableParagraph"/>
              <w:ind w:left="100" w:right="101"/>
              <w:jc w:val="center"/>
              <w:rPr>
                <w:sz w:val="20"/>
              </w:rPr>
            </w:pPr>
            <w:r>
              <w:rPr>
                <w:sz w:val="20"/>
              </w:rPr>
              <w:t>教育局</w:t>
            </w:r>
          </w:p>
        </w:tc>
      </w:tr>
      <w:tr>
        <w:trPr>
          <w:trHeight w:val="1680" w:hRule="atLeast"/>
        </w:trPr>
        <w:tc>
          <w:tcPr>
            <w:tcW w:w="544" w:type="dxa"/>
          </w:tcPr>
          <w:p>
            <w:pPr>
              <w:pStyle w:val="TableParagraph"/>
              <w:rPr>
                <w:rFonts w:ascii="黑体"/>
                <w:sz w:val="20"/>
              </w:rPr>
            </w:pPr>
          </w:p>
          <w:p>
            <w:pPr>
              <w:pStyle w:val="TableParagraph"/>
              <w:rPr>
                <w:rFonts w:ascii="黑体"/>
                <w:sz w:val="20"/>
              </w:rPr>
            </w:pPr>
          </w:p>
          <w:p>
            <w:pPr>
              <w:pStyle w:val="TableParagraph"/>
              <w:spacing w:before="158"/>
              <w:ind w:left="146" w:right="146"/>
              <w:jc w:val="center"/>
              <w:rPr>
                <w:sz w:val="20"/>
              </w:rPr>
            </w:pPr>
            <w:r>
              <w:rPr>
                <w:sz w:val="20"/>
              </w:rPr>
              <w:t>54</w:t>
            </w:r>
          </w:p>
        </w:tc>
        <w:tc>
          <w:tcPr>
            <w:tcW w:w="2160" w:type="dxa"/>
          </w:tcPr>
          <w:p>
            <w:pPr>
              <w:pStyle w:val="TableParagraph"/>
              <w:rPr>
                <w:rFonts w:ascii="黑体"/>
                <w:sz w:val="20"/>
              </w:rPr>
            </w:pPr>
          </w:p>
          <w:p>
            <w:pPr>
              <w:pStyle w:val="TableParagraph"/>
              <w:rPr>
                <w:rFonts w:ascii="黑体"/>
                <w:sz w:val="20"/>
              </w:rPr>
            </w:pPr>
          </w:p>
          <w:p>
            <w:pPr>
              <w:pStyle w:val="TableParagraph"/>
              <w:spacing w:before="158"/>
              <w:ind w:left="273"/>
              <w:rPr>
                <w:sz w:val="20"/>
              </w:rPr>
            </w:pPr>
            <w:r>
              <w:rPr>
                <w:sz w:val="20"/>
              </w:rPr>
              <w:t>区气象现代化建设</w:t>
            </w:r>
          </w:p>
        </w:tc>
        <w:tc>
          <w:tcPr>
            <w:tcW w:w="1260" w:type="dxa"/>
          </w:tcPr>
          <w:p>
            <w:pPr>
              <w:pStyle w:val="TableParagraph"/>
              <w:rPr>
                <w:rFonts w:ascii="黑体"/>
                <w:sz w:val="20"/>
              </w:rPr>
            </w:pPr>
          </w:p>
          <w:p>
            <w:pPr>
              <w:pStyle w:val="TableParagraph"/>
              <w:rPr>
                <w:rFonts w:ascii="黑体"/>
                <w:sz w:val="20"/>
              </w:rPr>
            </w:pPr>
          </w:p>
          <w:p>
            <w:pPr>
              <w:pStyle w:val="TableParagraph"/>
              <w:spacing w:before="158"/>
              <w:ind w:right="172"/>
              <w:jc w:val="right"/>
              <w:rPr>
                <w:sz w:val="20"/>
              </w:rPr>
            </w:pPr>
            <w:r>
              <w:rPr>
                <w:sz w:val="20"/>
              </w:rPr>
              <w:t>2016-2020</w:t>
            </w:r>
          </w:p>
        </w:tc>
        <w:tc>
          <w:tcPr>
            <w:tcW w:w="3534" w:type="dxa"/>
          </w:tcPr>
          <w:p>
            <w:pPr>
              <w:pStyle w:val="TableParagraph"/>
              <w:spacing w:line="237" w:lineRule="auto" w:before="36"/>
              <w:ind w:left="111" w:right="109" w:hanging="1"/>
              <w:jc w:val="center"/>
              <w:rPr>
                <w:sz w:val="20"/>
              </w:rPr>
            </w:pPr>
            <w:r>
              <w:rPr>
                <w:sz w:val="20"/>
              </w:rPr>
              <w:t>1、五通桥气象监测预报预警综合业务工程建设；2、五通桥公共气象服务工程建设；3、五通桥气象数据监控中心建设；4、五通桥气象综合观测工程建设；5、五通桥县级综合业务一体化工程建设</w:t>
            </w:r>
          </w:p>
        </w:tc>
        <w:tc>
          <w:tcPr>
            <w:tcW w:w="1116" w:type="dxa"/>
          </w:tcPr>
          <w:p>
            <w:pPr>
              <w:pStyle w:val="TableParagraph"/>
              <w:rPr>
                <w:rFonts w:ascii="黑体"/>
                <w:sz w:val="20"/>
              </w:rPr>
            </w:pPr>
          </w:p>
          <w:p>
            <w:pPr>
              <w:pStyle w:val="TableParagraph"/>
              <w:rPr>
                <w:rFonts w:ascii="黑体"/>
                <w:sz w:val="20"/>
              </w:rPr>
            </w:pPr>
          </w:p>
          <w:p>
            <w:pPr>
              <w:pStyle w:val="TableParagraph"/>
              <w:spacing w:before="158"/>
              <w:ind w:left="182" w:right="183"/>
              <w:jc w:val="center"/>
              <w:rPr>
                <w:sz w:val="20"/>
              </w:rPr>
            </w:pPr>
            <w:r>
              <w:rPr>
                <w:sz w:val="20"/>
              </w:rPr>
              <w:t>864</w:t>
            </w:r>
          </w:p>
        </w:tc>
        <w:tc>
          <w:tcPr>
            <w:tcW w:w="1253" w:type="dxa"/>
          </w:tcPr>
          <w:p>
            <w:pPr>
              <w:pStyle w:val="TableParagraph"/>
              <w:rPr>
                <w:rFonts w:ascii="黑体"/>
                <w:sz w:val="20"/>
              </w:rPr>
            </w:pPr>
          </w:p>
          <w:p>
            <w:pPr>
              <w:pStyle w:val="TableParagraph"/>
              <w:rPr>
                <w:rFonts w:ascii="黑体"/>
                <w:sz w:val="20"/>
              </w:rPr>
            </w:pPr>
          </w:p>
          <w:p>
            <w:pPr>
              <w:pStyle w:val="TableParagraph"/>
              <w:spacing w:before="158"/>
              <w:ind w:left="101" w:right="101"/>
              <w:jc w:val="center"/>
              <w:rPr>
                <w:sz w:val="20"/>
              </w:rPr>
            </w:pPr>
            <w:r>
              <w:rPr>
                <w:sz w:val="20"/>
              </w:rPr>
              <w:t>气象局</w:t>
            </w:r>
          </w:p>
        </w:tc>
      </w:tr>
      <w:tr>
        <w:trPr>
          <w:trHeight w:val="800" w:hRule="atLeast"/>
        </w:trPr>
        <w:tc>
          <w:tcPr>
            <w:tcW w:w="544" w:type="dxa"/>
          </w:tcPr>
          <w:p>
            <w:pPr>
              <w:pStyle w:val="TableParagraph"/>
              <w:spacing w:before="3"/>
              <w:rPr>
                <w:rFonts w:ascii="黑体"/>
                <w:sz w:val="18"/>
              </w:rPr>
            </w:pPr>
          </w:p>
          <w:p>
            <w:pPr>
              <w:pStyle w:val="TableParagraph"/>
              <w:ind w:left="145" w:right="146"/>
              <w:jc w:val="center"/>
              <w:rPr>
                <w:sz w:val="20"/>
              </w:rPr>
            </w:pPr>
            <w:r>
              <w:rPr>
                <w:sz w:val="20"/>
              </w:rPr>
              <w:t>55</w:t>
            </w:r>
          </w:p>
        </w:tc>
        <w:tc>
          <w:tcPr>
            <w:tcW w:w="2160" w:type="dxa"/>
          </w:tcPr>
          <w:p>
            <w:pPr>
              <w:pStyle w:val="TableParagraph"/>
              <w:spacing w:line="237" w:lineRule="auto" w:before="112"/>
              <w:ind w:left="374" w:right="28" w:hanging="272"/>
              <w:rPr>
                <w:sz w:val="20"/>
              </w:rPr>
            </w:pPr>
            <w:r>
              <w:rPr>
                <w:sz w:val="20"/>
              </w:rPr>
              <w:t>五通桥区方志馆（爱国主义教育基地）</w:t>
            </w:r>
          </w:p>
        </w:tc>
        <w:tc>
          <w:tcPr>
            <w:tcW w:w="1260" w:type="dxa"/>
          </w:tcPr>
          <w:p>
            <w:pPr>
              <w:pStyle w:val="TableParagraph"/>
              <w:spacing w:before="3"/>
              <w:rPr>
                <w:rFonts w:ascii="黑体"/>
                <w:sz w:val="18"/>
              </w:rPr>
            </w:pPr>
          </w:p>
          <w:p>
            <w:pPr>
              <w:pStyle w:val="TableParagraph"/>
              <w:ind w:right="172"/>
              <w:jc w:val="right"/>
              <w:rPr>
                <w:sz w:val="20"/>
              </w:rPr>
            </w:pPr>
            <w:r>
              <w:rPr>
                <w:sz w:val="20"/>
              </w:rPr>
              <w:t>2016-2017</w:t>
            </w:r>
          </w:p>
        </w:tc>
        <w:tc>
          <w:tcPr>
            <w:tcW w:w="3534" w:type="dxa"/>
          </w:tcPr>
          <w:p>
            <w:pPr>
              <w:pStyle w:val="TableParagraph"/>
              <w:spacing w:before="3"/>
              <w:rPr>
                <w:rFonts w:ascii="黑体"/>
                <w:sz w:val="18"/>
              </w:rPr>
            </w:pPr>
          </w:p>
          <w:p>
            <w:pPr>
              <w:pStyle w:val="TableParagraph"/>
              <w:ind w:left="1" w:right="2"/>
              <w:jc w:val="center"/>
              <w:rPr>
                <w:sz w:val="20"/>
              </w:rPr>
            </w:pPr>
            <w:r>
              <w:rPr>
                <w:sz w:val="20"/>
              </w:rPr>
              <w:t>350 平方米</w:t>
            </w:r>
          </w:p>
        </w:tc>
        <w:tc>
          <w:tcPr>
            <w:tcW w:w="1116" w:type="dxa"/>
          </w:tcPr>
          <w:p>
            <w:pPr>
              <w:pStyle w:val="TableParagraph"/>
              <w:spacing w:before="3"/>
              <w:rPr>
                <w:rFonts w:ascii="黑体"/>
                <w:sz w:val="18"/>
              </w:rPr>
            </w:pPr>
          </w:p>
          <w:p>
            <w:pPr>
              <w:pStyle w:val="TableParagraph"/>
              <w:ind w:left="183" w:right="183"/>
              <w:jc w:val="center"/>
              <w:rPr>
                <w:sz w:val="20"/>
              </w:rPr>
            </w:pPr>
            <w:r>
              <w:rPr>
                <w:sz w:val="20"/>
              </w:rPr>
              <w:t>220</w:t>
            </w:r>
          </w:p>
        </w:tc>
        <w:tc>
          <w:tcPr>
            <w:tcW w:w="1253" w:type="dxa"/>
          </w:tcPr>
          <w:p>
            <w:pPr>
              <w:pStyle w:val="TableParagraph"/>
              <w:spacing w:before="3"/>
              <w:rPr>
                <w:rFonts w:ascii="黑体"/>
                <w:sz w:val="18"/>
              </w:rPr>
            </w:pPr>
          </w:p>
          <w:p>
            <w:pPr>
              <w:pStyle w:val="TableParagraph"/>
              <w:ind w:left="101" w:right="101"/>
              <w:jc w:val="center"/>
              <w:rPr>
                <w:sz w:val="20"/>
              </w:rPr>
            </w:pPr>
            <w:r>
              <w:rPr>
                <w:sz w:val="20"/>
              </w:rPr>
              <w:t>档案局</w:t>
            </w:r>
          </w:p>
        </w:tc>
      </w:tr>
      <w:tr>
        <w:trPr>
          <w:trHeight w:val="900" w:hRule="atLeast"/>
        </w:trPr>
        <w:tc>
          <w:tcPr>
            <w:tcW w:w="544" w:type="dxa"/>
          </w:tcPr>
          <w:p>
            <w:pPr>
              <w:pStyle w:val="TableParagraph"/>
              <w:spacing w:before="3"/>
              <w:rPr>
                <w:rFonts w:ascii="黑体"/>
                <w:sz w:val="22"/>
              </w:rPr>
            </w:pPr>
          </w:p>
          <w:p>
            <w:pPr>
              <w:pStyle w:val="TableParagraph"/>
              <w:spacing w:before="1"/>
              <w:ind w:left="145" w:right="146"/>
              <w:jc w:val="center"/>
              <w:rPr>
                <w:sz w:val="20"/>
              </w:rPr>
            </w:pPr>
            <w:r>
              <w:rPr>
                <w:sz w:val="20"/>
              </w:rPr>
              <w:t>56</w:t>
            </w:r>
          </w:p>
        </w:tc>
        <w:tc>
          <w:tcPr>
            <w:tcW w:w="2160" w:type="dxa"/>
          </w:tcPr>
          <w:p>
            <w:pPr>
              <w:pStyle w:val="TableParagraph"/>
              <w:spacing w:line="237" w:lineRule="auto" w:before="165"/>
              <w:ind w:left="674" w:right="28" w:hanging="572"/>
              <w:rPr>
                <w:sz w:val="20"/>
              </w:rPr>
            </w:pPr>
            <w:r>
              <w:rPr>
                <w:sz w:val="20"/>
              </w:rPr>
              <w:t>桥滩商业街二期（龙濯大酒店）</w:t>
            </w:r>
          </w:p>
        </w:tc>
        <w:tc>
          <w:tcPr>
            <w:tcW w:w="1260" w:type="dxa"/>
          </w:tcPr>
          <w:p>
            <w:pPr>
              <w:pStyle w:val="TableParagraph"/>
              <w:spacing w:before="3"/>
              <w:rPr>
                <w:rFonts w:ascii="黑体"/>
                <w:sz w:val="22"/>
              </w:rPr>
            </w:pPr>
          </w:p>
          <w:p>
            <w:pPr>
              <w:pStyle w:val="TableParagraph"/>
              <w:spacing w:before="1"/>
              <w:ind w:right="173"/>
              <w:jc w:val="right"/>
              <w:rPr>
                <w:sz w:val="20"/>
              </w:rPr>
            </w:pPr>
            <w:r>
              <w:rPr>
                <w:sz w:val="20"/>
              </w:rPr>
              <w:t>2013-2016</w:t>
            </w:r>
          </w:p>
        </w:tc>
        <w:tc>
          <w:tcPr>
            <w:tcW w:w="3534" w:type="dxa"/>
          </w:tcPr>
          <w:p>
            <w:pPr>
              <w:pStyle w:val="TableParagraph"/>
              <w:spacing w:before="3"/>
              <w:rPr>
                <w:rFonts w:ascii="黑体"/>
                <w:sz w:val="22"/>
              </w:rPr>
            </w:pPr>
          </w:p>
          <w:p>
            <w:pPr>
              <w:pStyle w:val="TableParagraph"/>
              <w:spacing w:before="1"/>
              <w:ind w:left="2" w:right="2"/>
              <w:jc w:val="center"/>
              <w:rPr>
                <w:sz w:val="20"/>
              </w:rPr>
            </w:pPr>
            <w:r>
              <w:rPr>
                <w:sz w:val="20"/>
              </w:rPr>
              <w:t>建筑面积 25996 平方米</w:t>
            </w:r>
          </w:p>
        </w:tc>
        <w:tc>
          <w:tcPr>
            <w:tcW w:w="1116" w:type="dxa"/>
          </w:tcPr>
          <w:p>
            <w:pPr>
              <w:pStyle w:val="TableParagraph"/>
              <w:spacing w:before="3"/>
              <w:rPr>
                <w:rFonts w:ascii="黑体"/>
                <w:sz w:val="22"/>
              </w:rPr>
            </w:pPr>
          </w:p>
          <w:p>
            <w:pPr>
              <w:pStyle w:val="TableParagraph"/>
              <w:spacing w:before="1"/>
              <w:ind w:left="183" w:right="180"/>
              <w:jc w:val="center"/>
              <w:rPr>
                <w:sz w:val="20"/>
              </w:rPr>
            </w:pPr>
            <w:r>
              <w:rPr>
                <w:sz w:val="20"/>
              </w:rPr>
              <w:t>25000</w:t>
            </w:r>
          </w:p>
        </w:tc>
        <w:tc>
          <w:tcPr>
            <w:tcW w:w="1253" w:type="dxa"/>
          </w:tcPr>
          <w:p>
            <w:pPr>
              <w:pStyle w:val="TableParagraph"/>
              <w:spacing w:before="3"/>
              <w:rPr>
                <w:rFonts w:ascii="黑体"/>
                <w:sz w:val="22"/>
              </w:rPr>
            </w:pPr>
          </w:p>
          <w:p>
            <w:pPr>
              <w:pStyle w:val="TableParagraph"/>
              <w:spacing w:before="1"/>
              <w:ind w:left="101" w:right="101"/>
              <w:jc w:val="center"/>
              <w:rPr>
                <w:sz w:val="20"/>
              </w:rPr>
            </w:pPr>
            <w:r>
              <w:rPr>
                <w:sz w:val="20"/>
              </w:rPr>
              <w:t>住建局</w:t>
            </w:r>
          </w:p>
        </w:tc>
      </w:tr>
      <w:tr>
        <w:trPr>
          <w:trHeight w:val="2160" w:hRule="atLeast"/>
        </w:trPr>
        <w:tc>
          <w:tcPr>
            <w:tcW w:w="544" w:type="dxa"/>
          </w:tcPr>
          <w:p>
            <w:pPr>
              <w:pStyle w:val="TableParagraph"/>
              <w:rPr>
                <w:rFonts w:ascii="黑体"/>
                <w:sz w:val="20"/>
              </w:rPr>
            </w:pPr>
          </w:p>
          <w:p>
            <w:pPr>
              <w:pStyle w:val="TableParagraph"/>
              <w:rPr>
                <w:rFonts w:ascii="黑体"/>
                <w:sz w:val="20"/>
              </w:rPr>
            </w:pPr>
          </w:p>
          <w:p>
            <w:pPr>
              <w:pStyle w:val="TableParagraph"/>
              <w:rPr>
                <w:rFonts w:ascii="黑体"/>
                <w:sz w:val="20"/>
              </w:rPr>
            </w:pPr>
          </w:p>
          <w:p>
            <w:pPr>
              <w:pStyle w:val="TableParagraph"/>
              <w:spacing w:before="141"/>
              <w:ind w:left="145" w:right="146"/>
              <w:jc w:val="center"/>
              <w:rPr>
                <w:sz w:val="20"/>
              </w:rPr>
            </w:pPr>
            <w:r>
              <w:rPr>
                <w:sz w:val="20"/>
              </w:rPr>
              <w:t>57</w:t>
            </w:r>
          </w:p>
        </w:tc>
        <w:tc>
          <w:tcPr>
            <w:tcW w:w="2160" w:type="dxa"/>
          </w:tcPr>
          <w:p>
            <w:pPr>
              <w:pStyle w:val="TableParagraph"/>
              <w:rPr>
                <w:rFonts w:ascii="黑体"/>
                <w:sz w:val="20"/>
              </w:rPr>
            </w:pPr>
          </w:p>
          <w:p>
            <w:pPr>
              <w:pStyle w:val="TableParagraph"/>
              <w:spacing w:before="3"/>
              <w:rPr>
                <w:rFonts w:ascii="黑体"/>
                <w:sz w:val="21"/>
              </w:rPr>
            </w:pPr>
          </w:p>
          <w:p>
            <w:pPr>
              <w:pStyle w:val="TableParagraph"/>
              <w:spacing w:line="237" w:lineRule="auto" w:before="1"/>
              <w:ind w:left="102" w:right="98"/>
              <w:jc w:val="center"/>
              <w:rPr>
                <w:sz w:val="20"/>
              </w:rPr>
            </w:pPr>
            <w:r>
              <w:rPr>
                <w:sz w:val="20"/>
              </w:rPr>
              <w:t>四川乐山五通桥国家粮食储备库主库区 3 万吨原粮低温库升级改造项目</w:t>
            </w:r>
          </w:p>
        </w:tc>
        <w:tc>
          <w:tcPr>
            <w:tcW w:w="1260" w:type="dxa"/>
          </w:tcPr>
          <w:p>
            <w:pPr>
              <w:pStyle w:val="TableParagraph"/>
              <w:rPr>
                <w:rFonts w:ascii="黑体"/>
                <w:sz w:val="20"/>
              </w:rPr>
            </w:pPr>
          </w:p>
          <w:p>
            <w:pPr>
              <w:pStyle w:val="TableParagraph"/>
              <w:rPr>
                <w:rFonts w:ascii="黑体"/>
                <w:sz w:val="20"/>
              </w:rPr>
            </w:pPr>
          </w:p>
          <w:p>
            <w:pPr>
              <w:pStyle w:val="TableParagraph"/>
              <w:rPr>
                <w:rFonts w:ascii="黑体"/>
                <w:sz w:val="20"/>
              </w:rPr>
            </w:pPr>
          </w:p>
          <w:p>
            <w:pPr>
              <w:pStyle w:val="TableParagraph"/>
              <w:spacing w:before="141"/>
              <w:ind w:left="154" w:right="155"/>
              <w:jc w:val="center"/>
              <w:rPr>
                <w:sz w:val="20"/>
              </w:rPr>
            </w:pPr>
            <w:r>
              <w:rPr>
                <w:sz w:val="20"/>
              </w:rPr>
              <w:t>2016</w:t>
            </w:r>
          </w:p>
        </w:tc>
        <w:tc>
          <w:tcPr>
            <w:tcW w:w="3534" w:type="dxa"/>
          </w:tcPr>
          <w:p>
            <w:pPr>
              <w:pStyle w:val="TableParagraph"/>
              <w:spacing w:line="237" w:lineRule="auto" w:before="151"/>
              <w:ind w:left="102" w:right="18" w:firstLine="8"/>
              <w:jc w:val="both"/>
              <w:rPr>
                <w:sz w:val="20"/>
              </w:rPr>
            </w:pPr>
            <w:r>
              <w:rPr>
                <w:spacing w:val="-6"/>
                <w:sz w:val="20"/>
              </w:rPr>
              <w:t>仓房主体升级改造 </w:t>
            </w:r>
            <w:r>
              <w:rPr>
                <w:sz w:val="20"/>
              </w:rPr>
              <w:t>1-21</w:t>
            </w:r>
            <w:r>
              <w:rPr>
                <w:spacing w:val="-22"/>
                <w:sz w:val="20"/>
              </w:rPr>
              <w:t> 号仓约 </w:t>
            </w:r>
            <w:r>
              <w:rPr>
                <w:sz w:val="20"/>
              </w:rPr>
              <w:t>3</w:t>
            </w:r>
            <w:r>
              <w:rPr>
                <w:spacing w:val="-18"/>
                <w:sz w:val="20"/>
              </w:rPr>
              <w:t> 万平</w:t>
            </w:r>
            <w:r>
              <w:rPr>
                <w:spacing w:val="-12"/>
                <w:sz w:val="20"/>
              </w:rPr>
              <w:t>方米；低温储粮工艺系统购置谷物冷却</w:t>
            </w:r>
            <w:r>
              <w:rPr>
                <w:spacing w:val="-32"/>
                <w:sz w:val="20"/>
              </w:rPr>
              <w:t>机 </w:t>
            </w:r>
            <w:r>
              <w:rPr>
                <w:sz w:val="20"/>
              </w:rPr>
              <w:t>3</w:t>
            </w:r>
            <w:r>
              <w:rPr>
                <w:spacing w:val="-18"/>
                <w:sz w:val="20"/>
              </w:rPr>
              <w:t> 台、仓内 </w:t>
            </w:r>
            <w:r>
              <w:rPr>
                <w:sz w:val="20"/>
              </w:rPr>
              <w:t>2</w:t>
            </w:r>
            <w:r>
              <w:rPr>
                <w:spacing w:val="-21"/>
                <w:sz w:val="20"/>
              </w:rPr>
              <w:t> 匹空调 </w:t>
            </w:r>
            <w:r>
              <w:rPr>
                <w:sz w:val="20"/>
              </w:rPr>
              <w:t>5</w:t>
            </w:r>
            <w:r>
              <w:rPr>
                <w:spacing w:val="-18"/>
                <w:sz w:val="20"/>
              </w:rPr>
              <w:t> 台、</w:t>
            </w:r>
            <w:r>
              <w:rPr>
                <w:sz w:val="20"/>
              </w:rPr>
              <w:t>16</w:t>
            </w:r>
            <w:r>
              <w:rPr>
                <w:spacing w:val="-18"/>
                <w:sz w:val="20"/>
              </w:rPr>
              <w:t> 套粮</w:t>
            </w:r>
            <w:r>
              <w:rPr>
                <w:spacing w:val="-15"/>
                <w:sz w:val="20"/>
              </w:rPr>
              <w:t>面控温专用系统、智能无线粮情电子测</w:t>
            </w:r>
            <w:r>
              <w:rPr>
                <w:spacing w:val="-24"/>
                <w:sz w:val="20"/>
              </w:rPr>
              <w:t>温系统 </w:t>
            </w:r>
            <w:r>
              <w:rPr>
                <w:sz w:val="20"/>
              </w:rPr>
              <w:t>1</w:t>
            </w:r>
            <w:r>
              <w:rPr>
                <w:spacing w:val="-32"/>
                <w:sz w:val="20"/>
              </w:rPr>
              <w:t> 套；改造 </w:t>
            </w:r>
            <w:r>
              <w:rPr>
                <w:sz w:val="20"/>
              </w:rPr>
              <w:t>4</w:t>
            </w:r>
            <w:r>
              <w:rPr>
                <w:spacing w:val="-8"/>
                <w:sz w:val="20"/>
              </w:rPr>
              <w:t> 个固定式仓房遮阳</w:t>
            </w:r>
            <w:r>
              <w:rPr>
                <w:spacing w:val="-20"/>
                <w:sz w:val="20"/>
              </w:rPr>
              <w:t>罩棚约 </w:t>
            </w:r>
            <w:r>
              <w:rPr>
                <w:sz w:val="20"/>
              </w:rPr>
              <w:t>0.3</w:t>
            </w:r>
            <w:r>
              <w:rPr>
                <w:spacing w:val="-10"/>
                <w:sz w:val="20"/>
              </w:rPr>
              <w:t> 万平方米、</w:t>
            </w:r>
            <w:r>
              <w:rPr>
                <w:sz w:val="20"/>
              </w:rPr>
              <w:t>1-21</w:t>
            </w:r>
            <w:r>
              <w:rPr>
                <w:spacing w:val="-12"/>
                <w:sz w:val="20"/>
              </w:rPr>
              <w:t> 号仓楼梯</w:t>
            </w:r>
            <w:r>
              <w:rPr>
                <w:spacing w:val="-1"/>
                <w:sz w:val="20"/>
              </w:rPr>
              <w:t>改造、仓房配电箱及其他配套设施等。</w:t>
            </w:r>
          </w:p>
        </w:tc>
        <w:tc>
          <w:tcPr>
            <w:tcW w:w="1116" w:type="dxa"/>
          </w:tcPr>
          <w:p>
            <w:pPr>
              <w:pStyle w:val="TableParagraph"/>
              <w:rPr>
                <w:rFonts w:ascii="黑体"/>
                <w:sz w:val="20"/>
              </w:rPr>
            </w:pPr>
          </w:p>
          <w:p>
            <w:pPr>
              <w:pStyle w:val="TableParagraph"/>
              <w:rPr>
                <w:rFonts w:ascii="黑体"/>
                <w:sz w:val="20"/>
              </w:rPr>
            </w:pPr>
          </w:p>
          <w:p>
            <w:pPr>
              <w:pStyle w:val="TableParagraph"/>
              <w:rPr>
                <w:rFonts w:ascii="黑体"/>
                <w:sz w:val="20"/>
              </w:rPr>
            </w:pPr>
          </w:p>
          <w:p>
            <w:pPr>
              <w:pStyle w:val="TableParagraph"/>
              <w:spacing w:before="141"/>
              <w:ind w:left="182" w:right="183"/>
              <w:jc w:val="center"/>
              <w:rPr>
                <w:sz w:val="20"/>
              </w:rPr>
            </w:pPr>
            <w:r>
              <w:rPr>
                <w:sz w:val="20"/>
              </w:rPr>
              <w:t>810</w:t>
            </w:r>
          </w:p>
        </w:tc>
        <w:tc>
          <w:tcPr>
            <w:tcW w:w="1253" w:type="dxa"/>
          </w:tcPr>
          <w:p>
            <w:pPr>
              <w:pStyle w:val="TableParagraph"/>
              <w:rPr>
                <w:rFonts w:ascii="黑体"/>
                <w:sz w:val="20"/>
              </w:rPr>
            </w:pPr>
          </w:p>
          <w:p>
            <w:pPr>
              <w:pStyle w:val="TableParagraph"/>
              <w:rPr>
                <w:rFonts w:ascii="黑体"/>
                <w:sz w:val="20"/>
              </w:rPr>
            </w:pPr>
          </w:p>
          <w:p>
            <w:pPr>
              <w:pStyle w:val="TableParagraph"/>
              <w:rPr>
                <w:rFonts w:ascii="黑体"/>
                <w:sz w:val="20"/>
              </w:rPr>
            </w:pPr>
          </w:p>
          <w:p>
            <w:pPr>
              <w:pStyle w:val="TableParagraph"/>
              <w:spacing w:before="141"/>
              <w:ind w:left="101" w:right="101"/>
              <w:jc w:val="center"/>
              <w:rPr>
                <w:sz w:val="20"/>
              </w:rPr>
            </w:pPr>
            <w:r>
              <w:rPr>
                <w:sz w:val="20"/>
              </w:rPr>
              <w:t>粮食局</w:t>
            </w:r>
          </w:p>
        </w:tc>
      </w:tr>
      <w:tr>
        <w:trPr>
          <w:trHeight w:val="620" w:hRule="atLeast"/>
        </w:trPr>
        <w:tc>
          <w:tcPr>
            <w:tcW w:w="544" w:type="dxa"/>
          </w:tcPr>
          <w:p>
            <w:pPr>
              <w:pStyle w:val="TableParagraph"/>
              <w:rPr>
                <w:rFonts w:ascii="Times New Roman"/>
                <w:sz w:val="20"/>
              </w:rPr>
            </w:pPr>
          </w:p>
        </w:tc>
        <w:tc>
          <w:tcPr>
            <w:tcW w:w="2160" w:type="dxa"/>
          </w:tcPr>
          <w:p>
            <w:pPr>
              <w:pStyle w:val="TableParagraph"/>
              <w:spacing w:before="152"/>
              <w:ind w:left="43" w:right="43"/>
              <w:jc w:val="center"/>
              <w:rPr>
                <w:sz w:val="20"/>
              </w:rPr>
            </w:pPr>
            <w:r>
              <w:rPr>
                <w:sz w:val="20"/>
              </w:rPr>
              <w:t>小计</w:t>
            </w:r>
          </w:p>
        </w:tc>
        <w:tc>
          <w:tcPr>
            <w:tcW w:w="1260" w:type="dxa"/>
          </w:tcPr>
          <w:p>
            <w:pPr>
              <w:pStyle w:val="TableParagraph"/>
              <w:rPr>
                <w:rFonts w:ascii="Times New Roman"/>
                <w:sz w:val="20"/>
              </w:rPr>
            </w:pPr>
          </w:p>
        </w:tc>
        <w:tc>
          <w:tcPr>
            <w:tcW w:w="3534" w:type="dxa"/>
          </w:tcPr>
          <w:p>
            <w:pPr>
              <w:pStyle w:val="TableParagraph"/>
              <w:rPr>
                <w:rFonts w:ascii="Times New Roman"/>
                <w:sz w:val="20"/>
              </w:rPr>
            </w:pPr>
          </w:p>
        </w:tc>
        <w:tc>
          <w:tcPr>
            <w:tcW w:w="1116" w:type="dxa"/>
          </w:tcPr>
          <w:p>
            <w:pPr>
              <w:pStyle w:val="TableParagraph"/>
              <w:spacing w:before="152"/>
              <w:ind w:left="183" w:right="183"/>
              <w:jc w:val="center"/>
              <w:rPr>
                <w:sz w:val="20"/>
              </w:rPr>
            </w:pPr>
            <w:r>
              <w:rPr>
                <w:sz w:val="20"/>
              </w:rPr>
              <w:t>1608699</w:t>
            </w:r>
          </w:p>
        </w:tc>
        <w:tc>
          <w:tcPr>
            <w:tcW w:w="1253" w:type="dxa"/>
          </w:tcPr>
          <w:p>
            <w:pPr>
              <w:pStyle w:val="TableParagraph"/>
              <w:rPr>
                <w:rFonts w:ascii="Times New Roman"/>
                <w:sz w:val="20"/>
              </w:rPr>
            </w:pPr>
          </w:p>
        </w:tc>
      </w:tr>
    </w:tbl>
    <w:p>
      <w:pPr>
        <w:spacing w:after="0"/>
        <w:rPr>
          <w:rFonts w:ascii="Times New Roman"/>
          <w:sz w:val="20"/>
        </w:rPr>
        <w:sectPr>
          <w:pgSz w:w="11910" w:h="16840"/>
          <w:pgMar w:header="0" w:footer="938" w:top="1440" w:bottom="1120" w:left="880" w:right="940"/>
        </w:sectPr>
      </w:pPr>
    </w:p>
    <w:p>
      <w:pPr>
        <w:pStyle w:val="BodyText"/>
        <w:tabs>
          <w:tab w:pos="2683" w:val="left" w:leader="none"/>
        </w:tabs>
        <w:spacing w:line="407" w:lineRule="exact"/>
        <w:ind w:left="1403"/>
        <w:rPr>
          <w:rFonts w:ascii="黑体" w:hAnsi="黑体" w:eastAsia="黑体" w:hint="eastAsia"/>
        </w:rPr>
      </w:pPr>
      <w:r>
        <w:rPr>
          <w:rFonts w:ascii="黑体" w:hAnsi="黑体" w:eastAsia="黑体" w:hint="eastAsia"/>
        </w:rPr>
        <w:t>附表四</w:t>
        <w:tab/>
      </w:r>
      <w:r>
        <w:rPr>
          <w:rFonts w:ascii="黑体" w:hAnsi="黑体" w:eastAsia="黑体" w:hint="eastAsia"/>
          <w:spacing w:val="-1"/>
        </w:rPr>
        <w:t>五通桥区“十三五”城市建设项目规划表</w:t>
      </w:r>
    </w:p>
    <w:p>
      <w:pPr>
        <w:pStyle w:val="BodyText"/>
        <w:spacing w:before="2"/>
        <w:ind w:left="0"/>
        <w:rPr>
          <w:rFonts w:ascii="黑体"/>
          <w:sz w:val="16"/>
        </w:rPr>
      </w:pPr>
    </w:p>
    <w:tbl>
      <w:tblPr>
        <w:tblW w:w="0" w:type="auto"/>
        <w:jc w:val="left"/>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02"/>
        <w:gridCol w:w="2110"/>
        <w:gridCol w:w="1256"/>
        <w:gridCol w:w="3662"/>
        <w:gridCol w:w="1058"/>
        <w:gridCol w:w="1051"/>
      </w:tblGrid>
      <w:tr>
        <w:trPr>
          <w:trHeight w:val="560" w:hRule="atLeast"/>
        </w:trPr>
        <w:tc>
          <w:tcPr>
            <w:tcW w:w="502" w:type="dxa"/>
          </w:tcPr>
          <w:p>
            <w:pPr>
              <w:pStyle w:val="TableParagraph"/>
              <w:rPr>
                <w:rFonts w:ascii="Times New Roman"/>
                <w:sz w:val="20"/>
              </w:rPr>
            </w:pPr>
          </w:p>
        </w:tc>
        <w:tc>
          <w:tcPr>
            <w:tcW w:w="2110" w:type="dxa"/>
          </w:tcPr>
          <w:p>
            <w:pPr>
              <w:pStyle w:val="TableParagraph"/>
              <w:spacing w:before="127"/>
              <w:ind w:left="99" w:right="99"/>
              <w:jc w:val="center"/>
              <w:rPr>
                <w:sz w:val="20"/>
              </w:rPr>
            </w:pPr>
            <w:r>
              <w:rPr>
                <w:sz w:val="20"/>
              </w:rPr>
              <w:t>项目名称</w:t>
            </w:r>
          </w:p>
        </w:tc>
        <w:tc>
          <w:tcPr>
            <w:tcW w:w="1256" w:type="dxa"/>
          </w:tcPr>
          <w:p>
            <w:pPr>
              <w:pStyle w:val="TableParagraph"/>
              <w:spacing w:before="127"/>
              <w:ind w:left="223"/>
              <w:rPr>
                <w:sz w:val="20"/>
              </w:rPr>
            </w:pPr>
            <w:r>
              <w:rPr>
                <w:sz w:val="20"/>
              </w:rPr>
              <w:t>建设年限</w:t>
            </w:r>
          </w:p>
        </w:tc>
        <w:tc>
          <w:tcPr>
            <w:tcW w:w="3662" w:type="dxa"/>
          </w:tcPr>
          <w:p>
            <w:pPr>
              <w:pStyle w:val="TableParagraph"/>
              <w:spacing w:before="127"/>
              <w:ind w:left="13" w:right="13"/>
              <w:jc w:val="center"/>
              <w:rPr>
                <w:sz w:val="20"/>
              </w:rPr>
            </w:pPr>
            <w:r>
              <w:rPr>
                <w:sz w:val="20"/>
              </w:rPr>
              <w:t>建设规模</w:t>
            </w:r>
          </w:p>
        </w:tc>
        <w:tc>
          <w:tcPr>
            <w:tcW w:w="1058" w:type="dxa"/>
          </w:tcPr>
          <w:p>
            <w:pPr>
              <w:pStyle w:val="TableParagraph"/>
              <w:spacing w:line="258" w:lineRule="exact"/>
              <w:ind w:left="223"/>
              <w:rPr>
                <w:sz w:val="20"/>
              </w:rPr>
            </w:pPr>
            <w:r>
              <w:rPr>
                <w:sz w:val="20"/>
              </w:rPr>
              <w:t>总投资</w:t>
            </w:r>
          </w:p>
          <w:p>
            <w:pPr>
              <w:pStyle w:val="TableParagraph"/>
              <w:spacing w:line="260" w:lineRule="exact"/>
              <w:ind w:left="123"/>
              <w:rPr>
                <w:sz w:val="20"/>
              </w:rPr>
            </w:pPr>
            <w:r>
              <w:rPr>
                <w:sz w:val="20"/>
              </w:rPr>
              <w:t>（万元）</w:t>
            </w:r>
          </w:p>
        </w:tc>
        <w:tc>
          <w:tcPr>
            <w:tcW w:w="1051" w:type="dxa"/>
          </w:tcPr>
          <w:p>
            <w:pPr>
              <w:pStyle w:val="TableParagraph"/>
              <w:spacing w:before="127"/>
              <w:ind w:left="119"/>
              <w:rPr>
                <w:sz w:val="20"/>
              </w:rPr>
            </w:pPr>
            <w:r>
              <w:rPr>
                <w:sz w:val="20"/>
              </w:rPr>
              <w:t>责任单位</w:t>
            </w:r>
          </w:p>
        </w:tc>
      </w:tr>
      <w:tr>
        <w:trPr>
          <w:trHeight w:val="1020" w:hRule="atLeast"/>
        </w:trPr>
        <w:tc>
          <w:tcPr>
            <w:tcW w:w="502" w:type="dxa"/>
          </w:tcPr>
          <w:p>
            <w:pPr>
              <w:pStyle w:val="TableParagraph"/>
              <w:spacing w:before="3"/>
              <w:rPr>
                <w:rFonts w:ascii="黑体"/>
                <w:sz w:val="27"/>
              </w:rPr>
            </w:pPr>
          </w:p>
          <w:p>
            <w:pPr>
              <w:pStyle w:val="TableParagraph"/>
              <w:ind w:left="195"/>
              <w:rPr>
                <w:sz w:val="20"/>
              </w:rPr>
            </w:pPr>
            <w:r>
              <w:rPr>
                <w:w w:val="100"/>
                <w:sz w:val="20"/>
              </w:rPr>
              <w:t>1</w:t>
            </w:r>
          </w:p>
        </w:tc>
        <w:tc>
          <w:tcPr>
            <w:tcW w:w="2110" w:type="dxa"/>
          </w:tcPr>
          <w:p>
            <w:pPr>
              <w:pStyle w:val="TableParagraph"/>
              <w:spacing w:before="3"/>
              <w:rPr>
                <w:rFonts w:ascii="黑体"/>
                <w:sz w:val="27"/>
              </w:rPr>
            </w:pPr>
          </w:p>
          <w:p>
            <w:pPr>
              <w:pStyle w:val="TableParagraph"/>
              <w:ind w:left="99" w:right="101"/>
              <w:jc w:val="center"/>
              <w:rPr>
                <w:sz w:val="20"/>
              </w:rPr>
            </w:pPr>
            <w:r>
              <w:rPr>
                <w:sz w:val="20"/>
              </w:rPr>
              <w:t>高港大道</w:t>
            </w:r>
          </w:p>
        </w:tc>
        <w:tc>
          <w:tcPr>
            <w:tcW w:w="1256" w:type="dxa"/>
          </w:tcPr>
          <w:p>
            <w:pPr>
              <w:pStyle w:val="TableParagraph"/>
              <w:spacing w:before="3"/>
              <w:rPr>
                <w:rFonts w:ascii="黑体"/>
                <w:sz w:val="27"/>
              </w:rPr>
            </w:pPr>
          </w:p>
          <w:p>
            <w:pPr>
              <w:pStyle w:val="TableParagraph"/>
              <w:ind w:left="171"/>
              <w:rPr>
                <w:sz w:val="20"/>
              </w:rPr>
            </w:pPr>
            <w:r>
              <w:rPr>
                <w:sz w:val="20"/>
              </w:rPr>
              <w:t>2014-2016</w:t>
            </w:r>
          </w:p>
        </w:tc>
        <w:tc>
          <w:tcPr>
            <w:tcW w:w="3662" w:type="dxa"/>
          </w:tcPr>
          <w:p>
            <w:pPr>
              <w:pStyle w:val="TableParagraph"/>
              <w:spacing w:before="3"/>
              <w:rPr>
                <w:rFonts w:ascii="黑体"/>
                <w:sz w:val="27"/>
              </w:rPr>
            </w:pPr>
          </w:p>
          <w:p>
            <w:pPr>
              <w:pStyle w:val="TableParagraph"/>
              <w:ind w:left="13" w:right="13"/>
              <w:jc w:val="center"/>
              <w:rPr>
                <w:sz w:val="20"/>
              </w:rPr>
            </w:pPr>
            <w:r>
              <w:rPr>
                <w:sz w:val="20"/>
              </w:rPr>
              <w:t>长 4.8 公里，宽 40 米，绿化 2*15 米</w:t>
            </w:r>
          </w:p>
        </w:tc>
        <w:tc>
          <w:tcPr>
            <w:tcW w:w="1058" w:type="dxa"/>
          </w:tcPr>
          <w:p>
            <w:pPr>
              <w:pStyle w:val="TableParagraph"/>
              <w:spacing w:before="3"/>
              <w:rPr>
                <w:rFonts w:ascii="黑体"/>
                <w:sz w:val="27"/>
              </w:rPr>
            </w:pPr>
          </w:p>
          <w:p>
            <w:pPr>
              <w:pStyle w:val="TableParagraph"/>
              <w:ind w:left="153" w:right="152"/>
              <w:jc w:val="center"/>
              <w:rPr>
                <w:sz w:val="20"/>
              </w:rPr>
            </w:pPr>
            <w:r>
              <w:rPr>
                <w:sz w:val="20"/>
              </w:rPr>
              <w:t>27610</w:t>
            </w:r>
          </w:p>
        </w:tc>
        <w:tc>
          <w:tcPr>
            <w:tcW w:w="1051" w:type="dxa"/>
          </w:tcPr>
          <w:p>
            <w:pPr>
              <w:pStyle w:val="TableParagraph"/>
              <w:spacing w:line="228" w:lineRule="exact"/>
              <w:ind w:left="160"/>
              <w:jc w:val="both"/>
              <w:rPr>
                <w:sz w:val="20"/>
              </w:rPr>
            </w:pPr>
            <w:r>
              <w:rPr>
                <w:sz w:val="20"/>
              </w:rPr>
              <w:t>乐山三 </w:t>
            </w:r>
          </w:p>
          <w:p>
            <w:pPr>
              <w:pStyle w:val="TableParagraph"/>
              <w:spacing w:line="237" w:lineRule="auto" w:before="1"/>
              <w:ind w:left="160" w:right="158"/>
              <w:jc w:val="both"/>
              <w:rPr>
                <w:sz w:val="20"/>
              </w:rPr>
            </w:pPr>
            <w:r>
              <w:rPr>
                <w:sz w:val="20"/>
              </w:rPr>
              <w:t>江临港经济开发区 </w:t>
            </w:r>
          </w:p>
        </w:tc>
      </w:tr>
      <w:tr>
        <w:trPr>
          <w:trHeight w:val="760" w:hRule="atLeast"/>
        </w:trPr>
        <w:tc>
          <w:tcPr>
            <w:tcW w:w="502" w:type="dxa"/>
          </w:tcPr>
          <w:p>
            <w:pPr>
              <w:pStyle w:val="TableParagraph"/>
              <w:spacing w:before="4"/>
              <w:rPr>
                <w:rFonts w:ascii="黑体"/>
                <w:sz w:val="17"/>
              </w:rPr>
            </w:pPr>
          </w:p>
          <w:p>
            <w:pPr>
              <w:pStyle w:val="TableParagraph"/>
              <w:ind w:left="195"/>
              <w:rPr>
                <w:sz w:val="20"/>
              </w:rPr>
            </w:pPr>
            <w:r>
              <w:rPr>
                <w:w w:val="100"/>
                <w:sz w:val="20"/>
              </w:rPr>
              <w:t>2</w:t>
            </w:r>
          </w:p>
        </w:tc>
        <w:tc>
          <w:tcPr>
            <w:tcW w:w="2110" w:type="dxa"/>
          </w:tcPr>
          <w:p>
            <w:pPr>
              <w:pStyle w:val="TableParagraph"/>
              <w:spacing w:before="4"/>
              <w:rPr>
                <w:rFonts w:ascii="黑体"/>
                <w:sz w:val="17"/>
              </w:rPr>
            </w:pPr>
          </w:p>
          <w:p>
            <w:pPr>
              <w:pStyle w:val="TableParagraph"/>
              <w:ind w:left="99" w:right="100"/>
              <w:jc w:val="center"/>
              <w:rPr>
                <w:sz w:val="20"/>
              </w:rPr>
            </w:pPr>
            <w:r>
              <w:rPr>
                <w:sz w:val="20"/>
              </w:rPr>
              <w:t>开发区回迁房</w:t>
            </w:r>
          </w:p>
        </w:tc>
        <w:tc>
          <w:tcPr>
            <w:tcW w:w="1256" w:type="dxa"/>
          </w:tcPr>
          <w:p>
            <w:pPr>
              <w:pStyle w:val="TableParagraph"/>
              <w:spacing w:before="4"/>
              <w:rPr>
                <w:rFonts w:ascii="黑体"/>
                <w:sz w:val="17"/>
              </w:rPr>
            </w:pPr>
          </w:p>
          <w:p>
            <w:pPr>
              <w:pStyle w:val="TableParagraph"/>
              <w:ind w:left="171"/>
              <w:rPr>
                <w:sz w:val="20"/>
              </w:rPr>
            </w:pPr>
            <w:r>
              <w:rPr>
                <w:sz w:val="20"/>
              </w:rPr>
              <w:t>2015-2017</w:t>
            </w:r>
          </w:p>
        </w:tc>
        <w:tc>
          <w:tcPr>
            <w:tcW w:w="3662" w:type="dxa"/>
          </w:tcPr>
          <w:p>
            <w:pPr>
              <w:pStyle w:val="TableParagraph"/>
              <w:spacing w:before="4"/>
              <w:rPr>
                <w:rFonts w:ascii="黑体"/>
                <w:sz w:val="17"/>
              </w:rPr>
            </w:pPr>
          </w:p>
          <w:p>
            <w:pPr>
              <w:pStyle w:val="TableParagraph"/>
              <w:ind w:left="13" w:right="13"/>
              <w:jc w:val="center"/>
              <w:rPr>
                <w:sz w:val="20"/>
              </w:rPr>
            </w:pPr>
            <w:r>
              <w:rPr>
                <w:spacing w:val="-18"/>
                <w:sz w:val="20"/>
              </w:rPr>
              <w:t>占地 </w:t>
            </w:r>
            <w:r>
              <w:rPr>
                <w:sz w:val="20"/>
              </w:rPr>
              <w:t>47.9</w:t>
            </w:r>
            <w:r>
              <w:rPr>
                <w:spacing w:val="-22"/>
                <w:sz w:val="20"/>
              </w:rPr>
              <w:t> 亩，建筑面积 </w:t>
            </w:r>
            <w:r>
              <w:rPr>
                <w:sz w:val="20"/>
              </w:rPr>
              <w:t>13.74</w:t>
            </w:r>
            <w:r>
              <w:rPr>
                <w:spacing w:val="-12"/>
                <w:sz w:val="20"/>
              </w:rPr>
              <w:t> 万平方米</w:t>
            </w:r>
          </w:p>
        </w:tc>
        <w:tc>
          <w:tcPr>
            <w:tcW w:w="1058" w:type="dxa"/>
          </w:tcPr>
          <w:p>
            <w:pPr>
              <w:pStyle w:val="TableParagraph"/>
              <w:spacing w:before="4"/>
              <w:rPr>
                <w:rFonts w:ascii="黑体"/>
                <w:sz w:val="17"/>
              </w:rPr>
            </w:pPr>
          </w:p>
          <w:p>
            <w:pPr>
              <w:pStyle w:val="TableParagraph"/>
              <w:ind w:left="153" w:right="153"/>
              <w:jc w:val="center"/>
              <w:rPr>
                <w:sz w:val="20"/>
              </w:rPr>
            </w:pPr>
            <w:r>
              <w:rPr>
                <w:sz w:val="20"/>
              </w:rPr>
              <w:t>39775</w:t>
            </w:r>
          </w:p>
        </w:tc>
        <w:tc>
          <w:tcPr>
            <w:tcW w:w="1051" w:type="dxa"/>
          </w:tcPr>
          <w:p>
            <w:pPr>
              <w:pStyle w:val="TableParagraph"/>
              <w:spacing w:line="228" w:lineRule="exact"/>
              <w:ind w:left="119"/>
              <w:rPr>
                <w:sz w:val="20"/>
              </w:rPr>
            </w:pPr>
            <w:r>
              <w:rPr>
                <w:sz w:val="20"/>
              </w:rPr>
              <w:t>乐山三江</w:t>
            </w:r>
          </w:p>
          <w:p>
            <w:pPr>
              <w:pStyle w:val="TableParagraph"/>
              <w:spacing w:line="237" w:lineRule="auto" w:before="1"/>
              <w:ind w:left="419" w:right="102" w:hanging="300"/>
              <w:rPr>
                <w:sz w:val="20"/>
              </w:rPr>
            </w:pPr>
            <w:r>
              <w:rPr>
                <w:sz w:val="20"/>
              </w:rPr>
              <w:t>临港经济区</w:t>
            </w:r>
          </w:p>
        </w:tc>
      </w:tr>
      <w:tr>
        <w:trPr>
          <w:trHeight w:val="1020" w:hRule="atLeast"/>
        </w:trPr>
        <w:tc>
          <w:tcPr>
            <w:tcW w:w="502" w:type="dxa"/>
          </w:tcPr>
          <w:p>
            <w:pPr>
              <w:pStyle w:val="TableParagraph"/>
              <w:spacing w:before="3"/>
              <w:rPr>
                <w:rFonts w:ascii="黑体"/>
                <w:sz w:val="27"/>
              </w:rPr>
            </w:pPr>
          </w:p>
          <w:p>
            <w:pPr>
              <w:pStyle w:val="TableParagraph"/>
              <w:ind w:left="195"/>
              <w:rPr>
                <w:sz w:val="20"/>
              </w:rPr>
            </w:pPr>
            <w:r>
              <w:rPr>
                <w:w w:val="100"/>
                <w:sz w:val="20"/>
              </w:rPr>
              <w:t>3</w:t>
            </w:r>
          </w:p>
        </w:tc>
        <w:tc>
          <w:tcPr>
            <w:tcW w:w="2110" w:type="dxa"/>
          </w:tcPr>
          <w:p>
            <w:pPr>
              <w:pStyle w:val="TableParagraph"/>
              <w:spacing w:before="3"/>
              <w:rPr>
                <w:rFonts w:ascii="黑体"/>
                <w:sz w:val="27"/>
              </w:rPr>
            </w:pPr>
          </w:p>
          <w:p>
            <w:pPr>
              <w:pStyle w:val="TableParagraph"/>
              <w:ind w:left="99" w:right="100"/>
              <w:jc w:val="center"/>
              <w:rPr>
                <w:sz w:val="20"/>
              </w:rPr>
            </w:pPr>
            <w:r>
              <w:rPr>
                <w:sz w:val="20"/>
              </w:rPr>
              <w:t>港北三路</w:t>
            </w:r>
          </w:p>
        </w:tc>
        <w:tc>
          <w:tcPr>
            <w:tcW w:w="1256" w:type="dxa"/>
          </w:tcPr>
          <w:p>
            <w:pPr>
              <w:pStyle w:val="TableParagraph"/>
              <w:spacing w:before="3"/>
              <w:rPr>
                <w:rFonts w:ascii="黑体"/>
                <w:sz w:val="27"/>
              </w:rPr>
            </w:pPr>
          </w:p>
          <w:p>
            <w:pPr>
              <w:pStyle w:val="TableParagraph"/>
              <w:ind w:left="172"/>
              <w:rPr>
                <w:sz w:val="20"/>
              </w:rPr>
            </w:pPr>
            <w:r>
              <w:rPr>
                <w:sz w:val="20"/>
              </w:rPr>
              <w:t>2016-2018</w:t>
            </w:r>
          </w:p>
        </w:tc>
        <w:tc>
          <w:tcPr>
            <w:tcW w:w="3662" w:type="dxa"/>
          </w:tcPr>
          <w:p>
            <w:pPr>
              <w:pStyle w:val="TableParagraph"/>
              <w:spacing w:before="7"/>
              <w:rPr>
                <w:rFonts w:ascii="黑体"/>
                <w:sz w:val="17"/>
              </w:rPr>
            </w:pPr>
          </w:p>
          <w:p>
            <w:pPr>
              <w:pStyle w:val="TableParagraph"/>
              <w:spacing w:line="237" w:lineRule="auto"/>
              <w:ind w:left="1475" w:right="107" w:hanging="1350"/>
              <w:rPr>
                <w:sz w:val="20"/>
              </w:rPr>
            </w:pPr>
            <w:r>
              <w:rPr>
                <w:spacing w:val="-7"/>
                <w:sz w:val="20"/>
              </w:rPr>
              <w:t>双向六车道，长 </w:t>
            </w:r>
            <w:r>
              <w:rPr>
                <w:sz w:val="20"/>
              </w:rPr>
              <w:t>1555</w:t>
            </w:r>
            <w:r>
              <w:rPr>
                <w:spacing w:val="-22"/>
                <w:sz w:val="20"/>
              </w:rPr>
              <w:t> 米，宽 </w:t>
            </w:r>
            <w:r>
              <w:rPr>
                <w:sz w:val="20"/>
              </w:rPr>
              <w:t>30</w:t>
            </w:r>
            <w:r>
              <w:rPr>
                <w:spacing w:val="-14"/>
                <w:sz w:val="20"/>
              </w:rPr>
              <w:t> 米，绿</w:t>
            </w:r>
            <w:r>
              <w:rPr>
                <w:spacing w:val="-31"/>
                <w:sz w:val="20"/>
              </w:rPr>
              <w:t>化 </w:t>
            </w:r>
            <w:r>
              <w:rPr>
                <w:spacing w:val="23"/>
                <w:sz w:val="20"/>
              </w:rPr>
              <w:t>15</w:t>
            </w:r>
            <w:r>
              <w:rPr>
                <w:sz w:val="20"/>
              </w:rPr>
              <w:t>米</w:t>
            </w:r>
            <w:r>
              <w:rPr>
                <w:spacing w:val="-50"/>
                <w:sz w:val="20"/>
              </w:rPr>
              <w:t> </w:t>
            </w:r>
          </w:p>
        </w:tc>
        <w:tc>
          <w:tcPr>
            <w:tcW w:w="1058" w:type="dxa"/>
          </w:tcPr>
          <w:p>
            <w:pPr>
              <w:pStyle w:val="TableParagraph"/>
              <w:spacing w:before="3"/>
              <w:rPr>
                <w:rFonts w:ascii="黑体"/>
                <w:sz w:val="27"/>
              </w:rPr>
            </w:pPr>
          </w:p>
          <w:p>
            <w:pPr>
              <w:pStyle w:val="TableParagraph"/>
              <w:ind w:left="153" w:right="154"/>
              <w:jc w:val="center"/>
              <w:rPr>
                <w:sz w:val="20"/>
              </w:rPr>
            </w:pPr>
            <w:r>
              <w:rPr>
                <w:sz w:val="20"/>
              </w:rPr>
              <w:t>9810</w:t>
            </w:r>
          </w:p>
        </w:tc>
        <w:tc>
          <w:tcPr>
            <w:tcW w:w="1051" w:type="dxa"/>
          </w:tcPr>
          <w:p>
            <w:pPr>
              <w:pStyle w:val="TableParagraph"/>
              <w:spacing w:line="228" w:lineRule="exact"/>
              <w:ind w:left="160"/>
              <w:jc w:val="both"/>
              <w:rPr>
                <w:sz w:val="20"/>
              </w:rPr>
            </w:pPr>
            <w:r>
              <w:rPr>
                <w:sz w:val="20"/>
              </w:rPr>
              <w:t>乐山三 </w:t>
            </w:r>
          </w:p>
          <w:p>
            <w:pPr>
              <w:pStyle w:val="TableParagraph"/>
              <w:spacing w:line="237" w:lineRule="auto" w:before="1"/>
              <w:ind w:left="160" w:right="158"/>
              <w:jc w:val="both"/>
              <w:rPr>
                <w:sz w:val="20"/>
              </w:rPr>
            </w:pPr>
            <w:r>
              <w:rPr>
                <w:sz w:val="20"/>
              </w:rPr>
              <w:t>江临港经济开发区 </w:t>
            </w:r>
          </w:p>
        </w:tc>
      </w:tr>
      <w:tr>
        <w:trPr>
          <w:trHeight w:val="1020" w:hRule="atLeast"/>
        </w:trPr>
        <w:tc>
          <w:tcPr>
            <w:tcW w:w="502" w:type="dxa"/>
          </w:tcPr>
          <w:p>
            <w:pPr>
              <w:pStyle w:val="TableParagraph"/>
              <w:spacing w:before="3"/>
              <w:rPr>
                <w:rFonts w:ascii="黑体"/>
                <w:sz w:val="27"/>
              </w:rPr>
            </w:pPr>
          </w:p>
          <w:p>
            <w:pPr>
              <w:pStyle w:val="TableParagraph"/>
              <w:ind w:left="195"/>
              <w:rPr>
                <w:sz w:val="20"/>
              </w:rPr>
            </w:pPr>
            <w:r>
              <w:rPr>
                <w:w w:val="100"/>
                <w:sz w:val="20"/>
              </w:rPr>
              <w:t>4</w:t>
            </w:r>
          </w:p>
        </w:tc>
        <w:tc>
          <w:tcPr>
            <w:tcW w:w="2110" w:type="dxa"/>
          </w:tcPr>
          <w:p>
            <w:pPr>
              <w:pStyle w:val="TableParagraph"/>
              <w:spacing w:before="3"/>
              <w:rPr>
                <w:rFonts w:ascii="黑体"/>
                <w:sz w:val="27"/>
              </w:rPr>
            </w:pPr>
          </w:p>
          <w:p>
            <w:pPr>
              <w:pStyle w:val="TableParagraph"/>
              <w:ind w:left="99" w:right="99"/>
              <w:jc w:val="center"/>
              <w:rPr>
                <w:sz w:val="20"/>
              </w:rPr>
            </w:pPr>
            <w:r>
              <w:rPr>
                <w:sz w:val="20"/>
              </w:rPr>
              <w:t>港北六路一期</w:t>
            </w:r>
          </w:p>
        </w:tc>
        <w:tc>
          <w:tcPr>
            <w:tcW w:w="1256" w:type="dxa"/>
          </w:tcPr>
          <w:p>
            <w:pPr>
              <w:pStyle w:val="TableParagraph"/>
              <w:spacing w:before="3"/>
              <w:rPr>
                <w:rFonts w:ascii="黑体"/>
                <w:sz w:val="27"/>
              </w:rPr>
            </w:pPr>
          </w:p>
          <w:p>
            <w:pPr>
              <w:pStyle w:val="TableParagraph"/>
              <w:ind w:left="173"/>
              <w:rPr>
                <w:sz w:val="20"/>
              </w:rPr>
            </w:pPr>
            <w:r>
              <w:rPr>
                <w:sz w:val="20"/>
              </w:rPr>
              <w:t>2016-2018</w:t>
            </w:r>
          </w:p>
        </w:tc>
        <w:tc>
          <w:tcPr>
            <w:tcW w:w="3662" w:type="dxa"/>
          </w:tcPr>
          <w:p>
            <w:pPr>
              <w:pStyle w:val="TableParagraph"/>
              <w:spacing w:before="3"/>
              <w:rPr>
                <w:rFonts w:ascii="黑体"/>
                <w:sz w:val="27"/>
              </w:rPr>
            </w:pPr>
          </w:p>
          <w:p>
            <w:pPr>
              <w:pStyle w:val="TableParagraph"/>
              <w:ind w:left="13" w:right="13"/>
              <w:jc w:val="center"/>
              <w:rPr>
                <w:sz w:val="20"/>
              </w:rPr>
            </w:pPr>
            <w:r>
              <w:rPr>
                <w:sz w:val="20"/>
              </w:rPr>
              <w:t>双向四车道，长 1119 米，宽 20 米</w:t>
            </w:r>
          </w:p>
        </w:tc>
        <w:tc>
          <w:tcPr>
            <w:tcW w:w="1058" w:type="dxa"/>
          </w:tcPr>
          <w:p>
            <w:pPr>
              <w:pStyle w:val="TableParagraph"/>
              <w:spacing w:before="3"/>
              <w:rPr>
                <w:rFonts w:ascii="黑体"/>
                <w:sz w:val="27"/>
              </w:rPr>
            </w:pPr>
          </w:p>
          <w:p>
            <w:pPr>
              <w:pStyle w:val="TableParagraph"/>
              <w:ind w:left="153" w:right="153"/>
              <w:jc w:val="center"/>
              <w:rPr>
                <w:sz w:val="20"/>
              </w:rPr>
            </w:pPr>
            <w:r>
              <w:rPr>
                <w:sz w:val="20"/>
              </w:rPr>
              <w:t>4420</w:t>
            </w:r>
          </w:p>
        </w:tc>
        <w:tc>
          <w:tcPr>
            <w:tcW w:w="1051" w:type="dxa"/>
          </w:tcPr>
          <w:p>
            <w:pPr>
              <w:pStyle w:val="TableParagraph"/>
              <w:spacing w:line="228" w:lineRule="exact"/>
              <w:ind w:left="160"/>
              <w:jc w:val="both"/>
              <w:rPr>
                <w:sz w:val="20"/>
              </w:rPr>
            </w:pPr>
            <w:r>
              <w:rPr>
                <w:sz w:val="20"/>
              </w:rPr>
              <w:t>乐山三 </w:t>
            </w:r>
          </w:p>
          <w:p>
            <w:pPr>
              <w:pStyle w:val="TableParagraph"/>
              <w:spacing w:line="237" w:lineRule="auto" w:before="1"/>
              <w:ind w:left="160" w:right="158"/>
              <w:jc w:val="both"/>
              <w:rPr>
                <w:sz w:val="20"/>
              </w:rPr>
            </w:pPr>
            <w:r>
              <w:rPr>
                <w:sz w:val="20"/>
              </w:rPr>
              <w:t>江临港经济开发区 </w:t>
            </w:r>
          </w:p>
        </w:tc>
      </w:tr>
      <w:tr>
        <w:trPr>
          <w:trHeight w:val="1020" w:hRule="atLeast"/>
        </w:trPr>
        <w:tc>
          <w:tcPr>
            <w:tcW w:w="502" w:type="dxa"/>
          </w:tcPr>
          <w:p>
            <w:pPr>
              <w:pStyle w:val="TableParagraph"/>
              <w:spacing w:before="3"/>
              <w:rPr>
                <w:rFonts w:ascii="黑体"/>
                <w:sz w:val="27"/>
              </w:rPr>
            </w:pPr>
          </w:p>
          <w:p>
            <w:pPr>
              <w:pStyle w:val="TableParagraph"/>
              <w:ind w:left="195"/>
              <w:rPr>
                <w:sz w:val="20"/>
              </w:rPr>
            </w:pPr>
            <w:r>
              <w:rPr>
                <w:w w:val="100"/>
                <w:sz w:val="20"/>
              </w:rPr>
              <w:t>5</w:t>
            </w:r>
          </w:p>
        </w:tc>
        <w:tc>
          <w:tcPr>
            <w:tcW w:w="2110" w:type="dxa"/>
          </w:tcPr>
          <w:p>
            <w:pPr>
              <w:pStyle w:val="TableParagraph"/>
              <w:spacing w:before="3"/>
              <w:rPr>
                <w:rFonts w:ascii="黑体"/>
                <w:sz w:val="27"/>
              </w:rPr>
            </w:pPr>
          </w:p>
          <w:p>
            <w:pPr>
              <w:pStyle w:val="TableParagraph"/>
              <w:ind w:left="99"/>
              <w:jc w:val="center"/>
              <w:rPr>
                <w:sz w:val="20"/>
              </w:rPr>
            </w:pPr>
            <w:r>
              <w:rPr>
                <w:sz w:val="20"/>
              </w:rPr>
              <w:t>玉津路（中段及支线）</w:t>
            </w:r>
          </w:p>
        </w:tc>
        <w:tc>
          <w:tcPr>
            <w:tcW w:w="1256" w:type="dxa"/>
          </w:tcPr>
          <w:p>
            <w:pPr>
              <w:pStyle w:val="TableParagraph"/>
              <w:spacing w:before="3"/>
              <w:rPr>
                <w:rFonts w:ascii="黑体"/>
                <w:sz w:val="27"/>
              </w:rPr>
            </w:pPr>
          </w:p>
          <w:p>
            <w:pPr>
              <w:pStyle w:val="TableParagraph"/>
              <w:ind w:left="172"/>
              <w:rPr>
                <w:sz w:val="20"/>
              </w:rPr>
            </w:pPr>
            <w:r>
              <w:rPr>
                <w:sz w:val="20"/>
              </w:rPr>
              <w:t>2016-2018</w:t>
            </w:r>
          </w:p>
        </w:tc>
        <w:tc>
          <w:tcPr>
            <w:tcW w:w="3662" w:type="dxa"/>
          </w:tcPr>
          <w:p>
            <w:pPr>
              <w:pStyle w:val="TableParagraph"/>
              <w:spacing w:before="4"/>
              <w:rPr>
                <w:rFonts w:ascii="黑体"/>
                <w:sz w:val="17"/>
              </w:rPr>
            </w:pPr>
          </w:p>
          <w:p>
            <w:pPr>
              <w:pStyle w:val="TableParagraph"/>
              <w:spacing w:line="260" w:lineRule="exact"/>
              <w:ind w:left="102"/>
              <w:rPr>
                <w:sz w:val="20"/>
              </w:rPr>
            </w:pPr>
            <w:r>
              <w:rPr>
                <w:spacing w:val="-14"/>
                <w:sz w:val="20"/>
              </w:rPr>
              <w:t>主线长 </w:t>
            </w:r>
            <w:r>
              <w:rPr>
                <w:sz w:val="20"/>
              </w:rPr>
              <w:t>350</w:t>
            </w:r>
            <w:r>
              <w:rPr>
                <w:spacing w:val="-22"/>
                <w:sz w:val="20"/>
              </w:rPr>
              <w:t> 米，宽 </w:t>
            </w:r>
            <w:r>
              <w:rPr>
                <w:sz w:val="20"/>
              </w:rPr>
              <w:t>40</w:t>
            </w:r>
            <w:r>
              <w:rPr>
                <w:spacing w:val="-8"/>
                <w:sz w:val="20"/>
              </w:rPr>
              <w:t> 米，双向八车道；</w:t>
            </w:r>
          </w:p>
          <w:p>
            <w:pPr>
              <w:pStyle w:val="TableParagraph"/>
              <w:spacing w:line="260" w:lineRule="exact"/>
              <w:ind w:left="174"/>
              <w:rPr>
                <w:sz w:val="20"/>
              </w:rPr>
            </w:pPr>
            <w:r>
              <w:rPr>
                <w:spacing w:val="-14"/>
                <w:sz w:val="20"/>
              </w:rPr>
              <w:t>支线长 </w:t>
            </w:r>
            <w:r>
              <w:rPr>
                <w:sz w:val="20"/>
              </w:rPr>
              <w:t>580</w:t>
            </w:r>
            <w:r>
              <w:rPr>
                <w:spacing w:val="-22"/>
                <w:sz w:val="20"/>
              </w:rPr>
              <w:t> 米，宽 </w:t>
            </w:r>
            <w:r>
              <w:rPr>
                <w:sz w:val="20"/>
              </w:rPr>
              <w:t>30</w:t>
            </w:r>
            <w:r>
              <w:rPr>
                <w:spacing w:val="-8"/>
                <w:sz w:val="20"/>
              </w:rPr>
              <w:t> 米，双向六车道</w:t>
            </w:r>
          </w:p>
        </w:tc>
        <w:tc>
          <w:tcPr>
            <w:tcW w:w="1058" w:type="dxa"/>
          </w:tcPr>
          <w:p>
            <w:pPr>
              <w:pStyle w:val="TableParagraph"/>
              <w:spacing w:before="3"/>
              <w:rPr>
                <w:rFonts w:ascii="黑体"/>
                <w:sz w:val="27"/>
              </w:rPr>
            </w:pPr>
          </w:p>
          <w:p>
            <w:pPr>
              <w:pStyle w:val="TableParagraph"/>
              <w:ind w:left="153" w:right="154"/>
              <w:jc w:val="center"/>
              <w:rPr>
                <w:sz w:val="20"/>
              </w:rPr>
            </w:pPr>
            <w:r>
              <w:rPr>
                <w:sz w:val="20"/>
              </w:rPr>
              <w:t>4860</w:t>
            </w:r>
          </w:p>
        </w:tc>
        <w:tc>
          <w:tcPr>
            <w:tcW w:w="1051" w:type="dxa"/>
          </w:tcPr>
          <w:p>
            <w:pPr>
              <w:pStyle w:val="TableParagraph"/>
              <w:spacing w:line="228" w:lineRule="exact"/>
              <w:ind w:left="160"/>
              <w:jc w:val="both"/>
              <w:rPr>
                <w:sz w:val="20"/>
              </w:rPr>
            </w:pPr>
            <w:r>
              <w:rPr>
                <w:sz w:val="20"/>
              </w:rPr>
              <w:t>乐山三 </w:t>
            </w:r>
          </w:p>
          <w:p>
            <w:pPr>
              <w:pStyle w:val="TableParagraph"/>
              <w:spacing w:line="237" w:lineRule="auto" w:before="1"/>
              <w:ind w:left="160" w:right="158"/>
              <w:jc w:val="both"/>
              <w:rPr>
                <w:sz w:val="20"/>
              </w:rPr>
            </w:pPr>
            <w:r>
              <w:rPr>
                <w:sz w:val="20"/>
              </w:rPr>
              <w:t>江临港经济开发区 </w:t>
            </w:r>
          </w:p>
        </w:tc>
      </w:tr>
      <w:tr>
        <w:trPr>
          <w:trHeight w:val="1020" w:hRule="atLeast"/>
        </w:trPr>
        <w:tc>
          <w:tcPr>
            <w:tcW w:w="502" w:type="dxa"/>
          </w:tcPr>
          <w:p>
            <w:pPr>
              <w:pStyle w:val="TableParagraph"/>
              <w:spacing w:before="3"/>
              <w:rPr>
                <w:rFonts w:ascii="黑体"/>
                <w:sz w:val="27"/>
              </w:rPr>
            </w:pPr>
          </w:p>
          <w:p>
            <w:pPr>
              <w:pStyle w:val="TableParagraph"/>
              <w:ind w:left="195"/>
              <w:rPr>
                <w:sz w:val="20"/>
              </w:rPr>
            </w:pPr>
            <w:r>
              <w:rPr>
                <w:w w:val="100"/>
                <w:sz w:val="20"/>
              </w:rPr>
              <w:t>6</w:t>
            </w:r>
          </w:p>
        </w:tc>
        <w:tc>
          <w:tcPr>
            <w:tcW w:w="2110" w:type="dxa"/>
          </w:tcPr>
          <w:p>
            <w:pPr>
              <w:pStyle w:val="TableParagraph"/>
              <w:spacing w:before="3"/>
              <w:rPr>
                <w:rFonts w:ascii="黑体"/>
                <w:sz w:val="27"/>
              </w:rPr>
            </w:pPr>
          </w:p>
          <w:p>
            <w:pPr>
              <w:pStyle w:val="TableParagraph"/>
              <w:ind w:left="99" w:right="101"/>
              <w:jc w:val="center"/>
              <w:rPr>
                <w:sz w:val="20"/>
              </w:rPr>
            </w:pPr>
            <w:r>
              <w:rPr>
                <w:sz w:val="20"/>
              </w:rPr>
              <w:t>港北四路</w:t>
            </w:r>
          </w:p>
        </w:tc>
        <w:tc>
          <w:tcPr>
            <w:tcW w:w="1256" w:type="dxa"/>
          </w:tcPr>
          <w:p>
            <w:pPr>
              <w:pStyle w:val="TableParagraph"/>
              <w:spacing w:before="3"/>
              <w:rPr>
                <w:rFonts w:ascii="黑体"/>
                <w:sz w:val="27"/>
              </w:rPr>
            </w:pPr>
          </w:p>
          <w:p>
            <w:pPr>
              <w:pStyle w:val="TableParagraph"/>
              <w:ind w:left="171"/>
              <w:rPr>
                <w:sz w:val="20"/>
              </w:rPr>
            </w:pPr>
            <w:r>
              <w:rPr>
                <w:sz w:val="20"/>
              </w:rPr>
              <w:t>2017-2018</w:t>
            </w:r>
          </w:p>
        </w:tc>
        <w:tc>
          <w:tcPr>
            <w:tcW w:w="3662" w:type="dxa"/>
          </w:tcPr>
          <w:p>
            <w:pPr>
              <w:pStyle w:val="TableParagraph"/>
              <w:spacing w:before="3"/>
              <w:rPr>
                <w:rFonts w:ascii="黑体"/>
                <w:sz w:val="27"/>
              </w:rPr>
            </w:pPr>
          </w:p>
          <w:p>
            <w:pPr>
              <w:pStyle w:val="TableParagraph"/>
              <w:ind w:left="13" w:right="14"/>
              <w:jc w:val="center"/>
              <w:rPr>
                <w:sz w:val="20"/>
              </w:rPr>
            </w:pPr>
            <w:r>
              <w:rPr>
                <w:sz w:val="20"/>
              </w:rPr>
              <w:t>双向六车道，长 1401 米，宽 30 米</w:t>
            </w:r>
          </w:p>
        </w:tc>
        <w:tc>
          <w:tcPr>
            <w:tcW w:w="1058" w:type="dxa"/>
          </w:tcPr>
          <w:p>
            <w:pPr>
              <w:pStyle w:val="TableParagraph"/>
              <w:spacing w:before="3"/>
              <w:rPr>
                <w:rFonts w:ascii="黑体"/>
                <w:sz w:val="27"/>
              </w:rPr>
            </w:pPr>
          </w:p>
          <w:p>
            <w:pPr>
              <w:pStyle w:val="TableParagraph"/>
              <w:ind w:left="153" w:right="153"/>
              <w:jc w:val="center"/>
              <w:rPr>
                <w:sz w:val="20"/>
              </w:rPr>
            </w:pPr>
            <w:r>
              <w:rPr>
                <w:sz w:val="20"/>
              </w:rPr>
              <w:t>7860</w:t>
            </w:r>
          </w:p>
        </w:tc>
        <w:tc>
          <w:tcPr>
            <w:tcW w:w="1051" w:type="dxa"/>
          </w:tcPr>
          <w:p>
            <w:pPr>
              <w:pStyle w:val="TableParagraph"/>
              <w:spacing w:line="228" w:lineRule="exact"/>
              <w:ind w:left="160"/>
              <w:jc w:val="both"/>
              <w:rPr>
                <w:sz w:val="20"/>
              </w:rPr>
            </w:pPr>
            <w:r>
              <w:rPr>
                <w:sz w:val="20"/>
              </w:rPr>
              <w:t>乐山三 </w:t>
            </w:r>
          </w:p>
          <w:p>
            <w:pPr>
              <w:pStyle w:val="TableParagraph"/>
              <w:spacing w:line="237" w:lineRule="auto" w:before="1"/>
              <w:ind w:left="160" w:right="158"/>
              <w:jc w:val="both"/>
              <w:rPr>
                <w:sz w:val="20"/>
              </w:rPr>
            </w:pPr>
            <w:r>
              <w:rPr>
                <w:sz w:val="20"/>
              </w:rPr>
              <w:t>江临港经济开发区 </w:t>
            </w:r>
          </w:p>
        </w:tc>
      </w:tr>
      <w:tr>
        <w:trPr>
          <w:trHeight w:val="1020" w:hRule="atLeast"/>
        </w:trPr>
        <w:tc>
          <w:tcPr>
            <w:tcW w:w="502" w:type="dxa"/>
          </w:tcPr>
          <w:p>
            <w:pPr>
              <w:pStyle w:val="TableParagraph"/>
              <w:spacing w:before="3"/>
              <w:rPr>
                <w:rFonts w:ascii="黑体"/>
                <w:sz w:val="27"/>
              </w:rPr>
            </w:pPr>
          </w:p>
          <w:p>
            <w:pPr>
              <w:pStyle w:val="TableParagraph"/>
              <w:ind w:left="195"/>
              <w:rPr>
                <w:sz w:val="20"/>
              </w:rPr>
            </w:pPr>
            <w:r>
              <w:rPr>
                <w:w w:val="100"/>
                <w:sz w:val="20"/>
              </w:rPr>
              <w:t>7</w:t>
            </w:r>
          </w:p>
        </w:tc>
        <w:tc>
          <w:tcPr>
            <w:tcW w:w="2110" w:type="dxa"/>
          </w:tcPr>
          <w:p>
            <w:pPr>
              <w:pStyle w:val="TableParagraph"/>
              <w:spacing w:before="3"/>
              <w:rPr>
                <w:rFonts w:ascii="黑体"/>
                <w:sz w:val="27"/>
              </w:rPr>
            </w:pPr>
          </w:p>
          <w:p>
            <w:pPr>
              <w:pStyle w:val="TableParagraph"/>
              <w:ind w:left="99" w:right="99"/>
              <w:jc w:val="center"/>
              <w:rPr>
                <w:sz w:val="20"/>
              </w:rPr>
            </w:pPr>
            <w:r>
              <w:rPr>
                <w:sz w:val="20"/>
              </w:rPr>
              <w:t>劝业路一期</w:t>
            </w:r>
          </w:p>
        </w:tc>
        <w:tc>
          <w:tcPr>
            <w:tcW w:w="1256" w:type="dxa"/>
          </w:tcPr>
          <w:p>
            <w:pPr>
              <w:pStyle w:val="TableParagraph"/>
              <w:spacing w:before="3"/>
              <w:rPr>
                <w:rFonts w:ascii="黑体"/>
                <w:sz w:val="27"/>
              </w:rPr>
            </w:pPr>
          </w:p>
          <w:p>
            <w:pPr>
              <w:pStyle w:val="TableParagraph"/>
              <w:ind w:left="173"/>
              <w:rPr>
                <w:sz w:val="20"/>
              </w:rPr>
            </w:pPr>
            <w:r>
              <w:rPr>
                <w:sz w:val="20"/>
              </w:rPr>
              <w:t>2018-2020</w:t>
            </w:r>
          </w:p>
        </w:tc>
        <w:tc>
          <w:tcPr>
            <w:tcW w:w="3662" w:type="dxa"/>
          </w:tcPr>
          <w:p>
            <w:pPr>
              <w:pStyle w:val="TableParagraph"/>
              <w:spacing w:before="3"/>
              <w:rPr>
                <w:rFonts w:ascii="黑体"/>
                <w:sz w:val="27"/>
              </w:rPr>
            </w:pPr>
          </w:p>
          <w:p>
            <w:pPr>
              <w:pStyle w:val="TableParagraph"/>
              <w:ind w:left="13" w:right="12"/>
              <w:jc w:val="center"/>
              <w:rPr>
                <w:sz w:val="20"/>
              </w:rPr>
            </w:pPr>
            <w:r>
              <w:rPr>
                <w:sz w:val="20"/>
              </w:rPr>
              <w:t>双向六车道，长 4056 米，宽 30 米</w:t>
            </w:r>
          </w:p>
        </w:tc>
        <w:tc>
          <w:tcPr>
            <w:tcW w:w="1058" w:type="dxa"/>
          </w:tcPr>
          <w:p>
            <w:pPr>
              <w:pStyle w:val="TableParagraph"/>
              <w:spacing w:before="3"/>
              <w:rPr>
                <w:rFonts w:ascii="黑体"/>
                <w:sz w:val="27"/>
              </w:rPr>
            </w:pPr>
          </w:p>
          <w:p>
            <w:pPr>
              <w:pStyle w:val="TableParagraph"/>
              <w:ind w:left="153" w:right="151"/>
              <w:jc w:val="center"/>
              <w:rPr>
                <w:sz w:val="20"/>
              </w:rPr>
            </w:pPr>
            <w:r>
              <w:rPr>
                <w:sz w:val="20"/>
              </w:rPr>
              <w:t>22760</w:t>
            </w:r>
          </w:p>
        </w:tc>
        <w:tc>
          <w:tcPr>
            <w:tcW w:w="1051" w:type="dxa"/>
          </w:tcPr>
          <w:p>
            <w:pPr>
              <w:pStyle w:val="TableParagraph"/>
              <w:spacing w:line="228" w:lineRule="exact"/>
              <w:ind w:left="160"/>
              <w:jc w:val="both"/>
              <w:rPr>
                <w:sz w:val="20"/>
              </w:rPr>
            </w:pPr>
            <w:r>
              <w:rPr>
                <w:sz w:val="20"/>
              </w:rPr>
              <w:t>乐山三 </w:t>
            </w:r>
          </w:p>
          <w:p>
            <w:pPr>
              <w:pStyle w:val="TableParagraph"/>
              <w:spacing w:line="237" w:lineRule="auto" w:before="1"/>
              <w:ind w:left="160" w:right="158"/>
              <w:jc w:val="both"/>
              <w:rPr>
                <w:sz w:val="20"/>
              </w:rPr>
            </w:pPr>
            <w:r>
              <w:rPr>
                <w:sz w:val="20"/>
              </w:rPr>
              <w:t>江临港经济开发区 </w:t>
            </w:r>
          </w:p>
        </w:tc>
      </w:tr>
      <w:tr>
        <w:trPr>
          <w:trHeight w:val="1020" w:hRule="atLeast"/>
        </w:trPr>
        <w:tc>
          <w:tcPr>
            <w:tcW w:w="502" w:type="dxa"/>
          </w:tcPr>
          <w:p>
            <w:pPr>
              <w:pStyle w:val="TableParagraph"/>
              <w:spacing w:before="3"/>
              <w:rPr>
                <w:rFonts w:ascii="黑体"/>
                <w:sz w:val="27"/>
              </w:rPr>
            </w:pPr>
          </w:p>
          <w:p>
            <w:pPr>
              <w:pStyle w:val="TableParagraph"/>
              <w:ind w:left="195"/>
              <w:rPr>
                <w:sz w:val="20"/>
              </w:rPr>
            </w:pPr>
            <w:r>
              <w:rPr>
                <w:w w:val="100"/>
                <w:sz w:val="20"/>
              </w:rPr>
              <w:t>8</w:t>
            </w:r>
          </w:p>
        </w:tc>
        <w:tc>
          <w:tcPr>
            <w:tcW w:w="2110" w:type="dxa"/>
          </w:tcPr>
          <w:p>
            <w:pPr>
              <w:pStyle w:val="TableParagraph"/>
              <w:spacing w:before="3"/>
              <w:rPr>
                <w:rFonts w:ascii="黑体"/>
                <w:sz w:val="27"/>
              </w:rPr>
            </w:pPr>
          </w:p>
          <w:p>
            <w:pPr>
              <w:pStyle w:val="TableParagraph"/>
              <w:ind w:left="99" w:right="99"/>
              <w:jc w:val="center"/>
              <w:rPr>
                <w:sz w:val="20"/>
              </w:rPr>
            </w:pPr>
            <w:r>
              <w:rPr>
                <w:sz w:val="20"/>
              </w:rPr>
              <w:t>嘉港路</w:t>
            </w:r>
          </w:p>
        </w:tc>
        <w:tc>
          <w:tcPr>
            <w:tcW w:w="1256" w:type="dxa"/>
          </w:tcPr>
          <w:p>
            <w:pPr>
              <w:pStyle w:val="TableParagraph"/>
              <w:spacing w:before="3"/>
              <w:rPr>
                <w:rFonts w:ascii="黑体"/>
                <w:sz w:val="27"/>
              </w:rPr>
            </w:pPr>
          </w:p>
          <w:p>
            <w:pPr>
              <w:pStyle w:val="TableParagraph"/>
              <w:ind w:left="172"/>
              <w:rPr>
                <w:sz w:val="20"/>
              </w:rPr>
            </w:pPr>
            <w:r>
              <w:rPr>
                <w:sz w:val="20"/>
              </w:rPr>
              <w:t>2017-2018</w:t>
            </w:r>
          </w:p>
        </w:tc>
        <w:tc>
          <w:tcPr>
            <w:tcW w:w="3662" w:type="dxa"/>
          </w:tcPr>
          <w:p>
            <w:pPr>
              <w:pStyle w:val="TableParagraph"/>
              <w:spacing w:before="7"/>
              <w:rPr>
                <w:rFonts w:ascii="黑体"/>
                <w:sz w:val="17"/>
              </w:rPr>
            </w:pPr>
          </w:p>
          <w:p>
            <w:pPr>
              <w:pStyle w:val="TableParagraph"/>
              <w:spacing w:line="237" w:lineRule="auto"/>
              <w:ind w:left="1374" w:right="107" w:hanging="1250"/>
              <w:rPr>
                <w:sz w:val="20"/>
              </w:rPr>
            </w:pPr>
            <w:r>
              <w:rPr>
                <w:spacing w:val="-7"/>
                <w:sz w:val="20"/>
              </w:rPr>
              <w:t>双向八车道，长 </w:t>
            </w:r>
            <w:r>
              <w:rPr>
                <w:sz w:val="20"/>
              </w:rPr>
              <w:t>1523</w:t>
            </w:r>
            <w:r>
              <w:rPr>
                <w:spacing w:val="-22"/>
                <w:sz w:val="20"/>
              </w:rPr>
              <w:t> 米，宽 </w:t>
            </w:r>
            <w:r>
              <w:rPr>
                <w:sz w:val="20"/>
              </w:rPr>
              <w:t>40</w:t>
            </w:r>
            <w:r>
              <w:rPr>
                <w:spacing w:val="-14"/>
                <w:sz w:val="20"/>
              </w:rPr>
              <w:t> 米，绿</w:t>
            </w:r>
            <w:r>
              <w:rPr>
                <w:spacing w:val="-33"/>
                <w:sz w:val="20"/>
              </w:rPr>
              <w:t>化 </w:t>
            </w:r>
            <w:r>
              <w:rPr>
                <w:sz w:val="20"/>
              </w:rPr>
              <w:t>2*25</w:t>
            </w:r>
            <w:r>
              <w:rPr>
                <w:spacing w:val="-25"/>
                <w:sz w:val="20"/>
              </w:rPr>
              <w:t> 米</w:t>
            </w:r>
          </w:p>
        </w:tc>
        <w:tc>
          <w:tcPr>
            <w:tcW w:w="1058" w:type="dxa"/>
          </w:tcPr>
          <w:p>
            <w:pPr>
              <w:pStyle w:val="TableParagraph"/>
              <w:spacing w:before="3"/>
              <w:rPr>
                <w:rFonts w:ascii="黑体"/>
                <w:sz w:val="27"/>
              </w:rPr>
            </w:pPr>
          </w:p>
          <w:p>
            <w:pPr>
              <w:pStyle w:val="TableParagraph"/>
              <w:ind w:left="153" w:right="153"/>
              <w:jc w:val="center"/>
              <w:rPr>
                <w:sz w:val="20"/>
              </w:rPr>
            </w:pPr>
            <w:r>
              <w:rPr>
                <w:sz w:val="20"/>
              </w:rPr>
              <w:t>17760</w:t>
            </w:r>
          </w:p>
        </w:tc>
        <w:tc>
          <w:tcPr>
            <w:tcW w:w="1051" w:type="dxa"/>
          </w:tcPr>
          <w:p>
            <w:pPr>
              <w:pStyle w:val="TableParagraph"/>
              <w:spacing w:line="228" w:lineRule="exact"/>
              <w:ind w:left="160"/>
              <w:jc w:val="both"/>
              <w:rPr>
                <w:sz w:val="20"/>
              </w:rPr>
            </w:pPr>
            <w:r>
              <w:rPr>
                <w:sz w:val="20"/>
              </w:rPr>
              <w:t>乐山三 </w:t>
            </w:r>
          </w:p>
          <w:p>
            <w:pPr>
              <w:pStyle w:val="TableParagraph"/>
              <w:spacing w:line="237" w:lineRule="auto" w:before="1"/>
              <w:ind w:left="160" w:right="158"/>
              <w:jc w:val="both"/>
              <w:rPr>
                <w:sz w:val="20"/>
              </w:rPr>
            </w:pPr>
            <w:r>
              <w:rPr>
                <w:sz w:val="20"/>
              </w:rPr>
              <w:t>江临港经济开发区 </w:t>
            </w:r>
          </w:p>
        </w:tc>
      </w:tr>
      <w:tr>
        <w:trPr>
          <w:trHeight w:val="1020" w:hRule="atLeast"/>
        </w:trPr>
        <w:tc>
          <w:tcPr>
            <w:tcW w:w="502" w:type="dxa"/>
          </w:tcPr>
          <w:p>
            <w:pPr>
              <w:pStyle w:val="TableParagraph"/>
              <w:spacing w:before="3"/>
              <w:rPr>
                <w:rFonts w:ascii="黑体"/>
                <w:sz w:val="27"/>
              </w:rPr>
            </w:pPr>
          </w:p>
          <w:p>
            <w:pPr>
              <w:pStyle w:val="TableParagraph"/>
              <w:ind w:left="195"/>
              <w:rPr>
                <w:sz w:val="20"/>
              </w:rPr>
            </w:pPr>
            <w:r>
              <w:rPr>
                <w:w w:val="100"/>
                <w:sz w:val="20"/>
              </w:rPr>
              <w:t>9</w:t>
            </w:r>
          </w:p>
        </w:tc>
        <w:tc>
          <w:tcPr>
            <w:tcW w:w="2110" w:type="dxa"/>
          </w:tcPr>
          <w:p>
            <w:pPr>
              <w:pStyle w:val="TableParagraph"/>
              <w:spacing w:before="3"/>
              <w:rPr>
                <w:rFonts w:ascii="黑体"/>
                <w:sz w:val="27"/>
              </w:rPr>
            </w:pPr>
          </w:p>
          <w:p>
            <w:pPr>
              <w:pStyle w:val="TableParagraph"/>
              <w:ind w:left="99" w:right="101"/>
              <w:jc w:val="center"/>
              <w:rPr>
                <w:sz w:val="20"/>
              </w:rPr>
            </w:pPr>
            <w:r>
              <w:rPr>
                <w:sz w:val="20"/>
              </w:rPr>
              <w:t>港南四路</w:t>
            </w:r>
          </w:p>
        </w:tc>
        <w:tc>
          <w:tcPr>
            <w:tcW w:w="1256" w:type="dxa"/>
          </w:tcPr>
          <w:p>
            <w:pPr>
              <w:pStyle w:val="TableParagraph"/>
              <w:spacing w:before="3"/>
              <w:rPr>
                <w:rFonts w:ascii="黑体"/>
                <w:sz w:val="27"/>
              </w:rPr>
            </w:pPr>
          </w:p>
          <w:p>
            <w:pPr>
              <w:pStyle w:val="TableParagraph"/>
              <w:ind w:left="171"/>
              <w:rPr>
                <w:sz w:val="20"/>
              </w:rPr>
            </w:pPr>
            <w:r>
              <w:rPr>
                <w:sz w:val="20"/>
              </w:rPr>
              <w:t>2018-2019</w:t>
            </w:r>
          </w:p>
        </w:tc>
        <w:tc>
          <w:tcPr>
            <w:tcW w:w="3662" w:type="dxa"/>
          </w:tcPr>
          <w:p>
            <w:pPr>
              <w:pStyle w:val="TableParagraph"/>
              <w:spacing w:before="3"/>
              <w:rPr>
                <w:rFonts w:ascii="黑体"/>
                <w:sz w:val="27"/>
              </w:rPr>
            </w:pPr>
          </w:p>
          <w:p>
            <w:pPr>
              <w:pStyle w:val="TableParagraph"/>
              <w:ind w:left="13" w:right="14"/>
              <w:jc w:val="center"/>
              <w:rPr>
                <w:sz w:val="20"/>
              </w:rPr>
            </w:pPr>
            <w:r>
              <w:rPr>
                <w:sz w:val="20"/>
              </w:rPr>
              <w:t>双向六车道，长 1891 米，宽 30 米</w:t>
            </w:r>
          </w:p>
        </w:tc>
        <w:tc>
          <w:tcPr>
            <w:tcW w:w="1058" w:type="dxa"/>
          </w:tcPr>
          <w:p>
            <w:pPr>
              <w:pStyle w:val="TableParagraph"/>
              <w:spacing w:before="3"/>
              <w:rPr>
                <w:rFonts w:ascii="黑体"/>
                <w:sz w:val="27"/>
              </w:rPr>
            </w:pPr>
          </w:p>
          <w:p>
            <w:pPr>
              <w:pStyle w:val="TableParagraph"/>
              <w:ind w:left="153" w:right="150"/>
              <w:jc w:val="center"/>
              <w:rPr>
                <w:sz w:val="20"/>
              </w:rPr>
            </w:pPr>
            <w:r>
              <w:rPr>
                <w:sz w:val="20"/>
              </w:rPr>
              <w:t>24050</w:t>
            </w:r>
          </w:p>
        </w:tc>
        <w:tc>
          <w:tcPr>
            <w:tcW w:w="1051" w:type="dxa"/>
          </w:tcPr>
          <w:p>
            <w:pPr>
              <w:pStyle w:val="TableParagraph"/>
              <w:spacing w:line="228" w:lineRule="exact"/>
              <w:ind w:left="160"/>
              <w:jc w:val="both"/>
              <w:rPr>
                <w:sz w:val="20"/>
              </w:rPr>
            </w:pPr>
            <w:r>
              <w:rPr>
                <w:sz w:val="20"/>
              </w:rPr>
              <w:t>乐山三 </w:t>
            </w:r>
          </w:p>
          <w:p>
            <w:pPr>
              <w:pStyle w:val="TableParagraph"/>
              <w:spacing w:line="237" w:lineRule="auto" w:before="1"/>
              <w:ind w:left="160" w:right="158"/>
              <w:jc w:val="both"/>
              <w:rPr>
                <w:sz w:val="20"/>
              </w:rPr>
            </w:pPr>
            <w:r>
              <w:rPr>
                <w:sz w:val="20"/>
              </w:rPr>
              <w:t>江临港经济开发区 </w:t>
            </w:r>
          </w:p>
        </w:tc>
      </w:tr>
      <w:tr>
        <w:trPr>
          <w:trHeight w:val="1020" w:hRule="atLeast"/>
        </w:trPr>
        <w:tc>
          <w:tcPr>
            <w:tcW w:w="502" w:type="dxa"/>
          </w:tcPr>
          <w:p>
            <w:pPr>
              <w:pStyle w:val="TableParagraph"/>
              <w:spacing w:before="3"/>
              <w:rPr>
                <w:rFonts w:ascii="黑体"/>
                <w:sz w:val="27"/>
              </w:rPr>
            </w:pPr>
          </w:p>
          <w:p>
            <w:pPr>
              <w:pStyle w:val="TableParagraph"/>
              <w:ind w:left="144"/>
              <w:rPr>
                <w:sz w:val="20"/>
              </w:rPr>
            </w:pPr>
            <w:r>
              <w:rPr>
                <w:sz w:val="20"/>
              </w:rPr>
              <w:t>10</w:t>
            </w:r>
          </w:p>
        </w:tc>
        <w:tc>
          <w:tcPr>
            <w:tcW w:w="2110" w:type="dxa"/>
          </w:tcPr>
          <w:p>
            <w:pPr>
              <w:pStyle w:val="TableParagraph"/>
              <w:spacing w:before="3"/>
              <w:rPr>
                <w:rFonts w:ascii="黑体"/>
                <w:sz w:val="27"/>
              </w:rPr>
            </w:pPr>
          </w:p>
          <w:p>
            <w:pPr>
              <w:pStyle w:val="TableParagraph"/>
              <w:ind w:left="99" w:right="102"/>
              <w:jc w:val="center"/>
              <w:rPr>
                <w:sz w:val="20"/>
              </w:rPr>
            </w:pPr>
            <w:r>
              <w:rPr>
                <w:sz w:val="20"/>
              </w:rPr>
              <w:t>港南七路</w:t>
            </w:r>
          </w:p>
        </w:tc>
        <w:tc>
          <w:tcPr>
            <w:tcW w:w="1256" w:type="dxa"/>
          </w:tcPr>
          <w:p>
            <w:pPr>
              <w:pStyle w:val="TableParagraph"/>
              <w:spacing w:before="3"/>
              <w:rPr>
                <w:rFonts w:ascii="黑体"/>
                <w:sz w:val="27"/>
              </w:rPr>
            </w:pPr>
          </w:p>
          <w:p>
            <w:pPr>
              <w:pStyle w:val="TableParagraph"/>
              <w:ind w:left="170"/>
              <w:rPr>
                <w:sz w:val="20"/>
              </w:rPr>
            </w:pPr>
            <w:r>
              <w:rPr>
                <w:sz w:val="20"/>
              </w:rPr>
              <w:t>2019-2020</w:t>
            </w:r>
          </w:p>
        </w:tc>
        <w:tc>
          <w:tcPr>
            <w:tcW w:w="3662" w:type="dxa"/>
          </w:tcPr>
          <w:p>
            <w:pPr>
              <w:pStyle w:val="TableParagraph"/>
              <w:spacing w:before="3"/>
              <w:rPr>
                <w:rFonts w:ascii="黑体"/>
                <w:sz w:val="27"/>
              </w:rPr>
            </w:pPr>
          </w:p>
          <w:p>
            <w:pPr>
              <w:pStyle w:val="TableParagraph"/>
              <w:ind w:left="13" w:right="14"/>
              <w:jc w:val="center"/>
              <w:rPr>
                <w:sz w:val="20"/>
              </w:rPr>
            </w:pPr>
            <w:r>
              <w:rPr>
                <w:sz w:val="20"/>
              </w:rPr>
              <w:t>双向八车道，长 2203 米，宽 40 米</w:t>
            </w:r>
          </w:p>
        </w:tc>
        <w:tc>
          <w:tcPr>
            <w:tcW w:w="1058" w:type="dxa"/>
          </w:tcPr>
          <w:p>
            <w:pPr>
              <w:pStyle w:val="TableParagraph"/>
              <w:spacing w:before="3"/>
              <w:rPr>
                <w:rFonts w:ascii="黑体"/>
                <w:sz w:val="27"/>
              </w:rPr>
            </w:pPr>
          </w:p>
          <w:p>
            <w:pPr>
              <w:pStyle w:val="TableParagraph"/>
              <w:ind w:left="153" w:right="151"/>
              <w:jc w:val="center"/>
              <w:rPr>
                <w:sz w:val="20"/>
              </w:rPr>
            </w:pPr>
            <w:r>
              <w:rPr>
                <w:sz w:val="20"/>
              </w:rPr>
              <w:t>16490</w:t>
            </w:r>
          </w:p>
        </w:tc>
        <w:tc>
          <w:tcPr>
            <w:tcW w:w="1051" w:type="dxa"/>
          </w:tcPr>
          <w:p>
            <w:pPr>
              <w:pStyle w:val="TableParagraph"/>
              <w:spacing w:line="228" w:lineRule="exact"/>
              <w:ind w:left="160"/>
              <w:jc w:val="both"/>
              <w:rPr>
                <w:sz w:val="20"/>
              </w:rPr>
            </w:pPr>
            <w:r>
              <w:rPr>
                <w:sz w:val="20"/>
              </w:rPr>
              <w:t>乐山三 </w:t>
            </w:r>
          </w:p>
          <w:p>
            <w:pPr>
              <w:pStyle w:val="TableParagraph"/>
              <w:spacing w:line="237" w:lineRule="auto" w:before="1"/>
              <w:ind w:left="160" w:right="158"/>
              <w:jc w:val="both"/>
              <w:rPr>
                <w:sz w:val="20"/>
              </w:rPr>
            </w:pPr>
            <w:r>
              <w:rPr>
                <w:sz w:val="20"/>
              </w:rPr>
              <w:t>江临港经济开发区 </w:t>
            </w:r>
          </w:p>
        </w:tc>
      </w:tr>
      <w:tr>
        <w:trPr>
          <w:trHeight w:val="1020" w:hRule="atLeast"/>
        </w:trPr>
        <w:tc>
          <w:tcPr>
            <w:tcW w:w="502" w:type="dxa"/>
          </w:tcPr>
          <w:p>
            <w:pPr>
              <w:pStyle w:val="TableParagraph"/>
              <w:spacing w:before="3"/>
              <w:rPr>
                <w:rFonts w:ascii="黑体"/>
                <w:sz w:val="27"/>
              </w:rPr>
            </w:pPr>
          </w:p>
          <w:p>
            <w:pPr>
              <w:pStyle w:val="TableParagraph"/>
              <w:ind w:left="144"/>
              <w:rPr>
                <w:sz w:val="20"/>
              </w:rPr>
            </w:pPr>
            <w:r>
              <w:rPr>
                <w:sz w:val="20"/>
              </w:rPr>
              <w:t>11</w:t>
            </w:r>
          </w:p>
        </w:tc>
        <w:tc>
          <w:tcPr>
            <w:tcW w:w="2110" w:type="dxa"/>
          </w:tcPr>
          <w:p>
            <w:pPr>
              <w:pStyle w:val="TableParagraph"/>
              <w:spacing w:before="7"/>
              <w:rPr>
                <w:rFonts w:ascii="黑体"/>
                <w:sz w:val="17"/>
              </w:rPr>
            </w:pPr>
          </w:p>
          <w:p>
            <w:pPr>
              <w:pStyle w:val="TableParagraph"/>
              <w:spacing w:line="237" w:lineRule="auto"/>
              <w:ind w:left="848" w:right="131" w:hanging="700"/>
              <w:rPr>
                <w:sz w:val="20"/>
              </w:rPr>
            </w:pPr>
            <w:r>
              <w:rPr>
                <w:sz w:val="20"/>
              </w:rPr>
              <w:t>临港新城商业综合体项目</w:t>
            </w:r>
          </w:p>
        </w:tc>
        <w:tc>
          <w:tcPr>
            <w:tcW w:w="1256" w:type="dxa"/>
          </w:tcPr>
          <w:p>
            <w:pPr>
              <w:pStyle w:val="TableParagraph"/>
              <w:spacing w:before="3"/>
              <w:rPr>
                <w:rFonts w:ascii="黑体"/>
                <w:sz w:val="27"/>
              </w:rPr>
            </w:pPr>
          </w:p>
          <w:p>
            <w:pPr>
              <w:pStyle w:val="TableParagraph"/>
              <w:ind w:left="172"/>
              <w:rPr>
                <w:sz w:val="20"/>
              </w:rPr>
            </w:pPr>
            <w:r>
              <w:rPr>
                <w:sz w:val="20"/>
              </w:rPr>
              <w:t>2020-2023</w:t>
            </w:r>
          </w:p>
        </w:tc>
        <w:tc>
          <w:tcPr>
            <w:tcW w:w="3662" w:type="dxa"/>
          </w:tcPr>
          <w:p>
            <w:pPr>
              <w:pStyle w:val="TableParagraph"/>
              <w:spacing w:before="3"/>
              <w:rPr>
                <w:rFonts w:ascii="黑体"/>
                <w:sz w:val="27"/>
              </w:rPr>
            </w:pPr>
          </w:p>
          <w:p>
            <w:pPr>
              <w:pStyle w:val="TableParagraph"/>
              <w:ind w:left="13" w:right="13"/>
              <w:jc w:val="center"/>
              <w:rPr>
                <w:sz w:val="20"/>
              </w:rPr>
            </w:pPr>
            <w:r>
              <w:rPr>
                <w:spacing w:val="-11"/>
                <w:sz w:val="20"/>
              </w:rPr>
              <w:t>建筑面积 </w:t>
            </w:r>
            <w:r>
              <w:rPr>
                <w:sz w:val="20"/>
              </w:rPr>
              <w:t>6.95</w:t>
            </w:r>
            <w:r>
              <w:rPr>
                <w:spacing w:val="-21"/>
                <w:sz w:val="20"/>
              </w:rPr>
              <w:t> 万平方米，占地 </w:t>
            </w:r>
            <w:r>
              <w:rPr>
                <w:sz w:val="20"/>
              </w:rPr>
              <w:t>34.76</w:t>
            </w:r>
            <w:r>
              <w:rPr>
                <w:spacing w:val="-26"/>
                <w:sz w:val="20"/>
              </w:rPr>
              <w:t> 亩</w:t>
            </w:r>
          </w:p>
        </w:tc>
        <w:tc>
          <w:tcPr>
            <w:tcW w:w="1058" w:type="dxa"/>
          </w:tcPr>
          <w:p>
            <w:pPr>
              <w:pStyle w:val="TableParagraph"/>
              <w:spacing w:before="3"/>
              <w:rPr>
                <w:rFonts w:ascii="黑体"/>
                <w:sz w:val="27"/>
              </w:rPr>
            </w:pPr>
          </w:p>
          <w:p>
            <w:pPr>
              <w:pStyle w:val="TableParagraph"/>
              <w:ind w:left="153" w:right="153"/>
              <w:jc w:val="center"/>
              <w:rPr>
                <w:sz w:val="20"/>
              </w:rPr>
            </w:pPr>
            <w:r>
              <w:rPr>
                <w:sz w:val="20"/>
              </w:rPr>
              <w:t>15810</w:t>
            </w:r>
          </w:p>
        </w:tc>
        <w:tc>
          <w:tcPr>
            <w:tcW w:w="1051" w:type="dxa"/>
          </w:tcPr>
          <w:p>
            <w:pPr>
              <w:pStyle w:val="TableParagraph"/>
              <w:spacing w:line="228" w:lineRule="exact"/>
              <w:ind w:left="160"/>
              <w:jc w:val="both"/>
              <w:rPr>
                <w:sz w:val="20"/>
              </w:rPr>
            </w:pPr>
            <w:r>
              <w:rPr>
                <w:sz w:val="20"/>
              </w:rPr>
              <w:t>乐山三 </w:t>
            </w:r>
          </w:p>
          <w:p>
            <w:pPr>
              <w:pStyle w:val="TableParagraph"/>
              <w:spacing w:line="237" w:lineRule="auto" w:before="1"/>
              <w:ind w:left="160" w:right="158"/>
              <w:jc w:val="both"/>
              <w:rPr>
                <w:sz w:val="20"/>
              </w:rPr>
            </w:pPr>
            <w:r>
              <w:rPr>
                <w:sz w:val="20"/>
              </w:rPr>
              <w:t>江临港经济开发区 </w:t>
            </w:r>
          </w:p>
        </w:tc>
      </w:tr>
      <w:tr>
        <w:trPr>
          <w:trHeight w:val="1100" w:hRule="atLeast"/>
        </w:trPr>
        <w:tc>
          <w:tcPr>
            <w:tcW w:w="502" w:type="dxa"/>
          </w:tcPr>
          <w:p>
            <w:pPr>
              <w:pStyle w:val="TableParagraph"/>
              <w:rPr>
                <w:rFonts w:ascii="黑体"/>
                <w:sz w:val="20"/>
              </w:rPr>
            </w:pPr>
          </w:p>
          <w:p>
            <w:pPr>
              <w:pStyle w:val="TableParagraph"/>
              <w:spacing w:before="132"/>
              <w:ind w:left="144"/>
              <w:rPr>
                <w:sz w:val="20"/>
              </w:rPr>
            </w:pPr>
            <w:r>
              <w:rPr>
                <w:sz w:val="20"/>
              </w:rPr>
              <w:t>12</w:t>
            </w:r>
          </w:p>
        </w:tc>
        <w:tc>
          <w:tcPr>
            <w:tcW w:w="2110" w:type="dxa"/>
          </w:tcPr>
          <w:p>
            <w:pPr>
              <w:pStyle w:val="TableParagraph"/>
              <w:spacing w:before="5"/>
              <w:rPr>
                <w:rFonts w:ascii="黑体"/>
                <w:sz w:val="20"/>
              </w:rPr>
            </w:pPr>
          </w:p>
          <w:p>
            <w:pPr>
              <w:pStyle w:val="TableParagraph"/>
              <w:spacing w:line="237" w:lineRule="auto"/>
              <w:ind w:left="748" w:right="106" w:hanging="575"/>
              <w:rPr>
                <w:sz w:val="20"/>
              </w:rPr>
            </w:pPr>
            <w:r>
              <w:rPr>
                <w:sz w:val="20"/>
              </w:rPr>
              <w:t>临港新城滨海小区 1 号项目</w:t>
            </w:r>
          </w:p>
        </w:tc>
        <w:tc>
          <w:tcPr>
            <w:tcW w:w="1256" w:type="dxa"/>
          </w:tcPr>
          <w:p>
            <w:pPr>
              <w:pStyle w:val="TableParagraph"/>
              <w:rPr>
                <w:rFonts w:ascii="黑体"/>
                <w:sz w:val="20"/>
              </w:rPr>
            </w:pPr>
          </w:p>
          <w:p>
            <w:pPr>
              <w:pStyle w:val="TableParagraph"/>
              <w:spacing w:before="132"/>
              <w:ind w:left="172"/>
              <w:rPr>
                <w:sz w:val="20"/>
              </w:rPr>
            </w:pPr>
            <w:r>
              <w:rPr>
                <w:sz w:val="20"/>
              </w:rPr>
              <w:t>2017-2020</w:t>
            </w:r>
          </w:p>
        </w:tc>
        <w:tc>
          <w:tcPr>
            <w:tcW w:w="3662" w:type="dxa"/>
          </w:tcPr>
          <w:p>
            <w:pPr>
              <w:pStyle w:val="TableParagraph"/>
              <w:rPr>
                <w:rFonts w:ascii="黑体"/>
                <w:sz w:val="20"/>
              </w:rPr>
            </w:pPr>
          </w:p>
          <w:p>
            <w:pPr>
              <w:pStyle w:val="TableParagraph"/>
              <w:spacing w:before="132"/>
              <w:ind w:left="13" w:right="1"/>
              <w:jc w:val="center"/>
              <w:rPr>
                <w:sz w:val="20"/>
              </w:rPr>
            </w:pPr>
            <w:r>
              <w:rPr>
                <w:spacing w:val="-2"/>
                <w:sz w:val="20"/>
              </w:rPr>
              <w:t>建筑面积</w:t>
            </w:r>
            <w:r>
              <w:rPr>
                <w:spacing w:val="-6"/>
                <w:sz w:val="20"/>
              </w:rPr>
              <w:t>26.05</w:t>
            </w:r>
            <w:r>
              <w:rPr>
                <w:spacing w:val="-18"/>
                <w:sz w:val="20"/>
              </w:rPr>
              <w:t> 万平方米，占地</w:t>
            </w:r>
            <w:r>
              <w:rPr>
                <w:spacing w:val="-6"/>
                <w:sz w:val="20"/>
              </w:rPr>
              <w:t>130.26</w:t>
            </w:r>
            <w:r>
              <w:rPr>
                <w:spacing w:val="-27"/>
                <w:sz w:val="20"/>
              </w:rPr>
              <w:t> 亩</w:t>
            </w:r>
          </w:p>
        </w:tc>
        <w:tc>
          <w:tcPr>
            <w:tcW w:w="1058" w:type="dxa"/>
          </w:tcPr>
          <w:p>
            <w:pPr>
              <w:pStyle w:val="TableParagraph"/>
              <w:rPr>
                <w:rFonts w:ascii="黑体"/>
                <w:sz w:val="20"/>
              </w:rPr>
            </w:pPr>
          </w:p>
          <w:p>
            <w:pPr>
              <w:pStyle w:val="TableParagraph"/>
              <w:spacing w:before="132"/>
              <w:ind w:left="153" w:right="153"/>
              <w:jc w:val="center"/>
              <w:rPr>
                <w:sz w:val="20"/>
              </w:rPr>
            </w:pPr>
            <w:r>
              <w:rPr>
                <w:sz w:val="20"/>
              </w:rPr>
              <w:t>59310</w:t>
            </w:r>
          </w:p>
        </w:tc>
        <w:tc>
          <w:tcPr>
            <w:tcW w:w="1051" w:type="dxa"/>
          </w:tcPr>
          <w:p>
            <w:pPr>
              <w:pStyle w:val="TableParagraph"/>
              <w:spacing w:line="237" w:lineRule="auto" w:before="6"/>
              <w:ind w:left="160" w:right="158"/>
              <w:jc w:val="both"/>
              <w:rPr>
                <w:sz w:val="20"/>
              </w:rPr>
            </w:pPr>
            <w:r>
              <w:rPr>
                <w:sz w:val="20"/>
              </w:rPr>
              <w:t>乐山三江临港经济开发区 </w:t>
            </w:r>
          </w:p>
        </w:tc>
      </w:tr>
    </w:tbl>
    <w:p>
      <w:pPr>
        <w:spacing w:after="0" w:line="237" w:lineRule="auto"/>
        <w:jc w:val="both"/>
        <w:rPr>
          <w:sz w:val="20"/>
        </w:rPr>
        <w:sectPr>
          <w:pgSz w:w="11910" w:h="16840"/>
          <w:pgMar w:header="0" w:footer="998" w:top="1560" w:bottom="1120" w:left="880" w:right="1160"/>
        </w:sectPr>
      </w:pPr>
    </w:p>
    <w:tbl>
      <w:tblPr>
        <w:tblW w:w="0" w:type="auto"/>
        <w:jc w:val="left"/>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02"/>
        <w:gridCol w:w="2110"/>
        <w:gridCol w:w="1256"/>
        <w:gridCol w:w="3662"/>
        <w:gridCol w:w="1058"/>
        <w:gridCol w:w="1051"/>
      </w:tblGrid>
      <w:tr>
        <w:trPr>
          <w:trHeight w:val="1020" w:hRule="atLeast"/>
        </w:trPr>
        <w:tc>
          <w:tcPr>
            <w:tcW w:w="502" w:type="dxa"/>
          </w:tcPr>
          <w:p>
            <w:pPr>
              <w:pStyle w:val="TableParagraph"/>
              <w:spacing w:before="3"/>
              <w:rPr>
                <w:rFonts w:ascii="黑体"/>
                <w:sz w:val="27"/>
              </w:rPr>
            </w:pPr>
          </w:p>
          <w:p>
            <w:pPr>
              <w:pStyle w:val="TableParagraph"/>
              <w:ind w:left="125" w:right="125"/>
              <w:jc w:val="center"/>
              <w:rPr>
                <w:sz w:val="20"/>
              </w:rPr>
            </w:pPr>
            <w:r>
              <w:rPr>
                <w:sz w:val="20"/>
              </w:rPr>
              <w:t>13</w:t>
            </w:r>
          </w:p>
        </w:tc>
        <w:tc>
          <w:tcPr>
            <w:tcW w:w="2110" w:type="dxa"/>
          </w:tcPr>
          <w:p>
            <w:pPr>
              <w:pStyle w:val="TableParagraph"/>
              <w:spacing w:before="7"/>
              <w:rPr>
                <w:rFonts w:ascii="黑体"/>
                <w:sz w:val="17"/>
              </w:rPr>
            </w:pPr>
          </w:p>
          <w:p>
            <w:pPr>
              <w:pStyle w:val="TableParagraph"/>
              <w:spacing w:line="237" w:lineRule="auto"/>
              <w:ind w:left="748" w:right="106" w:hanging="575"/>
              <w:rPr>
                <w:sz w:val="20"/>
              </w:rPr>
            </w:pPr>
            <w:r>
              <w:rPr>
                <w:sz w:val="20"/>
              </w:rPr>
              <w:t>临港新城滨海小区 2 号项目</w:t>
            </w:r>
          </w:p>
        </w:tc>
        <w:tc>
          <w:tcPr>
            <w:tcW w:w="1256" w:type="dxa"/>
          </w:tcPr>
          <w:p>
            <w:pPr>
              <w:pStyle w:val="TableParagraph"/>
              <w:spacing w:before="3"/>
              <w:rPr>
                <w:rFonts w:ascii="黑体"/>
                <w:sz w:val="27"/>
              </w:rPr>
            </w:pPr>
          </w:p>
          <w:p>
            <w:pPr>
              <w:pStyle w:val="TableParagraph"/>
              <w:ind w:left="152" w:right="152"/>
              <w:jc w:val="center"/>
              <w:rPr>
                <w:sz w:val="20"/>
              </w:rPr>
            </w:pPr>
            <w:r>
              <w:rPr>
                <w:sz w:val="20"/>
              </w:rPr>
              <w:t>2018-2021</w:t>
            </w:r>
          </w:p>
        </w:tc>
        <w:tc>
          <w:tcPr>
            <w:tcW w:w="3662" w:type="dxa"/>
          </w:tcPr>
          <w:p>
            <w:pPr>
              <w:pStyle w:val="TableParagraph"/>
              <w:spacing w:before="3"/>
              <w:rPr>
                <w:rFonts w:ascii="黑体"/>
                <w:sz w:val="27"/>
              </w:rPr>
            </w:pPr>
          </w:p>
          <w:p>
            <w:pPr>
              <w:pStyle w:val="TableParagraph"/>
              <w:ind w:left="13" w:right="1"/>
              <w:jc w:val="center"/>
              <w:rPr>
                <w:sz w:val="20"/>
              </w:rPr>
            </w:pPr>
            <w:r>
              <w:rPr>
                <w:spacing w:val="-2"/>
                <w:sz w:val="20"/>
              </w:rPr>
              <w:t>建筑面积</w:t>
            </w:r>
            <w:r>
              <w:rPr>
                <w:spacing w:val="-6"/>
                <w:sz w:val="20"/>
              </w:rPr>
              <w:t>27.39</w:t>
            </w:r>
            <w:r>
              <w:rPr>
                <w:spacing w:val="-18"/>
                <w:sz w:val="20"/>
              </w:rPr>
              <w:t> 万平方米，占地</w:t>
            </w:r>
            <w:r>
              <w:rPr>
                <w:spacing w:val="-6"/>
                <w:sz w:val="20"/>
              </w:rPr>
              <w:t>136.93</w:t>
            </w:r>
            <w:r>
              <w:rPr>
                <w:spacing w:val="-27"/>
                <w:sz w:val="20"/>
              </w:rPr>
              <w:t> 亩</w:t>
            </w:r>
          </w:p>
        </w:tc>
        <w:tc>
          <w:tcPr>
            <w:tcW w:w="1058" w:type="dxa"/>
          </w:tcPr>
          <w:p>
            <w:pPr>
              <w:pStyle w:val="TableParagraph"/>
              <w:spacing w:before="3"/>
              <w:rPr>
                <w:rFonts w:ascii="黑体"/>
                <w:sz w:val="27"/>
              </w:rPr>
            </w:pPr>
          </w:p>
          <w:p>
            <w:pPr>
              <w:pStyle w:val="TableParagraph"/>
              <w:ind w:right="271"/>
              <w:jc w:val="right"/>
              <w:rPr>
                <w:sz w:val="20"/>
              </w:rPr>
            </w:pPr>
            <w:r>
              <w:rPr>
                <w:sz w:val="20"/>
              </w:rPr>
              <w:t>62340</w:t>
            </w:r>
          </w:p>
        </w:tc>
        <w:tc>
          <w:tcPr>
            <w:tcW w:w="1051" w:type="dxa"/>
          </w:tcPr>
          <w:p>
            <w:pPr>
              <w:pStyle w:val="TableParagraph"/>
              <w:spacing w:line="228" w:lineRule="exact"/>
              <w:ind w:left="160"/>
              <w:jc w:val="both"/>
              <w:rPr>
                <w:sz w:val="20"/>
              </w:rPr>
            </w:pPr>
            <w:r>
              <w:rPr>
                <w:sz w:val="20"/>
              </w:rPr>
              <w:t>乐山三 </w:t>
            </w:r>
          </w:p>
          <w:p>
            <w:pPr>
              <w:pStyle w:val="TableParagraph"/>
              <w:spacing w:line="237" w:lineRule="auto" w:before="1"/>
              <w:ind w:left="160" w:right="158"/>
              <w:jc w:val="both"/>
              <w:rPr>
                <w:sz w:val="20"/>
              </w:rPr>
            </w:pPr>
            <w:r>
              <w:rPr>
                <w:sz w:val="20"/>
              </w:rPr>
              <w:t>江临港经济开发区 </w:t>
            </w:r>
          </w:p>
        </w:tc>
      </w:tr>
      <w:tr>
        <w:trPr>
          <w:trHeight w:val="1020" w:hRule="atLeast"/>
        </w:trPr>
        <w:tc>
          <w:tcPr>
            <w:tcW w:w="502" w:type="dxa"/>
          </w:tcPr>
          <w:p>
            <w:pPr>
              <w:pStyle w:val="TableParagraph"/>
              <w:spacing w:before="3"/>
              <w:rPr>
                <w:rFonts w:ascii="黑体"/>
                <w:sz w:val="27"/>
              </w:rPr>
            </w:pPr>
          </w:p>
          <w:p>
            <w:pPr>
              <w:pStyle w:val="TableParagraph"/>
              <w:ind w:left="125" w:right="125"/>
              <w:jc w:val="center"/>
              <w:rPr>
                <w:sz w:val="20"/>
              </w:rPr>
            </w:pPr>
            <w:r>
              <w:rPr>
                <w:sz w:val="20"/>
              </w:rPr>
              <w:t>14</w:t>
            </w:r>
          </w:p>
        </w:tc>
        <w:tc>
          <w:tcPr>
            <w:tcW w:w="2110" w:type="dxa"/>
          </w:tcPr>
          <w:p>
            <w:pPr>
              <w:pStyle w:val="TableParagraph"/>
              <w:spacing w:before="7"/>
              <w:rPr>
                <w:rFonts w:ascii="黑体"/>
                <w:sz w:val="17"/>
              </w:rPr>
            </w:pPr>
          </w:p>
          <w:p>
            <w:pPr>
              <w:pStyle w:val="TableParagraph"/>
              <w:spacing w:line="237" w:lineRule="auto"/>
              <w:ind w:left="748" w:right="106" w:hanging="575"/>
              <w:rPr>
                <w:sz w:val="20"/>
              </w:rPr>
            </w:pPr>
            <w:r>
              <w:rPr>
                <w:sz w:val="20"/>
              </w:rPr>
              <w:t>临港新城滨海小区 3 号项目</w:t>
            </w:r>
          </w:p>
        </w:tc>
        <w:tc>
          <w:tcPr>
            <w:tcW w:w="1256" w:type="dxa"/>
          </w:tcPr>
          <w:p>
            <w:pPr>
              <w:pStyle w:val="TableParagraph"/>
              <w:spacing w:before="3"/>
              <w:rPr>
                <w:rFonts w:ascii="黑体"/>
                <w:sz w:val="27"/>
              </w:rPr>
            </w:pPr>
          </w:p>
          <w:p>
            <w:pPr>
              <w:pStyle w:val="TableParagraph"/>
              <w:ind w:left="152" w:right="152"/>
              <w:jc w:val="center"/>
              <w:rPr>
                <w:sz w:val="20"/>
              </w:rPr>
            </w:pPr>
            <w:r>
              <w:rPr>
                <w:sz w:val="20"/>
              </w:rPr>
              <w:t>2019-2022</w:t>
            </w:r>
          </w:p>
        </w:tc>
        <w:tc>
          <w:tcPr>
            <w:tcW w:w="3662" w:type="dxa"/>
          </w:tcPr>
          <w:p>
            <w:pPr>
              <w:pStyle w:val="TableParagraph"/>
              <w:spacing w:before="3"/>
              <w:rPr>
                <w:rFonts w:ascii="黑体"/>
                <w:sz w:val="27"/>
              </w:rPr>
            </w:pPr>
          </w:p>
          <w:p>
            <w:pPr>
              <w:pStyle w:val="TableParagraph"/>
              <w:ind w:left="13"/>
              <w:jc w:val="center"/>
              <w:rPr>
                <w:sz w:val="20"/>
              </w:rPr>
            </w:pPr>
            <w:r>
              <w:rPr>
                <w:sz w:val="20"/>
              </w:rPr>
              <w:t>建筑面积11.68 万平方米，占地58.39 亩</w:t>
            </w:r>
          </w:p>
        </w:tc>
        <w:tc>
          <w:tcPr>
            <w:tcW w:w="1058" w:type="dxa"/>
          </w:tcPr>
          <w:p>
            <w:pPr>
              <w:pStyle w:val="TableParagraph"/>
              <w:spacing w:before="3"/>
              <w:rPr>
                <w:rFonts w:ascii="黑体"/>
                <w:sz w:val="27"/>
              </w:rPr>
            </w:pPr>
          </w:p>
          <w:p>
            <w:pPr>
              <w:pStyle w:val="TableParagraph"/>
              <w:ind w:right="271"/>
              <w:jc w:val="right"/>
              <w:rPr>
                <w:sz w:val="20"/>
              </w:rPr>
            </w:pPr>
            <w:r>
              <w:rPr>
                <w:sz w:val="20"/>
              </w:rPr>
              <w:t>26570</w:t>
            </w:r>
          </w:p>
        </w:tc>
        <w:tc>
          <w:tcPr>
            <w:tcW w:w="1051" w:type="dxa"/>
          </w:tcPr>
          <w:p>
            <w:pPr>
              <w:pStyle w:val="TableParagraph"/>
              <w:spacing w:line="228" w:lineRule="exact"/>
              <w:ind w:left="160"/>
              <w:jc w:val="both"/>
              <w:rPr>
                <w:sz w:val="20"/>
              </w:rPr>
            </w:pPr>
            <w:r>
              <w:rPr>
                <w:sz w:val="20"/>
              </w:rPr>
              <w:t>乐山三 </w:t>
            </w:r>
          </w:p>
          <w:p>
            <w:pPr>
              <w:pStyle w:val="TableParagraph"/>
              <w:spacing w:line="237" w:lineRule="auto" w:before="1"/>
              <w:ind w:left="160" w:right="158"/>
              <w:jc w:val="both"/>
              <w:rPr>
                <w:sz w:val="20"/>
              </w:rPr>
            </w:pPr>
            <w:r>
              <w:rPr>
                <w:sz w:val="20"/>
              </w:rPr>
              <w:t>江临港经济开发区 </w:t>
            </w:r>
          </w:p>
        </w:tc>
      </w:tr>
      <w:tr>
        <w:trPr>
          <w:trHeight w:val="1020" w:hRule="atLeast"/>
        </w:trPr>
        <w:tc>
          <w:tcPr>
            <w:tcW w:w="502" w:type="dxa"/>
          </w:tcPr>
          <w:p>
            <w:pPr>
              <w:pStyle w:val="TableParagraph"/>
              <w:spacing w:before="3"/>
              <w:rPr>
                <w:rFonts w:ascii="黑体"/>
                <w:sz w:val="27"/>
              </w:rPr>
            </w:pPr>
          </w:p>
          <w:p>
            <w:pPr>
              <w:pStyle w:val="TableParagraph"/>
              <w:ind w:left="125" w:right="125"/>
              <w:jc w:val="center"/>
              <w:rPr>
                <w:sz w:val="20"/>
              </w:rPr>
            </w:pPr>
            <w:r>
              <w:rPr>
                <w:sz w:val="20"/>
              </w:rPr>
              <w:t>15</w:t>
            </w:r>
          </w:p>
        </w:tc>
        <w:tc>
          <w:tcPr>
            <w:tcW w:w="2110" w:type="dxa"/>
          </w:tcPr>
          <w:p>
            <w:pPr>
              <w:pStyle w:val="TableParagraph"/>
              <w:spacing w:before="3"/>
              <w:rPr>
                <w:rFonts w:ascii="黑体"/>
                <w:sz w:val="27"/>
              </w:rPr>
            </w:pPr>
          </w:p>
          <w:p>
            <w:pPr>
              <w:pStyle w:val="TableParagraph"/>
              <w:ind w:left="99" w:right="100"/>
              <w:jc w:val="center"/>
              <w:rPr>
                <w:sz w:val="20"/>
              </w:rPr>
            </w:pPr>
            <w:r>
              <w:rPr>
                <w:sz w:val="20"/>
              </w:rPr>
              <w:t>文化设施 2 号</w:t>
            </w:r>
          </w:p>
        </w:tc>
        <w:tc>
          <w:tcPr>
            <w:tcW w:w="1256" w:type="dxa"/>
          </w:tcPr>
          <w:p>
            <w:pPr>
              <w:pStyle w:val="TableParagraph"/>
              <w:spacing w:before="3"/>
              <w:rPr>
                <w:rFonts w:ascii="黑体"/>
                <w:sz w:val="27"/>
              </w:rPr>
            </w:pPr>
          </w:p>
          <w:p>
            <w:pPr>
              <w:pStyle w:val="TableParagraph"/>
              <w:ind w:left="151" w:right="152"/>
              <w:jc w:val="center"/>
              <w:rPr>
                <w:sz w:val="20"/>
              </w:rPr>
            </w:pPr>
            <w:r>
              <w:rPr>
                <w:sz w:val="20"/>
              </w:rPr>
              <w:t>2018-2021</w:t>
            </w:r>
          </w:p>
        </w:tc>
        <w:tc>
          <w:tcPr>
            <w:tcW w:w="3662" w:type="dxa"/>
          </w:tcPr>
          <w:p>
            <w:pPr>
              <w:pStyle w:val="TableParagraph"/>
              <w:spacing w:before="3"/>
              <w:rPr>
                <w:rFonts w:ascii="黑体"/>
                <w:sz w:val="27"/>
              </w:rPr>
            </w:pPr>
          </w:p>
          <w:p>
            <w:pPr>
              <w:pStyle w:val="TableParagraph"/>
              <w:ind w:left="13" w:right="13"/>
              <w:jc w:val="center"/>
              <w:rPr>
                <w:sz w:val="20"/>
              </w:rPr>
            </w:pPr>
            <w:r>
              <w:rPr>
                <w:spacing w:val="-11"/>
                <w:sz w:val="20"/>
              </w:rPr>
              <w:t>建筑面积 </w:t>
            </w:r>
            <w:r>
              <w:rPr>
                <w:sz w:val="20"/>
              </w:rPr>
              <w:t>5.18</w:t>
            </w:r>
            <w:r>
              <w:rPr>
                <w:spacing w:val="-21"/>
                <w:sz w:val="20"/>
              </w:rPr>
              <w:t> 万平方米，占地 </w:t>
            </w:r>
            <w:r>
              <w:rPr>
                <w:sz w:val="20"/>
              </w:rPr>
              <w:t>64.79</w:t>
            </w:r>
            <w:r>
              <w:rPr>
                <w:spacing w:val="-26"/>
                <w:sz w:val="20"/>
              </w:rPr>
              <w:t> 亩</w:t>
            </w:r>
          </w:p>
        </w:tc>
        <w:tc>
          <w:tcPr>
            <w:tcW w:w="1058" w:type="dxa"/>
          </w:tcPr>
          <w:p>
            <w:pPr>
              <w:pStyle w:val="TableParagraph"/>
              <w:spacing w:before="3"/>
              <w:rPr>
                <w:rFonts w:ascii="黑体"/>
                <w:sz w:val="27"/>
              </w:rPr>
            </w:pPr>
          </w:p>
          <w:p>
            <w:pPr>
              <w:pStyle w:val="TableParagraph"/>
              <w:ind w:right="271"/>
              <w:jc w:val="right"/>
              <w:rPr>
                <w:sz w:val="20"/>
              </w:rPr>
            </w:pPr>
            <w:r>
              <w:rPr>
                <w:sz w:val="20"/>
              </w:rPr>
              <w:t>13140</w:t>
            </w:r>
          </w:p>
        </w:tc>
        <w:tc>
          <w:tcPr>
            <w:tcW w:w="1051" w:type="dxa"/>
          </w:tcPr>
          <w:p>
            <w:pPr>
              <w:pStyle w:val="TableParagraph"/>
              <w:spacing w:line="228" w:lineRule="exact"/>
              <w:ind w:left="160"/>
              <w:jc w:val="both"/>
              <w:rPr>
                <w:sz w:val="20"/>
              </w:rPr>
            </w:pPr>
            <w:r>
              <w:rPr>
                <w:sz w:val="20"/>
              </w:rPr>
              <w:t>乐山三 </w:t>
            </w:r>
          </w:p>
          <w:p>
            <w:pPr>
              <w:pStyle w:val="TableParagraph"/>
              <w:spacing w:line="237" w:lineRule="auto" w:before="1"/>
              <w:ind w:left="160" w:right="158"/>
              <w:jc w:val="both"/>
              <w:rPr>
                <w:sz w:val="20"/>
              </w:rPr>
            </w:pPr>
            <w:r>
              <w:rPr>
                <w:sz w:val="20"/>
              </w:rPr>
              <w:t>江临港经济开发区 </w:t>
            </w:r>
          </w:p>
        </w:tc>
      </w:tr>
      <w:tr>
        <w:trPr>
          <w:trHeight w:val="1820" w:hRule="atLeast"/>
        </w:trPr>
        <w:tc>
          <w:tcPr>
            <w:tcW w:w="502" w:type="dxa"/>
          </w:tcPr>
          <w:p>
            <w:pPr>
              <w:pStyle w:val="TableParagraph"/>
              <w:rPr>
                <w:rFonts w:ascii="黑体"/>
                <w:sz w:val="20"/>
              </w:rPr>
            </w:pPr>
          </w:p>
          <w:p>
            <w:pPr>
              <w:pStyle w:val="TableParagraph"/>
              <w:rPr>
                <w:rFonts w:ascii="黑体"/>
                <w:sz w:val="20"/>
              </w:rPr>
            </w:pPr>
          </w:p>
          <w:p>
            <w:pPr>
              <w:pStyle w:val="TableParagraph"/>
              <w:spacing w:before="10"/>
              <w:rPr>
                <w:rFonts w:ascii="黑体"/>
                <w:sz w:val="17"/>
              </w:rPr>
            </w:pPr>
          </w:p>
          <w:p>
            <w:pPr>
              <w:pStyle w:val="TableParagraph"/>
              <w:ind w:left="124" w:right="125"/>
              <w:jc w:val="center"/>
              <w:rPr>
                <w:sz w:val="20"/>
              </w:rPr>
            </w:pPr>
            <w:r>
              <w:rPr>
                <w:sz w:val="20"/>
              </w:rPr>
              <w:t>16</w:t>
            </w:r>
          </w:p>
        </w:tc>
        <w:tc>
          <w:tcPr>
            <w:tcW w:w="2110" w:type="dxa"/>
          </w:tcPr>
          <w:p>
            <w:pPr>
              <w:pStyle w:val="TableParagraph"/>
              <w:rPr>
                <w:rFonts w:ascii="黑体"/>
                <w:sz w:val="20"/>
              </w:rPr>
            </w:pPr>
          </w:p>
          <w:p>
            <w:pPr>
              <w:pStyle w:val="TableParagraph"/>
              <w:rPr>
                <w:rFonts w:ascii="黑体"/>
                <w:sz w:val="20"/>
              </w:rPr>
            </w:pPr>
          </w:p>
          <w:p>
            <w:pPr>
              <w:pStyle w:val="TableParagraph"/>
              <w:spacing w:before="10"/>
              <w:rPr>
                <w:rFonts w:ascii="黑体"/>
                <w:sz w:val="17"/>
              </w:rPr>
            </w:pPr>
          </w:p>
          <w:p>
            <w:pPr>
              <w:pStyle w:val="TableParagraph"/>
              <w:ind w:left="99" w:right="99"/>
              <w:jc w:val="center"/>
              <w:rPr>
                <w:sz w:val="20"/>
              </w:rPr>
            </w:pPr>
            <w:r>
              <w:rPr>
                <w:sz w:val="20"/>
              </w:rPr>
              <w:t>乐山综合保税区建设</w:t>
            </w:r>
          </w:p>
        </w:tc>
        <w:tc>
          <w:tcPr>
            <w:tcW w:w="1256" w:type="dxa"/>
          </w:tcPr>
          <w:p>
            <w:pPr>
              <w:pStyle w:val="TableParagraph"/>
              <w:rPr>
                <w:rFonts w:ascii="黑体"/>
                <w:sz w:val="20"/>
              </w:rPr>
            </w:pPr>
          </w:p>
          <w:p>
            <w:pPr>
              <w:pStyle w:val="TableParagraph"/>
              <w:rPr>
                <w:rFonts w:ascii="黑体"/>
                <w:sz w:val="20"/>
              </w:rPr>
            </w:pPr>
          </w:p>
          <w:p>
            <w:pPr>
              <w:pStyle w:val="TableParagraph"/>
              <w:spacing w:before="10"/>
              <w:rPr>
                <w:rFonts w:ascii="黑体"/>
                <w:sz w:val="17"/>
              </w:rPr>
            </w:pPr>
          </w:p>
          <w:p>
            <w:pPr>
              <w:pStyle w:val="TableParagraph"/>
              <w:ind w:left="152" w:right="152"/>
              <w:jc w:val="center"/>
              <w:rPr>
                <w:sz w:val="20"/>
              </w:rPr>
            </w:pPr>
            <w:r>
              <w:rPr>
                <w:sz w:val="20"/>
              </w:rPr>
              <w:t>2016-2024</w:t>
            </w:r>
          </w:p>
        </w:tc>
        <w:tc>
          <w:tcPr>
            <w:tcW w:w="3662" w:type="dxa"/>
          </w:tcPr>
          <w:p>
            <w:pPr>
              <w:pStyle w:val="TableParagraph"/>
              <w:spacing w:before="3"/>
              <w:rPr>
                <w:rFonts w:ascii="黑体"/>
                <w:sz w:val="28"/>
              </w:rPr>
            </w:pPr>
          </w:p>
          <w:p>
            <w:pPr>
              <w:pStyle w:val="TableParagraph"/>
              <w:spacing w:line="237" w:lineRule="auto"/>
              <w:ind w:left="102" w:right="1" w:hanging="45"/>
              <w:jc w:val="center"/>
              <w:rPr>
                <w:sz w:val="20"/>
              </w:rPr>
            </w:pPr>
            <w:r>
              <w:rPr>
                <w:spacing w:val="-19"/>
                <w:sz w:val="20"/>
              </w:rPr>
              <w:t>占地 </w:t>
            </w:r>
            <w:r>
              <w:rPr>
                <w:sz w:val="20"/>
              </w:rPr>
              <w:t>3.01</w:t>
            </w:r>
            <w:r>
              <w:rPr>
                <w:spacing w:val="-8"/>
                <w:sz w:val="20"/>
              </w:rPr>
              <w:t> 平方公里，修建外贸加工区、仓储物流区、口岸作业区、保税研发区、商品展示区、查验工作区、综合服务区</w:t>
            </w:r>
            <w:r>
              <w:rPr>
                <w:spacing w:val="-1"/>
                <w:sz w:val="20"/>
              </w:rPr>
              <w:t>七大基本功能分区</w:t>
            </w:r>
          </w:p>
        </w:tc>
        <w:tc>
          <w:tcPr>
            <w:tcW w:w="1058" w:type="dxa"/>
          </w:tcPr>
          <w:p>
            <w:pPr>
              <w:pStyle w:val="TableParagraph"/>
              <w:rPr>
                <w:rFonts w:ascii="黑体"/>
                <w:sz w:val="20"/>
              </w:rPr>
            </w:pPr>
          </w:p>
          <w:p>
            <w:pPr>
              <w:pStyle w:val="TableParagraph"/>
              <w:rPr>
                <w:rFonts w:ascii="黑体"/>
                <w:sz w:val="20"/>
              </w:rPr>
            </w:pPr>
          </w:p>
          <w:p>
            <w:pPr>
              <w:pStyle w:val="TableParagraph"/>
              <w:spacing w:before="10"/>
              <w:rPr>
                <w:rFonts w:ascii="黑体"/>
                <w:sz w:val="17"/>
              </w:rPr>
            </w:pPr>
          </w:p>
          <w:p>
            <w:pPr>
              <w:pStyle w:val="TableParagraph"/>
              <w:ind w:right="223"/>
              <w:jc w:val="right"/>
              <w:rPr>
                <w:sz w:val="20"/>
              </w:rPr>
            </w:pPr>
            <w:r>
              <w:rPr>
                <w:sz w:val="20"/>
              </w:rPr>
              <w:t>250000</w:t>
            </w:r>
          </w:p>
        </w:tc>
        <w:tc>
          <w:tcPr>
            <w:tcW w:w="1051" w:type="dxa"/>
          </w:tcPr>
          <w:p>
            <w:pPr>
              <w:pStyle w:val="TableParagraph"/>
              <w:spacing w:before="3"/>
              <w:rPr>
                <w:rFonts w:ascii="黑体"/>
                <w:sz w:val="28"/>
              </w:rPr>
            </w:pPr>
          </w:p>
          <w:p>
            <w:pPr>
              <w:pStyle w:val="TableParagraph"/>
              <w:spacing w:line="237" w:lineRule="auto"/>
              <w:ind w:left="160" w:right="158"/>
              <w:jc w:val="both"/>
              <w:rPr>
                <w:sz w:val="20"/>
              </w:rPr>
            </w:pPr>
            <w:r>
              <w:rPr>
                <w:sz w:val="20"/>
              </w:rPr>
              <w:t>乐山三江临港经济开发区 </w:t>
            </w:r>
          </w:p>
        </w:tc>
      </w:tr>
      <w:tr>
        <w:trPr>
          <w:trHeight w:val="1060" w:hRule="atLeast"/>
        </w:trPr>
        <w:tc>
          <w:tcPr>
            <w:tcW w:w="502" w:type="dxa"/>
          </w:tcPr>
          <w:p>
            <w:pPr>
              <w:pStyle w:val="TableParagraph"/>
              <w:spacing w:before="10"/>
              <w:rPr>
                <w:rFonts w:ascii="黑体"/>
                <w:sz w:val="28"/>
              </w:rPr>
            </w:pPr>
          </w:p>
          <w:p>
            <w:pPr>
              <w:pStyle w:val="TableParagraph"/>
              <w:ind w:left="125" w:right="125"/>
              <w:jc w:val="center"/>
              <w:rPr>
                <w:sz w:val="20"/>
              </w:rPr>
            </w:pPr>
            <w:r>
              <w:rPr>
                <w:sz w:val="20"/>
              </w:rPr>
              <w:t>17</w:t>
            </w:r>
          </w:p>
        </w:tc>
        <w:tc>
          <w:tcPr>
            <w:tcW w:w="2110" w:type="dxa"/>
          </w:tcPr>
          <w:p>
            <w:pPr>
              <w:pStyle w:val="TableParagraph"/>
              <w:spacing w:before="1"/>
              <w:rPr>
                <w:rFonts w:ascii="黑体"/>
                <w:sz w:val="19"/>
              </w:rPr>
            </w:pPr>
          </w:p>
          <w:p>
            <w:pPr>
              <w:pStyle w:val="TableParagraph"/>
              <w:spacing w:line="237" w:lineRule="auto"/>
              <w:ind w:left="548" w:right="131" w:hanging="400"/>
              <w:rPr>
                <w:sz w:val="20"/>
              </w:rPr>
            </w:pPr>
            <w:r>
              <w:rPr>
                <w:sz w:val="20"/>
              </w:rPr>
              <w:t>中心城区道路综合改造工程项目</w:t>
            </w:r>
          </w:p>
        </w:tc>
        <w:tc>
          <w:tcPr>
            <w:tcW w:w="1256" w:type="dxa"/>
          </w:tcPr>
          <w:p>
            <w:pPr>
              <w:pStyle w:val="TableParagraph"/>
              <w:spacing w:before="10"/>
              <w:rPr>
                <w:rFonts w:ascii="黑体"/>
                <w:sz w:val="28"/>
              </w:rPr>
            </w:pPr>
          </w:p>
          <w:p>
            <w:pPr>
              <w:pStyle w:val="TableParagraph"/>
              <w:ind w:left="151" w:right="152"/>
              <w:jc w:val="center"/>
              <w:rPr>
                <w:sz w:val="20"/>
              </w:rPr>
            </w:pPr>
            <w:r>
              <w:rPr>
                <w:sz w:val="20"/>
              </w:rPr>
              <w:t>2015-2016</w:t>
            </w:r>
          </w:p>
        </w:tc>
        <w:tc>
          <w:tcPr>
            <w:tcW w:w="3662" w:type="dxa"/>
          </w:tcPr>
          <w:p>
            <w:pPr>
              <w:pStyle w:val="TableParagraph"/>
              <w:spacing w:line="260" w:lineRule="exact" w:before="118"/>
              <w:ind w:left="125"/>
              <w:rPr>
                <w:sz w:val="20"/>
              </w:rPr>
            </w:pPr>
            <w:r>
              <w:rPr>
                <w:sz w:val="20"/>
              </w:rPr>
              <w:t>道路改造工程长 16702 米；人行道改造</w:t>
            </w:r>
          </w:p>
          <w:p>
            <w:pPr>
              <w:pStyle w:val="TableParagraph"/>
              <w:spacing w:line="237" w:lineRule="auto" w:before="1"/>
              <w:ind w:left="1425" w:right="107" w:hanging="1323"/>
              <w:rPr>
                <w:sz w:val="20"/>
              </w:rPr>
            </w:pPr>
            <w:r>
              <w:rPr>
                <w:spacing w:val="-19"/>
                <w:sz w:val="20"/>
              </w:rPr>
              <w:t>工程 </w:t>
            </w:r>
            <w:r>
              <w:rPr>
                <w:sz w:val="20"/>
              </w:rPr>
              <w:t>125233</w:t>
            </w:r>
            <w:r>
              <w:rPr>
                <w:spacing w:val="-11"/>
                <w:sz w:val="20"/>
              </w:rPr>
              <w:t> 平方米；道路标线、绿化带升级改造</w:t>
            </w:r>
          </w:p>
        </w:tc>
        <w:tc>
          <w:tcPr>
            <w:tcW w:w="1058" w:type="dxa"/>
          </w:tcPr>
          <w:p>
            <w:pPr>
              <w:pStyle w:val="TableParagraph"/>
              <w:spacing w:before="10"/>
              <w:rPr>
                <w:rFonts w:ascii="黑体"/>
                <w:sz w:val="28"/>
              </w:rPr>
            </w:pPr>
          </w:p>
          <w:p>
            <w:pPr>
              <w:pStyle w:val="TableParagraph"/>
              <w:ind w:right="271"/>
              <w:jc w:val="right"/>
              <w:rPr>
                <w:sz w:val="20"/>
              </w:rPr>
            </w:pPr>
            <w:r>
              <w:rPr>
                <w:sz w:val="20"/>
              </w:rPr>
              <w:t>10000</w:t>
            </w:r>
          </w:p>
        </w:tc>
        <w:tc>
          <w:tcPr>
            <w:tcW w:w="1051" w:type="dxa"/>
          </w:tcPr>
          <w:p>
            <w:pPr>
              <w:pStyle w:val="TableParagraph"/>
              <w:spacing w:before="10"/>
              <w:rPr>
                <w:rFonts w:ascii="黑体"/>
                <w:sz w:val="28"/>
              </w:rPr>
            </w:pPr>
          </w:p>
          <w:p>
            <w:pPr>
              <w:pStyle w:val="TableParagraph"/>
              <w:ind w:left="219"/>
              <w:rPr>
                <w:sz w:val="20"/>
              </w:rPr>
            </w:pPr>
            <w:r>
              <w:rPr>
                <w:sz w:val="20"/>
              </w:rPr>
              <w:t>住建局</w:t>
            </w:r>
          </w:p>
        </w:tc>
      </w:tr>
      <w:tr>
        <w:trPr>
          <w:trHeight w:val="740" w:hRule="atLeast"/>
        </w:trPr>
        <w:tc>
          <w:tcPr>
            <w:tcW w:w="502" w:type="dxa"/>
          </w:tcPr>
          <w:p>
            <w:pPr>
              <w:pStyle w:val="TableParagraph"/>
              <w:spacing w:before="9"/>
              <w:rPr>
                <w:rFonts w:ascii="黑体"/>
                <w:sz w:val="16"/>
              </w:rPr>
            </w:pPr>
          </w:p>
          <w:p>
            <w:pPr>
              <w:pStyle w:val="TableParagraph"/>
              <w:ind w:left="124" w:right="125"/>
              <w:jc w:val="center"/>
              <w:rPr>
                <w:sz w:val="20"/>
              </w:rPr>
            </w:pPr>
            <w:r>
              <w:rPr>
                <w:sz w:val="20"/>
              </w:rPr>
              <w:t>18</w:t>
            </w:r>
          </w:p>
        </w:tc>
        <w:tc>
          <w:tcPr>
            <w:tcW w:w="2110" w:type="dxa"/>
          </w:tcPr>
          <w:p>
            <w:pPr>
              <w:pStyle w:val="TableParagraph"/>
              <w:spacing w:before="9"/>
              <w:rPr>
                <w:rFonts w:ascii="黑体"/>
                <w:sz w:val="16"/>
              </w:rPr>
            </w:pPr>
          </w:p>
          <w:p>
            <w:pPr>
              <w:pStyle w:val="TableParagraph"/>
              <w:ind w:left="99" w:right="99"/>
              <w:jc w:val="center"/>
              <w:rPr>
                <w:sz w:val="20"/>
              </w:rPr>
            </w:pPr>
            <w:r>
              <w:rPr>
                <w:sz w:val="20"/>
              </w:rPr>
              <w:t>和邦青龙嘴（一期）</w:t>
            </w:r>
          </w:p>
        </w:tc>
        <w:tc>
          <w:tcPr>
            <w:tcW w:w="1256" w:type="dxa"/>
          </w:tcPr>
          <w:p>
            <w:pPr>
              <w:pStyle w:val="TableParagraph"/>
              <w:spacing w:before="9"/>
              <w:rPr>
                <w:rFonts w:ascii="黑体"/>
                <w:sz w:val="16"/>
              </w:rPr>
            </w:pPr>
          </w:p>
          <w:p>
            <w:pPr>
              <w:pStyle w:val="TableParagraph"/>
              <w:ind w:left="152" w:right="152"/>
              <w:jc w:val="center"/>
              <w:rPr>
                <w:sz w:val="20"/>
              </w:rPr>
            </w:pPr>
            <w:r>
              <w:rPr>
                <w:sz w:val="20"/>
              </w:rPr>
              <w:t>2017-2019</w:t>
            </w:r>
          </w:p>
        </w:tc>
        <w:tc>
          <w:tcPr>
            <w:tcW w:w="3662" w:type="dxa"/>
          </w:tcPr>
          <w:p>
            <w:pPr>
              <w:pStyle w:val="TableParagraph"/>
              <w:spacing w:before="9"/>
              <w:rPr>
                <w:rFonts w:ascii="黑体"/>
                <w:sz w:val="16"/>
              </w:rPr>
            </w:pPr>
          </w:p>
          <w:p>
            <w:pPr>
              <w:pStyle w:val="TableParagraph"/>
              <w:ind w:left="13" w:right="13"/>
              <w:jc w:val="center"/>
              <w:rPr>
                <w:sz w:val="20"/>
              </w:rPr>
            </w:pPr>
            <w:r>
              <w:rPr>
                <w:sz w:val="20"/>
              </w:rPr>
              <w:t>建筑面积 1 万平方米</w:t>
            </w:r>
          </w:p>
        </w:tc>
        <w:tc>
          <w:tcPr>
            <w:tcW w:w="1058" w:type="dxa"/>
          </w:tcPr>
          <w:p>
            <w:pPr>
              <w:pStyle w:val="TableParagraph"/>
              <w:spacing w:before="9"/>
              <w:rPr>
                <w:rFonts w:ascii="黑体"/>
                <w:sz w:val="16"/>
              </w:rPr>
            </w:pPr>
          </w:p>
          <w:p>
            <w:pPr>
              <w:pStyle w:val="TableParagraph"/>
              <w:ind w:right="270"/>
              <w:jc w:val="right"/>
              <w:rPr>
                <w:sz w:val="20"/>
              </w:rPr>
            </w:pPr>
            <w:r>
              <w:rPr>
                <w:sz w:val="20"/>
              </w:rPr>
              <w:t>30000</w:t>
            </w:r>
          </w:p>
        </w:tc>
        <w:tc>
          <w:tcPr>
            <w:tcW w:w="1051" w:type="dxa"/>
          </w:tcPr>
          <w:p>
            <w:pPr>
              <w:pStyle w:val="TableParagraph"/>
              <w:spacing w:before="9"/>
              <w:rPr>
                <w:rFonts w:ascii="黑体"/>
                <w:sz w:val="16"/>
              </w:rPr>
            </w:pPr>
          </w:p>
          <w:p>
            <w:pPr>
              <w:pStyle w:val="TableParagraph"/>
              <w:ind w:left="219"/>
              <w:rPr>
                <w:sz w:val="20"/>
              </w:rPr>
            </w:pPr>
            <w:r>
              <w:rPr>
                <w:sz w:val="20"/>
              </w:rPr>
              <w:t>住建局</w:t>
            </w:r>
          </w:p>
        </w:tc>
      </w:tr>
      <w:tr>
        <w:trPr>
          <w:trHeight w:val="740" w:hRule="atLeast"/>
        </w:trPr>
        <w:tc>
          <w:tcPr>
            <w:tcW w:w="502" w:type="dxa"/>
          </w:tcPr>
          <w:p>
            <w:pPr>
              <w:pStyle w:val="TableParagraph"/>
              <w:spacing w:before="6"/>
              <w:rPr>
                <w:rFonts w:ascii="黑体"/>
                <w:sz w:val="16"/>
              </w:rPr>
            </w:pPr>
          </w:p>
          <w:p>
            <w:pPr>
              <w:pStyle w:val="TableParagraph"/>
              <w:spacing w:before="1"/>
              <w:ind w:left="125" w:right="125"/>
              <w:jc w:val="center"/>
              <w:rPr>
                <w:sz w:val="20"/>
              </w:rPr>
            </w:pPr>
            <w:r>
              <w:rPr>
                <w:sz w:val="20"/>
              </w:rPr>
              <w:t>19</w:t>
            </w:r>
          </w:p>
        </w:tc>
        <w:tc>
          <w:tcPr>
            <w:tcW w:w="2110" w:type="dxa"/>
          </w:tcPr>
          <w:p>
            <w:pPr>
              <w:pStyle w:val="TableParagraph"/>
              <w:spacing w:line="261" w:lineRule="exact" w:before="86"/>
              <w:ind w:left="99" w:right="100"/>
              <w:jc w:val="center"/>
              <w:rPr>
                <w:sz w:val="20"/>
              </w:rPr>
            </w:pPr>
            <w:r>
              <w:rPr>
                <w:sz w:val="20"/>
              </w:rPr>
              <w:t>幸福路</w:t>
            </w:r>
          </w:p>
          <w:p>
            <w:pPr>
              <w:pStyle w:val="TableParagraph"/>
              <w:spacing w:line="261" w:lineRule="exact"/>
              <w:ind w:left="99" w:right="99"/>
              <w:jc w:val="center"/>
              <w:rPr>
                <w:sz w:val="20"/>
              </w:rPr>
            </w:pPr>
            <w:r>
              <w:rPr>
                <w:sz w:val="20"/>
              </w:rPr>
              <w:t>(中心路-竹根路）</w:t>
            </w:r>
          </w:p>
        </w:tc>
        <w:tc>
          <w:tcPr>
            <w:tcW w:w="1256" w:type="dxa"/>
          </w:tcPr>
          <w:p>
            <w:pPr>
              <w:pStyle w:val="TableParagraph"/>
              <w:spacing w:before="6"/>
              <w:rPr>
                <w:rFonts w:ascii="黑体"/>
                <w:sz w:val="16"/>
              </w:rPr>
            </w:pPr>
          </w:p>
          <w:p>
            <w:pPr>
              <w:pStyle w:val="TableParagraph"/>
              <w:spacing w:before="1"/>
              <w:ind w:left="152" w:right="152"/>
              <w:jc w:val="center"/>
              <w:rPr>
                <w:sz w:val="20"/>
              </w:rPr>
            </w:pPr>
            <w:r>
              <w:rPr>
                <w:sz w:val="20"/>
              </w:rPr>
              <w:t>2016-2017</w:t>
            </w:r>
          </w:p>
        </w:tc>
        <w:tc>
          <w:tcPr>
            <w:tcW w:w="3662" w:type="dxa"/>
          </w:tcPr>
          <w:p>
            <w:pPr>
              <w:pStyle w:val="TableParagraph"/>
              <w:spacing w:before="6"/>
              <w:rPr>
                <w:rFonts w:ascii="黑体"/>
                <w:sz w:val="16"/>
              </w:rPr>
            </w:pPr>
          </w:p>
          <w:p>
            <w:pPr>
              <w:pStyle w:val="TableParagraph"/>
              <w:spacing w:before="1"/>
              <w:ind w:left="13" w:right="13"/>
              <w:jc w:val="center"/>
              <w:rPr>
                <w:sz w:val="20"/>
              </w:rPr>
            </w:pPr>
            <w:r>
              <w:rPr>
                <w:sz w:val="20"/>
              </w:rPr>
              <w:t>道路全长 802 米，宽 30 米</w:t>
            </w:r>
          </w:p>
        </w:tc>
        <w:tc>
          <w:tcPr>
            <w:tcW w:w="1058" w:type="dxa"/>
          </w:tcPr>
          <w:p>
            <w:pPr>
              <w:pStyle w:val="TableParagraph"/>
              <w:spacing w:before="6"/>
              <w:rPr>
                <w:rFonts w:ascii="黑体"/>
                <w:sz w:val="16"/>
              </w:rPr>
            </w:pPr>
          </w:p>
          <w:p>
            <w:pPr>
              <w:pStyle w:val="TableParagraph"/>
              <w:spacing w:before="1"/>
              <w:ind w:right="321"/>
              <w:jc w:val="right"/>
              <w:rPr>
                <w:sz w:val="20"/>
              </w:rPr>
            </w:pPr>
            <w:r>
              <w:rPr>
                <w:sz w:val="20"/>
              </w:rPr>
              <w:t>6000</w:t>
            </w:r>
          </w:p>
        </w:tc>
        <w:tc>
          <w:tcPr>
            <w:tcW w:w="1051" w:type="dxa"/>
          </w:tcPr>
          <w:p>
            <w:pPr>
              <w:pStyle w:val="TableParagraph"/>
              <w:spacing w:before="6"/>
              <w:rPr>
                <w:rFonts w:ascii="黑体"/>
                <w:sz w:val="16"/>
              </w:rPr>
            </w:pPr>
          </w:p>
          <w:p>
            <w:pPr>
              <w:pStyle w:val="TableParagraph"/>
              <w:spacing w:before="1"/>
              <w:ind w:left="219"/>
              <w:rPr>
                <w:sz w:val="20"/>
              </w:rPr>
            </w:pPr>
            <w:r>
              <w:rPr>
                <w:sz w:val="20"/>
              </w:rPr>
              <w:t>住建局</w:t>
            </w:r>
          </w:p>
        </w:tc>
      </w:tr>
      <w:tr>
        <w:trPr>
          <w:trHeight w:val="800" w:hRule="atLeast"/>
        </w:trPr>
        <w:tc>
          <w:tcPr>
            <w:tcW w:w="502" w:type="dxa"/>
          </w:tcPr>
          <w:p>
            <w:pPr>
              <w:pStyle w:val="TableParagraph"/>
              <w:spacing w:before="5"/>
              <w:rPr>
                <w:rFonts w:ascii="黑体"/>
                <w:sz w:val="18"/>
              </w:rPr>
            </w:pPr>
          </w:p>
          <w:p>
            <w:pPr>
              <w:pStyle w:val="TableParagraph"/>
              <w:spacing w:before="1"/>
              <w:ind w:left="124" w:right="125"/>
              <w:jc w:val="center"/>
              <w:rPr>
                <w:sz w:val="20"/>
              </w:rPr>
            </w:pPr>
            <w:r>
              <w:rPr>
                <w:sz w:val="20"/>
              </w:rPr>
              <w:t>20</w:t>
            </w:r>
          </w:p>
        </w:tc>
        <w:tc>
          <w:tcPr>
            <w:tcW w:w="2110" w:type="dxa"/>
          </w:tcPr>
          <w:p>
            <w:pPr>
              <w:pStyle w:val="TableParagraph"/>
              <w:spacing w:before="5"/>
              <w:rPr>
                <w:rFonts w:ascii="黑体"/>
                <w:sz w:val="18"/>
              </w:rPr>
            </w:pPr>
          </w:p>
          <w:p>
            <w:pPr>
              <w:pStyle w:val="TableParagraph"/>
              <w:spacing w:before="1"/>
              <w:ind w:left="99" w:right="101"/>
              <w:jc w:val="center"/>
              <w:rPr>
                <w:sz w:val="20"/>
              </w:rPr>
            </w:pPr>
            <w:r>
              <w:rPr>
                <w:sz w:val="20"/>
              </w:rPr>
              <w:t>新生街建设</w:t>
            </w:r>
          </w:p>
        </w:tc>
        <w:tc>
          <w:tcPr>
            <w:tcW w:w="1256" w:type="dxa"/>
          </w:tcPr>
          <w:p>
            <w:pPr>
              <w:pStyle w:val="TableParagraph"/>
              <w:spacing w:before="5"/>
              <w:rPr>
                <w:rFonts w:ascii="黑体"/>
                <w:sz w:val="18"/>
              </w:rPr>
            </w:pPr>
          </w:p>
          <w:p>
            <w:pPr>
              <w:pStyle w:val="TableParagraph"/>
              <w:spacing w:before="1"/>
              <w:ind w:left="152" w:right="152"/>
              <w:jc w:val="center"/>
              <w:rPr>
                <w:sz w:val="20"/>
              </w:rPr>
            </w:pPr>
            <w:r>
              <w:rPr>
                <w:sz w:val="20"/>
              </w:rPr>
              <w:t>2019-2020</w:t>
            </w:r>
          </w:p>
        </w:tc>
        <w:tc>
          <w:tcPr>
            <w:tcW w:w="3662" w:type="dxa"/>
          </w:tcPr>
          <w:p>
            <w:pPr>
              <w:pStyle w:val="TableParagraph"/>
              <w:spacing w:before="5"/>
              <w:rPr>
                <w:rFonts w:ascii="黑体"/>
                <w:sz w:val="18"/>
              </w:rPr>
            </w:pPr>
          </w:p>
          <w:p>
            <w:pPr>
              <w:pStyle w:val="TableParagraph"/>
              <w:spacing w:before="1"/>
              <w:ind w:left="13" w:right="14"/>
              <w:jc w:val="center"/>
              <w:rPr>
                <w:sz w:val="20"/>
              </w:rPr>
            </w:pPr>
            <w:r>
              <w:rPr>
                <w:sz w:val="20"/>
              </w:rPr>
              <w:t>长 500 米，宽 18 米</w:t>
            </w:r>
          </w:p>
        </w:tc>
        <w:tc>
          <w:tcPr>
            <w:tcW w:w="1058" w:type="dxa"/>
          </w:tcPr>
          <w:p>
            <w:pPr>
              <w:pStyle w:val="TableParagraph"/>
              <w:spacing w:before="5"/>
              <w:rPr>
                <w:rFonts w:ascii="黑体"/>
                <w:sz w:val="18"/>
              </w:rPr>
            </w:pPr>
          </w:p>
          <w:p>
            <w:pPr>
              <w:pStyle w:val="TableParagraph"/>
              <w:spacing w:before="1"/>
              <w:ind w:left="153" w:right="153"/>
              <w:jc w:val="center"/>
              <w:rPr>
                <w:sz w:val="20"/>
              </w:rPr>
            </w:pPr>
            <w:r>
              <w:rPr>
                <w:sz w:val="20"/>
              </w:rPr>
              <w:t>500</w:t>
            </w:r>
          </w:p>
        </w:tc>
        <w:tc>
          <w:tcPr>
            <w:tcW w:w="1051" w:type="dxa"/>
          </w:tcPr>
          <w:p>
            <w:pPr>
              <w:pStyle w:val="TableParagraph"/>
              <w:spacing w:before="5"/>
              <w:rPr>
                <w:rFonts w:ascii="黑体"/>
                <w:sz w:val="18"/>
              </w:rPr>
            </w:pPr>
          </w:p>
          <w:p>
            <w:pPr>
              <w:pStyle w:val="TableParagraph"/>
              <w:spacing w:before="1"/>
              <w:ind w:left="219"/>
              <w:rPr>
                <w:sz w:val="20"/>
              </w:rPr>
            </w:pPr>
            <w:r>
              <w:rPr>
                <w:sz w:val="20"/>
              </w:rPr>
              <w:t>住建局</w:t>
            </w:r>
          </w:p>
        </w:tc>
      </w:tr>
      <w:tr>
        <w:trPr>
          <w:trHeight w:val="1040" w:hRule="atLeast"/>
        </w:trPr>
        <w:tc>
          <w:tcPr>
            <w:tcW w:w="502" w:type="dxa"/>
          </w:tcPr>
          <w:p>
            <w:pPr>
              <w:pStyle w:val="TableParagraph"/>
              <w:spacing w:before="9"/>
              <w:rPr>
                <w:rFonts w:ascii="黑体"/>
                <w:sz w:val="27"/>
              </w:rPr>
            </w:pPr>
          </w:p>
          <w:p>
            <w:pPr>
              <w:pStyle w:val="TableParagraph"/>
              <w:ind w:left="125" w:right="125"/>
              <w:jc w:val="center"/>
              <w:rPr>
                <w:sz w:val="20"/>
              </w:rPr>
            </w:pPr>
            <w:r>
              <w:rPr>
                <w:sz w:val="20"/>
              </w:rPr>
              <w:t>21</w:t>
            </w:r>
          </w:p>
        </w:tc>
        <w:tc>
          <w:tcPr>
            <w:tcW w:w="2110" w:type="dxa"/>
          </w:tcPr>
          <w:p>
            <w:pPr>
              <w:pStyle w:val="TableParagraph"/>
              <w:spacing w:line="237" w:lineRule="auto" w:before="106"/>
              <w:ind w:left="199" w:right="196" w:hanging="1"/>
              <w:jc w:val="center"/>
              <w:rPr>
                <w:sz w:val="20"/>
              </w:rPr>
            </w:pPr>
            <w:r>
              <w:rPr>
                <w:sz w:val="20"/>
              </w:rPr>
              <w:t>(福利院门前和王爷庙地块中部)消防通道建设</w:t>
            </w:r>
          </w:p>
        </w:tc>
        <w:tc>
          <w:tcPr>
            <w:tcW w:w="1256" w:type="dxa"/>
          </w:tcPr>
          <w:p>
            <w:pPr>
              <w:pStyle w:val="TableParagraph"/>
              <w:spacing w:before="9"/>
              <w:rPr>
                <w:rFonts w:ascii="黑体"/>
                <w:sz w:val="27"/>
              </w:rPr>
            </w:pPr>
          </w:p>
          <w:p>
            <w:pPr>
              <w:pStyle w:val="TableParagraph"/>
              <w:ind w:left="152" w:right="152"/>
              <w:jc w:val="center"/>
              <w:rPr>
                <w:sz w:val="20"/>
              </w:rPr>
            </w:pPr>
            <w:r>
              <w:rPr>
                <w:sz w:val="20"/>
              </w:rPr>
              <w:t>2017</w:t>
            </w:r>
          </w:p>
        </w:tc>
        <w:tc>
          <w:tcPr>
            <w:tcW w:w="3662" w:type="dxa"/>
          </w:tcPr>
          <w:p>
            <w:pPr>
              <w:pStyle w:val="TableParagraph"/>
              <w:spacing w:before="9"/>
              <w:rPr>
                <w:rFonts w:ascii="黑体"/>
                <w:sz w:val="27"/>
              </w:rPr>
            </w:pPr>
          </w:p>
          <w:p>
            <w:pPr>
              <w:pStyle w:val="TableParagraph"/>
              <w:ind w:left="13" w:right="13"/>
              <w:jc w:val="center"/>
              <w:rPr>
                <w:sz w:val="20"/>
              </w:rPr>
            </w:pPr>
            <w:r>
              <w:rPr>
                <w:sz w:val="20"/>
              </w:rPr>
              <w:t>长 600 米，宽 12 米</w:t>
            </w:r>
          </w:p>
        </w:tc>
        <w:tc>
          <w:tcPr>
            <w:tcW w:w="1058" w:type="dxa"/>
          </w:tcPr>
          <w:p>
            <w:pPr>
              <w:pStyle w:val="TableParagraph"/>
              <w:spacing w:before="9"/>
              <w:rPr>
                <w:rFonts w:ascii="黑体"/>
                <w:sz w:val="27"/>
              </w:rPr>
            </w:pPr>
          </w:p>
          <w:p>
            <w:pPr>
              <w:pStyle w:val="TableParagraph"/>
              <w:ind w:left="153" w:right="153"/>
              <w:jc w:val="center"/>
              <w:rPr>
                <w:sz w:val="20"/>
              </w:rPr>
            </w:pPr>
            <w:r>
              <w:rPr>
                <w:sz w:val="20"/>
              </w:rPr>
              <w:t>500</w:t>
            </w:r>
          </w:p>
        </w:tc>
        <w:tc>
          <w:tcPr>
            <w:tcW w:w="1051" w:type="dxa"/>
          </w:tcPr>
          <w:p>
            <w:pPr>
              <w:pStyle w:val="TableParagraph"/>
              <w:spacing w:before="9"/>
              <w:rPr>
                <w:rFonts w:ascii="黑体"/>
                <w:sz w:val="27"/>
              </w:rPr>
            </w:pPr>
          </w:p>
          <w:p>
            <w:pPr>
              <w:pStyle w:val="TableParagraph"/>
              <w:ind w:left="219"/>
              <w:rPr>
                <w:sz w:val="20"/>
              </w:rPr>
            </w:pPr>
            <w:r>
              <w:rPr>
                <w:sz w:val="20"/>
              </w:rPr>
              <w:t>住建局</w:t>
            </w:r>
          </w:p>
        </w:tc>
      </w:tr>
      <w:tr>
        <w:trPr>
          <w:trHeight w:val="700" w:hRule="atLeast"/>
        </w:trPr>
        <w:tc>
          <w:tcPr>
            <w:tcW w:w="502" w:type="dxa"/>
          </w:tcPr>
          <w:p>
            <w:pPr>
              <w:pStyle w:val="TableParagraph"/>
              <w:spacing w:before="1"/>
              <w:rPr>
                <w:rFonts w:ascii="黑体"/>
                <w:sz w:val="15"/>
              </w:rPr>
            </w:pPr>
          </w:p>
          <w:p>
            <w:pPr>
              <w:pStyle w:val="TableParagraph"/>
              <w:spacing w:before="1"/>
              <w:ind w:left="124" w:right="125"/>
              <w:jc w:val="center"/>
              <w:rPr>
                <w:sz w:val="20"/>
              </w:rPr>
            </w:pPr>
            <w:r>
              <w:rPr>
                <w:sz w:val="20"/>
              </w:rPr>
              <w:t>22</w:t>
            </w:r>
          </w:p>
        </w:tc>
        <w:tc>
          <w:tcPr>
            <w:tcW w:w="2110" w:type="dxa"/>
          </w:tcPr>
          <w:p>
            <w:pPr>
              <w:pStyle w:val="TableParagraph"/>
              <w:spacing w:before="1"/>
              <w:rPr>
                <w:rFonts w:ascii="黑体"/>
                <w:sz w:val="15"/>
              </w:rPr>
            </w:pPr>
          </w:p>
          <w:p>
            <w:pPr>
              <w:pStyle w:val="TableParagraph"/>
              <w:spacing w:before="1"/>
              <w:ind w:left="99" w:right="101"/>
              <w:jc w:val="center"/>
              <w:rPr>
                <w:sz w:val="20"/>
              </w:rPr>
            </w:pPr>
            <w:r>
              <w:rPr>
                <w:sz w:val="20"/>
              </w:rPr>
              <w:t>环牛路(牛华大道)</w:t>
            </w:r>
          </w:p>
        </w:tc>
        <w:tc>
          <w:tcPr>
            <w:tcW w:w="1256" w:type="dxa"/>
          </w:tcPr>
          <w:p>
            <w:pPr>
              <w:pStyle w:val="TableParagraph"/>
              <w:spacing w:before="1"/>
              <w:rPr>
                <w:rFonts w:ascii="黑体"/>
                <w:sz w:val="15"/>
              </w:rPr>
            </w:pPr>
          </w:p>
          <w:p>
            <w:pPr>
              <w:pStyle w:val="TableParagraph"/>
              <w:spacing w:before="1"/>
              <w:ind w:left="152" w:right="152"/>
              <w:jc w:val="center"/>
              <w:rPr>
                <w:sz w:val="20"/>
              </w:rPr>
            </w:pPr>
            <w:r>
              <w:rPr>
                <w:sz w:val="20"/>
              </w:rPr>
              <w:t>2019-2020</w:t>
            </w:r>
          </w:p>
        </w:tc>
        <w:tc>
          <w:tcPr>
            <w:tcW w:w="3662" w:type="dxa"/>
          </w:tcPr>
          <w:p>
            <w:pPr>
              <w:pStyle w:val="TableParagraph"/>
              <w:spacing w:before="1"/>
              <w:rPr>
                <w:rFonts w:ascii="黑体"/>
                <w:sz w:val="15"/>
              </w:rPr>
            </w:pPr>
          </w:p>
          <w:p>
            <w:pPr>
              <w:pStyle w:val="TableParagraph"/>
              <w:spacing w:before="1"/>
              <w:ind w:left="13" w:right="14"/>
              <w:jc w:val="center"/>
              <w:rPr>
                <w:sz w:val="20"/>
              </w:rPr>
            </w:pPr>
            <w:r>
              <w:rPr>
                <w:sz w:val="20"/>
              </w:rPr>
              <w:t>长 1000 米，宽 24 米</w:t>
            </w:r>
          </w:p>
        </w:tc>
        <w:tc>
          <w:tcPr>
            <w:tcW w:w="1058" w:type="dxa"/>
          </w:tcPr>
          <w:p>
            <w:pPr>
              <w:pStyle w:val="TableParagraph"/>
              <w:spacing w:before="1"/>
              <w:rPr>
                <w:rFonts w:ascii="黑体"/>
                <w:sz w:val="15"/>
              </w:rPr>
            </w:pPr>
          </w:p>
          <w:p>
            <w:pPr>
              <w:pStyle w:val="TableParagraph"/>
              <w:spacing w:before="1"/>
              <w:ind w:right="320"/>
              <w:jc w:val="right"/>
              <w:rPr>
                <w:sz w:val="20"/>
              </w:rPr>
            </w:pPr>
            <w:r>
              <w:rPr>
                <w:sz w:val="20"/>
              </w:rPr>
              <w:t>4200</w:t>
            </w:r>
          </w:p>
        </w:tc>
        <w:tc>
          <w:tcPr>
            <w:tcW w:w="1051" w:type="dxa"/>
          </w:tcPr>
          <w:p>
            <w:pPr>
              <w:pStyle w:val="TableParagraph"/>
              <w:spacing w:before="1"/>
              <w:rPr>
                <w:rFonts w:ascii="黑体"/>
                <w:sz w:val="15"/>
              </w:rPr>
            </w:pPr>
          </w:p>
          <w:p>
            <w:pPr>
              <w:pStyle w:val="TableParagraph"/>
              <w:spacing w:before="1"/>
              <w:ind w:left="220"/>
              <w:rPr>
                <w:sz w:val="20"/>
              </w:rPr>
            </w:pPr>
            <w:r>
              <w:rPr>
                <w:sz w:val="20"/>
              </w:rPr>
              <w:t>住建局</w:t>
            </w:r>
          </w:p>
        </w:tc>
      </w:tr>
      <w:tr>
        <w:trPr>
          <w:trHeight w:val="700" w:hRule="atLeast"/>
        </w:trPr>
        <w:tc>
          <w:tcPr>
            <w:tcW w:w="502" w:type="dxa"/>
          </w:tcPr>
          <w:p>
            <w:pPr>
              <w:pStyle w:val="TableParagraph"/>
              <w:spacing w:before="1"/>
              <w:rPr>
                <w:rFonts w:ascii="黑体"/>
                <w:sz w:val="15"/>
              </w:rPr>
            </w:pPr>
          </w:p>
          <w:p>
            <w:pPr>
              <w:pStyle w:val="TableParagraph"/>
              <w:spacing w:before="1"/>
              <w:ind w:left="124" w:right="125"/>
              <w:jc w:val="center"/>
              <w:rPr>
                <w:sz w:val="20"/>
              </w:rPr>
            </w:pPr>
            <w:r>
              <w:rPr>
                <w:sz w:val="20"/>
              </w:rPr>
              <w:t>23</w:t>
            </w:r>
          </w:p>
        </w:tc>
        <w:tc>
          <w:tcPr>
            <w:tcW w:w="2110" w:type="dxa"/>
          </w:tcPr>
          <w:p>
            <w:pPr>
              <w:pStyle w:val="TableParagraph"/>
              <w:spacing w:before="1"/>
              <w:rPr>
                <w:rFonts w:ascii="黑体"/>
                <w:sz w:val="15"/>
              </w:rPr>
            </w:pPr>
          </w:p>
          <w:p>
            <w:pPr>
              <w:pStyle w:val="TableParagraph"/>
              <w:spacing w:before="1"/>
              <w:ind w:left="99" w:right="101"/>
              <w:jc w:val="center"/>
              <w:rPr>
                <w:sz w:val="20"/>
              </w:rPr>
            </w:pPr>
            <w:r>
              <w:rPr>
                <w:sz w:val="20"/>
              </w:rPr>
              <w:t>新华路</w:t>
            </w:r>
          </w:p>
        </w:tc>
        <w:tc>
          <w:tcPr>
            <w:tcW w:w="1256" w:type="dxa"/>
          </w:tcPr>
          <w:p>
            <w:pPr>
              <w:pStyle w:val="TableParagraph"/>
              <w:spacing w:before="1"/>
              <w:rPr>
                <w:rFonts w:ascii="黑体"/>
                <w:sz w:val="15"/>
              </w:rPr>
            </w:pPr>
          </w:p>
          <w:p>
            <w:pPr>
              <w:pStyle w:val="TableParagraph"/>
              <w:spacing w:before="1"/>
              <w:ind w:left="152" w:right="152"/>
              <w:jc w:val="center"/>
              <w:rPr>
                <w:sz w:val="20"/>
              </w:rPr>
            </w:pPr>
            <w:r>
              <w:rPr>
                <w:sz w:val="20"/>
              </w:rPr>
              <w:t>2017-2018</w:t>
            </w:r>
          </w:p>
        </w:tc>
        <w:tc>
          <w:tcPr>
            <w:tcW w:w="3662" w:type="dxa"/>
          </w:tcPr>
          <w:p>
            <w:pPr>
              <w:pStyle w:val="TableParagraph"/>
              <w:spacing w:before="1"/>
              <w:rPr>
                <w:rFonts w:ascii="黑体"/>
                <w:sz w:val="15"/>
              </w:rPr>
            </w:pPr>
          </w:p>
          <w:p>
            <w:pPr>
              <w:pStyle w:val="TableParagraph"/>
              <w:spacing w:before="1"/>
              <w:ind w:left="13" w:right="13"/>
              <w:jc w:val="center"/>
              <w:rPr>
                <w:sz w:val="20"/>
              </w:rPr>
            </w:pPr>
            <w:r>
              <w:rPr>
                <w:sz w:val="20"/>
              </w:rPr>
              <w:t>长 980 米，宽 18 米</w:t>
            </w:r>
          </w:p>
        </w:tc>
        <w:tc>
          <w:tcPr>
            <w:tcW w:w="1058" w:type="dxa"/>
          </w:tcPr>
          <w:p>
            <w:pPr>
              <w:pStyle w:val="TableParagraph"/>
              <w:spacing w:before="1"/>
              <w:rPr>
                <w:rFonts w:ascii="黑体"/>
                <w:sz w:val="15"/>
              </w:rPr>
            </w:pPr>
          </w:p>
          <w:p>
            <w:pPr>
              <w:pStyle w:val="TableParagraph"/>
              <w:spacing w:before="1"/>
              <w:ind w:right="321"/>
              <w:jc w:val="right"/>
              <w:rPr>
                <w:sz w:val="20"/>
              </w:rPr>
            </w:pPr>
            <w:r>
              <w:rPr>
                <w:sz w:val="20"/>
              </w:rPr>
              <w:t>1800</w:t>
            </w:r>
          </w:p>
        </w:tc>
        <w:tc>
          <w:tcPr>
            <w:tcW w:w="1051" w:type="dxa"/>
          </w:tcPr>
          <w:p>
            <w:pPr>
              <w:pStyle w:val="TableParagraph"/>
              <w:spacing w:before="1"/>
              <w:rPr>
                <w:rFonts w:ascii="黑体"/>
                <w:sz w:val="15"/>
              </w:rPr>
            </w:pPr>
          </w:p>
          <w:p>
            <w:pPr>
              <w:pStyle w:val="TableParagraph"/>
              <w:spacing w:before="1"/>
              <w:ind w:left="219"/>
              <w:rPr>
                <w:sz w:val="20"/>
              </w:rPr>
            </w:pPr>
            <w:r>
              <w:rPr>
                <w:sz w:val="20"/>
              </w:rPr>
              <w:t>住建局</w:t>
            </w:r>
          </w:p>
        </w:tc>
      </w:tr>
      <w:tr>
        <w:trPr>
          <w:trHeight w:val="1020" w:hRule="atLeast"/>
        </w:trPr>
        <w:tc>
          <w:tcPr>
            <w:tcW w:w="502" w:type="dxa"/>
          </w:tcPr>
          <w:p>
            <w:pPr>
              <w:pStyle w:val="TableParagraph"/>
              <w:spacing w:before="7"/>
              <w:rPr>
                <w:rFonts w:ascii="黑体"/>
                <w:sz w:val="26"/>
              </w:rPr>
            </w:pPr>
          </w:p>
          <w:p>
            <w:pPr>
              <w:pStyle w:val="TableParagraph"/>
              <w:spacing w:before="1"/>
              <w:ind w:left="124" w:right="125"/>
              <w:jc w:val="center"/>
              <w:rPr>
                <w:sz w:val="20"/>
              </w:rPr>
            </w:pPr>
            <w:r>
              <w:rPr>
                <w:sz w:val="20"/>
              </w:rPr>
              <w:t>24</w:t>
            </w:r>
          </w:p>
        </w:tc>
        <w:tc>
          <w:tcPr>
            <w:tcW w:w="2110" w:type="dxa"/>
          </w:tcPr>
          <w:p>
            <w:pPr>
              <w:pStyle w:val="TableParagraph"/>
              <w:spacing w:before="7"/>
              <w:rPr>
                <w:rFonts w:ascii="黑体"/>
                <w:sz w:val="26"/>
              </w:rPr>
            </w:pPr>
          </w:p>
          <w:p>
            <w:pPr>
              <w:pStyle w:val="TableParagraph"/>
              <w:spacing w:before="1"/>
              <w:ind w:left="99" w:right="100"/>
              <w:jc w:val="center"/>
              <w:rPr>
                <w:sz w:val="20"/>
              </w:rPr>
            </w:pPr>
            <w:r>
              <w:rPr>
                <w:sz w:val="20"/>
              </w:rPr>
              <w:t>连接线加宽工程</w:t>
            </w:r>
          </w:p>
        </w:tc>
        <w:tc>
          <w:tcPr>
            <w:tcW w:w="1256" w:type="dxa"/>
          </w:tcPr>
          <w:p>
            <w:pPr>
              <w:pStyle w:val="TableParagraph"/>
              <w:spacing w:before="7"/>
              <w:rPr>
                <w:rFonts w:ascii="黑体"/>
                <w:sz w:val="26"/>
              </w:rPr>
            </w:pPr>
          </w:p>
          <w:p>
            <w:pPr>
              <w:pStyle w:val="TableParagraph"/>
              <w:spacing w:before="1"/>
              <w:ind w:left="152" w:right="152"/>
              <w:jc w:val="center"/>
              <w:rPr>
                <w:sz w:val="20"/>
              </w:rPr>
            </w:pPr>
            <w:r>
              <w:rPr>
                <w:sz w:val="20"/>
              </w:rPr>
              <w:t>2018-2019</w:t>
            </w:r>
          </w:p>
        </w:tc>
        <w:tc>
          <w:tcPr>
            <w:tcW w:w="3662" w:type="dxa"/>
          </w:tcPr>
          <w:p>
            <w:pPr>
              <w:pStyle w:val="TableParagraph"/>
              <w:spacing w:before="11"/>
              <w:rPr>
                <w:rFonts w:ascii="黑体"/>
                <w:sz w:val="16"/>
              </w:rPr>
            </w:pPr>
          </w:p>
          <w:p>
            <w:pPr>
              <w:pStyle w:val="TableParagraph"/>
              <w:spacing w:line="237" w:lineRule="auto" w:before="1"/>
              <w:ind w:left="1475" w:right="107" w:hanging="1350"/>
              <w:rPr>
                <w:sz w:val="20"/>
              </w:rPr>
            </w:pPr>
            <w:r>
              <w:rPr>
                <w:spacing w:val="-26"/>
                <w:sz w:val="20"/>
              </w:rPr>
              <w:t>长 </w:t>
            </w:r>
            <w:r>
              <w:rPr>
                <w:sz w:val="20"/>
              </w:rPr>
              <w:t>1200</w:t>
            </w:r>
            <w:r>
              <w:rPr>
                <w:spacing w:val="-17"/>
                <w:sz w:val="20"/>
              </w:rPr>
              <w:t> 米，在原有 </w:t>
            </w:r>
            <w:r>
              <w:rPr>
                <w:sz w:val="20"/>
              </w:rPr>
              <w:t>12</w:t>
            </w:r>
            <w:r>
              <w:rPr>
                <w:spacing w:val="-8"/>
                <w:sz w:val="20"/>
              </w:rPr>
              <w:t> 米宽基础上再加</w:t>
            </w:r>
            <w:r>
              <w:rPr>
                <w:spacing w:val="-28"/>
                <w:sz w:val="20"/>
              </w:rPr>
              <w:t>宽 </w:t>
            </w:r>
            <w:r>
              <w:rPr>
                <w:spacing w:val="23"/>
                <w:sz w:val="20"/>
              </w:rPr>
              <w:t>30</w:t>
            </w:r>
            <w:r>
              <w:rPr>
                <w:sz w:val="20"/>
              </w:rPr>
              <w:t>米</w:t>
            </w:r>
            <w:r>
              <w:rPr>
                <w:spacing w:val="-50"/>
                <w:sz w:val="20"/>
              </w:rPr>
              <w:t> </w:t>
            </w:r>
          </w:p>
        </w:tc>
        <w:tc>
          <w:tcPr>
            <w:tcW w:w="1058" w:type="dxa"/>
          </w:tcPr>
          <w:p>
            <w:pPr>
              <w:pStyle w:val="TableParagraph"/>
              <w:spacing w:before="7"/>
              <w:rPr>
                <w:rFonts w:ascii="黑体"/>
                <w:sz w:val="26"/>
              </w:rPr>
            </w:pPr>
          </w:p>
          <w:p>
            <w:pPr>
              <w:pStyle w:val="TableParagraph"/>
              <w:spacing w:before="1"/>
              <w:ind w:right="321"/>
              <w:jc w:val="right"/>
              <w:rPr>
                <w:sz w:val="20"/>
              </w:rPr>
            </w:pPr>
            <w:r>
              <w:rPr>
                <w:sz w:val="20"/>
              </w:rPr>
              <w:t>7500</w:t>
            </w:r>
          </w:p>
        </w:tc>
        <w:tc>
          <w:tcPr>
            <w:tcW w:w="1051" w:type="dxa"/>
          </w:tcPr>
          <w:p>
            <w:pPr>
              <w:pStyle w:val="TableParagraph"/>
              <w:spacing w:before="7"/>
              <w:rPr>
                <w:rFonts w:ascii="黑体"/>
                <w:sz w:val="26"/>
              </w:rPr>
            </w:pPr>
          </w:p>
          <w:p>
            <w:pPr>
              <w:pStyle w:val="TableParagraph"/>
              <w:spacing w:before="1"/>
              <w:ind w:left="219"/>
              <w:rPr>
                <w:sz w:val="20"/>
              </w:rPr>
            </w:pPr>
            <w:r>
              <w:rPr>
                <w:sz w:val="20"/>
              </w:rPr>
              <w:t>住建局</w:t>
            </w:r>
          </w:p>
        </w:tc>
      </w:tr>
      <w:tr>
        <w:trPr>
          <w:trHeight w:val="720" w:hRule="atLeast"/>
        </w:trPr>
        <w:tc>
          <w:tcPr>
            <w:tcW w:w="502" w:type="dxa"/>
          </w:tcPr>
          <w:p>
            <w:pPr>
              <w:pStyle w:val="TableParagraph"/>
              <w:spacing w:before="1"/>
              <w:rPr>
                <w:rFonts w:ascii="黑体"/>
                <w:sz w:val="15"/>
              </w:rPr>
            </w:pPr>
          </w:p>
          <w:p>
            <w:pPr>
              <w:pStyle w:val="TableParagraph"/>
              <w:spacing w:before="1"/>
              <w:ind w:left="125" w:right="125"/>
              <w:jc w:val="center"/>
              <w:rPr>
                <w:sz w:val="20"/>
              </w:rPr>
            </w:pPr>
            <w:r>
              <w:rPr>
                <w:sz w:val="20"/>
              </w:rPr>
              <w:t>25</w:t>
            </w:r>
          </w:p>
        </w:tc>
        <w:tc>
          <w:tcPr>
            <w:tcW w:w="2110" w:type="dxa"/>
          </w:tcPr>
          <w:p>
            <w:pPr>
              <w:pStyle w:val="TableParagraph"/>
              <w:spacing w:before="68"/>
              <w:ind w:left="848" w:right="131" w:hanging="700"/>
              <w:rPr>
                <w:sz w:val="20"/>
              </w:rPr>
            </w:pPr>
            <w:r>
              <w:rPr>
                <w:sz w:val="20"/>
              </w:rPr>
              <w:t>岷江大道北延至岷江大桥</w:t>
            </w:r>
          </w:p>
        </w:tc>
        <w:tc>
          <w:tcPr>
            <w:tcW w:w="1256" w:type="dxa"/>
          </w:tcPr>
          <w:p>
            <w:pPr>
              <w:pStyle w:val="TableParagraph"/>
              <w:spacing w:before="1"/>
              <w:rPr>
                <w:rFonts w:ascii="黑体"/>
                <w:sz w:val="15"/>
              </w:rPr>
            </w:pPr>
          </w:p>
          <w:p>
            <w:pPr>
              <w:pStyle w:val="TableParagraph"/>
              <w:spacing w:before="1"/>
              <w:ind w:left="151" w:right="152"/>
              <w:jc w:val="center"/>
              <w:rPr>
                <w:sz w:val="20"/>
              </w:rPr>
            </w:pPr>
            <w:r>
              <w:rPr>
                <w:sz w:val="20"/>
              </w:rPr>
              <w:t>2019-2020</w:t>
            </w:r>
          </w:p>
        </w:tc>
        <w:tc>
          <w:tcPr>
            <w:tcW w:w="3662" w:type="dxa"/>
          </w:tcPr>
          <w:p>
            <w:pPr>
              <w:pStyle w:val="TableParagraph"/>
              <w:spacing w:before="1"/>
              <w:rPr>
                <w:rFonts w:ascii="黑体"/>
                <w:sz w:val="15"/>
              </w:rPr>
            </w:pPr>
          </w:p>
          <w:p>
            <w:pPr>
              <w:pStyle w:val="TableParagraph"/>
              <w:spacing w:before="1"/>
              <w:ind w:left="13" w:right="14"/>
              <w:jc w:val="center"/>
              <w:rPr>
                <w:sz w:val="20"/>
              </w:rPr>
            </w:pPr>
            <w:r>
              <w:rPr>
                <w:sz w:val="20"/>
              </w:rPr>
              <w:t>长 950 米，宽 42 米</w:t>
            </w:r>
          </w:p>
        </w:tc>
        <w:tc>
          <w:tcPr>
            <w:tcW w:w="1058" w:type="dxa"/>
          </w:tcPr>
          <w:p>
            <w:pPr>
              <w:pStyle w:val="TableParagraph"/>
              <w:spacing w:before="1"/>
              <w:rPr>
                <w:rFonts w:ascii="黑体"/>
                <w:sz w:val="15"/>
              </w:rPr>
            </w:pPr>
          </w:p>
          <w:p>
            <w:pPr>
              <w:pStyle w:val="TableParagraph"/>
              <w:spacing w:before="1"/>
              <w:ind w:right="321"/>
              <w:jc w:val="right"/>
              <w:rPr>
                <w:sz w:val="20"/>
              </w:rPr>
            </w:pPr>
            <w:r>
              <w:rPr>
                <w:sz w:val="20"/>
              </w:rPr>
              <w:t>9500</w:t>
            </w:r>
          </w:p>
        </w:tc>
        <w:tc>
          <w:tcPr>
            <w:tcW w:w="1051" w:type="dxa"/>
          </w:tcPr>
          <w:p>
            <w:pPr>
              <w:pStyle w:val="TableParagraph"/>
              <w:spacing w:before="1"/>
              <w:rPr>
                <w:rFonts w:ascii="黑体"/>
                <w:sz w:val="15"/>
              </w:rPr>
            </w:pPr>
          </w:p>
          <w:p>
            <w:pPr>
              <w:pStyle w:val="TableParagraph"/>
              <w:spacing w:before="1"/>
              <w:ind w:left="219"/>
              <w:rPr>
                <w:sz w:val="20"/>
              </w:rPr>
            </w:pPr>
            <w:r>
              <w:rPr>
                <w:sz w:val="20"/>
              </w:rPr>
              <w:t>住建局</w:t>
            </w:r>
          </w:p>
        </w:tc>
      </w:tr>
      <w:tr>
        <w:trPr>
          <w:trHeight w:val="1020" w:hRule="atLeast"/>
        </w:trPr>
        <w:tc>
          <w:tcPr>
            <w:tcW w:w="502" w:type="dxa"/>
          </w:tcPr>
          <w:p>
            <w:pPr>
              <w:pStyle w:val="TableParagraph"/>
              <w:spacing w:before="11"/>
              <w:rPr>
                <w:rFonts w:ascii="黑体"/>
                <w:sz w:val="26"/>
              </w:rPr>
            </w:pPr>
          </w:p>
          <w:p>
            <w:pPr>
              <w:pStyle w:val="TableParagraph"/>
              <w:ind w:left="124" w:right="125"/>
              <w:jc w:val="center"/>
              <w:rPr>
                <w:sz w:val="20"/>
              </w:rPr>
            </w:pPr>
            <w:r>
              <w:rPr>
                <w:sz w:val="20"/>
              </w:rPr>
              <w:t>26</w:t>
            </w:r>
          </w:p>
        </w:tc>
        <w:tc>
          <w:tcPr>
            <w:tcW w:w="2110" w:type="dxa"/>
          </w:tcPr>
          <w:p>
            <w:pPr>
              <w:pStyle w:val="TableParagraph"/>
              <w:spacing w:before="11"/>
              <w:rPr>
                <w:rFonts w:ascii="黑体"/>
                <w:sz w:val="26"/>
              </w:rPr>
            </w:pPr>
          </w:p>
          <w:p>
            <w:pPr>
              <w:pStyle w:val="TableParagraph"/>
              <w:ind w:left="99" w:right="101"/>
              <w:jc w:val="center"/>
              <w:rPr>
                <w:sz w:val="20"/>
              </w:rPr>
            </w:pPr>
            <w:r>
              <w:rPr>
                <w:sz w:val="20"/>
              </w:rPr>
              <w:t>五通大道</w:t>
            </w:r>
          </w:p>
        </w:tc>
        <w:tc>
          <w:tcPr>
            <w:tcW w:w="1256" w:type="dxa"/>
          </w:tcPr>
          <w:p>
            <w:pPr>
              <w:pStyle w:val="TableParagraph"/>
              <w:spacing w:before="11"/>
              <w:rPr>
                <w:rFonts w:ascii="黑体"/>
                <w:sz w:val="26"/>
              </w:rPr>
            </w:pPr>
          </w:p>
          <w:p>
            <w:pPr>
              <w:pStyle w:val="TableParagraph"/>
              <w:ind w:left="151" w:right="152"/>
              <w:jc w:val="center"/>
              <w:rPr>
                <w:sz w:val="20"/>
              </w:rPr>
            </w:pPr>
            <w:r>
              <w:rPr>
                <w:sz w:val="20"/>
              </w:rPr>
              <w:t>2017-2019</w:t>
            </w:r>
          </w:p>
        </w:tc>
        <w:tc>
          <w:tcPr>
            <w:tcW w:w="3662" w:type="dxa"/>
          </w:tcPr>
          <w:p>
            <w:pPr>
              <w:pStyle w:val="TableParagraph"/>
              <w:spacing w:before="11"/>
              <w:rPr>
                <w:rFonts w:ascii="黑体"/>
                <w:sz w:val="26"/>
              </w:rPr>
            </w:pPr>
          </w:p>
          <w:p>
            <w:pPr>
              <w:pStyle w:val="TableParagraph"/>
              <w:ind w:left="13" w:right="14"/>
              <w:jc w:val="center"/>
              <w:rPr>
                <w:sz w:val="20"/>
              </w:rPr>
            </w:pPr>
            <w:r>
              <w:rPr>
                <w:sz w:val="20"/>
              </w:rPr>
              <w:t>全长约 3600 米、宽约 42 米</w:t>
            </w:r>
          </w:p>
        </w:tc>
        <w:tc>
          <w:tcPr>
            <w:tcW w:w="1058" w:type="dxa"/>
          </w:tcPr>
          <w:p>
            <w:pPr>
              <w:pStyle w:val="TableParagraph"/>
              <w:spacing w:before="11"/>
              <w:rPr>
                <w:rFonts w:ascii="黑体"/>
                <w:sz w:val="26"/>
              </w:rPr>
            </w:pPr>
          </w:p>
          <w:p>
            <w:pPr>
              <w:pStyle w:val="TableParagraph"/>
              <w:ind w:right="270"/>
              <w:jc w:val="right"/>
              <w:rPr>
                <w:sz w:val="20"/>
              </w:rPr>
            </w:pPr>
            <w:r>
              <w:rPr>
                <w:sz w:val="20"/>
              </w:rPr>
              <w:t>75000</w:t>
            </w:r>
          </w:p>
        </w:tc>
        <w:tc>
          <w:tcPr>
            <w:tcW w:w="1051" w:type="dxa"/>
          </w:tcPr>
          <w:p>
            <w:pPr>
              <w:pStyle w:val="TableParagraph"/>
              <w:spacing w:before="11"/>
              <w:rPr>
                <w:rFonts w:ascii="黑体"/>
                <w:sz w:val="26"/>
              </w:rPr>
            </w:pPr>
          </w:p>
          <w:p>
            <w:pPr>
              <w:pStyle w:val="TableParagraph"/>
              <w:ind w:left="219"/>
              <w:rPr>
                <w:sz w:val="20"/>
              </w:rPr>
            </w:pPr>
            <w:r>
              <w:rPr>
                <w:sz w:val="20"/>
              </w:rPr>
              <w:t>住建局</w:t>
            </w:r>
          </w:p>
        </w:tc>
      </w:tr>
    </w:tbl>
    <w:p>
      <w:pPr>
        <w:spacing w:after="0"/>
        <w:rPr>
          <w:sz w:val="20"/>
        </w:rPr>
        <w:sectPr>
          <w:pgSz w:w="11910" w:h="16840"/>
          <w:pgMar w:header="0" w:footer="938" w:top="1440" w:bottom="1120" w:left="880" w:right="1160"/>
        </w:sectPr>
      </w:pPr>
    </w:p>
    <w:tbl>
      <w:tblPr>
        <w:tblW w:w="0" w:type="auto"/>
        <w:jc w:val="left"/>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02"/>
        <w:gridCol w:w="2110"/>
        <w:gridCol w:w="1256"/>
        <w:gridCol w:w="3662"/>
        <w:gridCol w:w="1058"/>
        <w:gridCol w:w="1051"/>
      </w:tblGrid>
      <w:tr>
        <w:trPr>
          <w:trHeight w:val="700" w:hRule="atLeast"/>
        </w:trPr>
        <w:tc>
          <w:tcPr>
            <w:tcW w:w="502" w:type="dxa"/>
          </w:tcPr>
          <w:p>
            <w:pPr>
              <w:pStyle w:val="TableParagraph"/>
              <w:spacing w:before="1"/>
              <w:rPr>
                <w:rFonts w:ascii="黑体"/>
                <w:sz w:val="15"/>
              </w:rPr>
            </w:pPr>
          </w:p>
          <w:p>
            <w:pPr>
              <w:pStyle w:val="TableParagraph"/>
              <w:spacing w:before="1"/>
              <w:ind w:left="124" w:right="125"/>
              <w:jc w:val="center"/>
              <w:rPr>
                <w:sz w:val="20"/>
              </w:rPr>
            </w:pPr>
            <w:r>
              <w:rPr>
                <w:sz w:val="20"/>
              </w:rPr>
              <w:t>27</w:t>
            </w:r>
          </w:p>
        </w:tc>
        <w:tc>
          <w:tcPr>
            <w:tcW w:w="2110" w:type="dxa"/>
          </w:tcPr>
          <w:p>
            <w:pPr>
              <w:pStyle w:val="TableParagraph"/>
              <w:spacing w:before="1"/>
              <w:rPr>
                <w:rFonts w:ascii="黑体"/>
                <w:sz w:val="15"/>
              </w:rPr>
            </w:pPr>
          </w:p>
          <w:p>
            <w:pPr>
              <w:pStyle w:val="TableParagraph"/>
              <w:spacing w:before="1"/>
              <w:ind w:left="99" w:right="101"/>
              <w:jc w:val="center"/>
              <w:rPr>
                <w:sz w:val="20"/>
              </w:rPr>
            </w:pPr>
            <w:r>
              <w:rPr>
                <w:sz w:val="20"/>
              </w:rPr>
              <w:t>胜利街（纬六路）</w:t>
            </w:r>
          </w:p>
        </w:tc>
        <w:tc>
          <w:tcPr>
            <w:tcW w:w="1256" w:type="dxa"/>
          </w:tcPr>
          <w:p>
            <w:pPr>
              <w:pStyle w:val="TableParagraph"/>
              <w:spacing w:before="1"/>
              <w:rPr>
                <w:rFonts w:ascii="黑体"/>
                <w:sz w:val="15"/>
              </w:rPr>
            </w:pPr>
          </w:p>
          <w:p>
            <w:pPr>
              <w:pStyle w:val="TableParagraph"/>
              <w:spacing w:before="1"/>
              <w:ind w:left="151" w:right="152"/>
              <w:jc w:val="center"/>
              <w:rPr>
                <w:sz w:val="20"/>
              </w:rPr>
            </w:pPr>
            <w:r>
              <w:rPr>
                <w:sz w:val="20"/>
              </w:rPr>
              <w:t>2020</w:t>
            </w:r>
          </w:p>
        </w:tc>
        <w:tc>
          <w:tcPr>
            <w:tcW w:w="3662" w:type="dxa"/>
          </w:tcPr>
          <w:p>
            <w:pPr>
              <w:pStyle w:val="TableParagraph"/>
              <w:spacing w:before="1"/>
              <w:rPr>
                <w:rFonts w:ascii="黑体"/>
                <w:sz w:val="15"/>
              </w:rPr>
            </w:pPr>
          </w:p>
          <w:p>
            <w:pPr>
              <w:pStyle w:val="TableParagraph"/>
              <w:spacing w:before="1"/>
              <w:ind w:left="974"/>
              <w:rPr>
                <w:sz w:val="20"/>
              </w:rPr>
            </w:pPr>
            <w:r>
              <w:rPr>
                <w:sz w:val="20"/>
              </w:rPr>
              <w:t>长 500 米，宽 20 米</w:t>
            </w:r>
          </w:p>
        </w:tc>
        <w:tc>
          <w:tcPr>
            <w:tcW w:w="1058" w:type="dxa"/>
          </w:tcPr>
          <w:p>
            <w:pPr>
              <w:pStyle w:val="TableParagraph"/>
              <w:spacing w:before="1"/>
              <w:rPr>
                <w:rFonts w:ascii="黑体"/>
                <w:sz w:val="15"/>
              </w:rPr>
            </w:pPr>
          </w:p>
          <w:p>
            <w:pPr>
              <w:pStyle w:val="TableParagraph"/>
              <w:spacing w:before="1"/>
              <w:ind w:left="153" w:right="153"/>
              <w:jc w:val="center"/>
              <w:rPr>
                <w:sz w:val="20"/>
              </w:rPr>
            </w:pPr>
            <w:r>
              <w:rPr>
                <w:sz w:val="20"/>
              </w:rPr>
              <w:t>600</w:t>
            </w:r>
          </w:p>
        </w:tc>
        <w:tc>
          <w:tcPr>
            <w:tcW w:w="1051" w:type="dxa"/>
          </w:tcPr>
          <w:p>
            <w:pPr>
              <w:pStyle w:val="TableParagraph"/>
              <w:spacing w:before="1"/>
              <w:rPr>
                <w:rFonts w:ascii="黑体"/>
                <w:sz w:val="15"/>
              </w:rPr>
            </w:pPr>
          </w:p>
          <w:p>
            <w:pPr>
              <w:pStyle w:val="TableParagraph"/>
              <w:spacing w:before="1"/>
              <w:ind w:left="219"/>
              <w:rPr>
                <w:sz w:val="20"/>
              </w:rPr>
            </w:pPr>
            <w:r>
              <w:rPr>
                <w:sz w:val="20"/>
              </w:rPr>
              <w:t>住建局</w:t>
            </w:r>
          </w:p>
        </w:tc>
      </w:tr>
      <w:tr>
        <w:trPr>
          <w:trHeight w:val="760" w:hRule="atLeast"/>
        </w:trPr>
        <w:tc>
          <w:tcPr>
            <w:tcW w:w="502" w:type="dxa"/>
          </w:tcPr>
          <w:p>
            <w:pPr>
              <w:pStyle w:val="TableParagraph"/>
              <w:spacing w:before="9"/>
              <w:rPr>
                <w:rFonts w:ascii="黑体"/>
                <w:sz w:val="16"/>
              </w:rPr>
            </w:pPr>
          </w:p>
          <w:p>
            <w:pPr>
              <w:pStyle w:val="TableParagraph"/>
              <w:ind w:left="124" w:right="125"/>
              <w:jc w:val="center"/>
              <w:rPr>
                <w:sz w:val="20"/>
              </w:rPr>
            </w:pPr>
            <w:r>
              <w:rPr>
                <w:sz w:val="20"/>
              </w:rPr>
              <w:t>28</w:t>
            </w:r>
          </w:p>
        </w:tc>
        <w:tc>
          <w:tcPr>
            <w:tcW w:w="2110" w:type="dxa"/>
          </w:tcPr>
          <w:p>
            <w:pPr>
              <w:pStyle w:val="TableParagraph"/>
              <w:spacing w:before="9"/>
              <w:rPr>
                <w:rFonts w:ascii="黑体"/>
                <w:sz w:val="16"/>
              </w:rPr>
            </w:pPr>
          </w:p>
          <w:p>
            <w:pPr>
              <w:pStyle w:val="TableParagraph"/>
              <w:ind w:left="99" w:right="101"/>
              <w:jc w:val="center"/>
              <w:rPr>
                <w:sz w:val="20"/>
              </w:rPr>
            </w:pPr>
            <w:r>
              <w:rPr>
                <w:sz w:val="20"/>
              </w:rPr>
              <w:t>顺江路</w:t>
            </w:r>
          </w:p>
        </w:tc>
        <w:tc>
          <w:tcPr>
            <w:tcW w:w="1256" w:type="dxa"/>
          </w:tcPr>
          <w:p>
            <w:pPr>
              <w:pStyle w:val="TableParagraph"/>
              <w:spacing w:before="9"/>
              <w:rPr>
                <w:rFonts w:ascii="黑体"/>
                <w:sz w:val="16"/>
              </w:rPr>
            </w:pPr>
          </w:p>
          <w:p>
            <w:pPr>
              <w:pStyle w:val="TableParagraph"/>
              <w:ind w:left="152" w:right="152"/>
              <w:jc w:val="center"/>
              <w:rPr>
                <w:sz w:val="20"/>
              </w:rPr>
            </w:pPr>
            <w:r>
              <w:rPr>
                <w:sz w:val="20"/>
              </w:rPr>
              <w:t>2017-2018</w:t>
            </w:r>
          </w:p>
        </w:tc>
        <w:tc>
          <w:tcPr>
            <w:tcW w:w="3662" w:type="dxa"/>
          </w:tcPr>
          <w:p>
            <w:pPr>
              <w:pStyle w:val="TableParagraph"/>
              <w:spacing w:before="9"/>
              <w:rPr>
                <w:rFonts w:ascii="黑体"/>
                <w:sz w:val="16"/>
              </w:rPr>
            </w:pPr>
          </w:p>
          <w:p>
            <w:pPr>
              <w:pStyle w:val="TableParagraph"/>
              <w:ind w:left="973"/>
              <w:rPr>
                <w:sz w:val="20"/>
              </w:rPr>
            </w:pPr>
            <w:r>
              <w:rPr>
                <w:sz w:val="20"/>
              </w:rPr>
              <w:t>长 350 米，宽 24 米</w:t>
            </w:r>
          </w:p>
        </w:tc>
        <w:tc>
          <w:tcPr>
            <w:tcW w:w="1058" w:type="dxa"/>
          </w:tcPr>
          <w:p>
            <w:pPr>
              <w:pStyle w:val="TableParagraph"/>
              <w:spacing w:before="9"/>
              <w:rPr>
                <w:rFonts w:ascii="黑体"/>
                <w:sz w:val="16"/>
              </w:rPr>
            </w:pPr>
          </w:p>
          <w:p>
            <w:pPr>
              <w:pStyle w:val="TableParagraph"/>
              <w:ind w:left="153" w:right="153"/>
              <w:jc w:val="center"/>
              <w:rPr>
                <w:sz w:val="20"/>
              </w:rPr>
            </w:pPr>
            <w:r>
              <w:rPr>
                <w:sz w:val="20"/>
              </w:rPr>
              <w:t>1100</w:t>
            </w:r>
          </w:p>
        </w:tc>
        <w:tc>
          <w:tcPr>
            <w:tcW w:w="1051" w:type="dxa"/>
          </w:tcPr>
          <w:p>
            <w:pPr>
              <w:pStyle w:val="TableParagraph"/>
              <w:spacing w:before="9"/>
              <w:rPr>
                <w:rFonts w:ascii="黑体"/>
                <w:sz w:val="16"/>
              </w:rPr>
            </w:pPr>
          </w:p>
          <w:p>
            <w:pPr>
              <w:pStyle w:val="TableParagraph"/>
              <w:ind w:left="219"/>
              <w:rPr>
                <w:sz w:val="20"/>
              </w:rPr>
            </w:pPr>
            <w:r>
              <w:rPr>
                <w:sz w:val="20"/>
              </w:rPr>
              <w:t>住建局</w:t>
            </w:r>
          </w:p>
        </w:tc>
      </w:tr>
      <w:tr>
        <w:trPr>
          <w:trHeight w:val="700" w:hRule="atLeast"/>
        </w:trPr>
        <w:tc>
          <w:tcPr>
            <w:tcW w:w="502" w:type="dxa"/>
          </w:tcPr>
          <w:p>
            <w:pPr>
              <w:pStyle w:val="TableParagraph"/>
              <w:spacing w:before="1"/>
              <w:rPr>
                <w:rFonts w:ascii="黑体"/>
                <w:sz w:val="15"/>
              </w:rPr>
            </w:pPr>
          </w:p>
          <w:p>
            <w:pPr>
              <w:pStyle w:val="TableParagraph"/>
              <w:spacing w:before="1"/>
              <w:ind w:left="124" w:right="125"/>
              <w:jc w:val="center"/>
              <w:rPr>
                <w:sz w:val="20"/>
              </w:rPr>
            </w:pPr>
            <w:r>
              <w:rPr>
                <w:sz w:val="20"/>
              </w:rPr>
              <w:t>29</w:t>
            </w:r>
          </w:p>
        </w:tc>
        <w:tc>
          <w:tcPr>
            <w:tcW w:w="2110" w:type="dxa"/>
          </w:tcPr>
          <w:p>
            <w:pPr>
              <w:pStyle w:val="TableParagraph"/>
              <w:spacing w:before="1"/>
              <w:rPr>
                <w:rFonts w:ascii="黑体"/>
                <w:sz w:val="15"/>
              </w:rPr>
            </w:pPr>
          </w:p>
          <w:p>
            <w:pPr>
              <w:pStyle w:val="TableParagraph"/>
              <w:spacing w:before="1"/>
              <w:ind w:left="99" w:right="100"/>
              <w:jc w:val="center"/>
              <w:rPr>
                <w:sz w:val="20"/>
              </w:rPr>
            </w:pPr>
            <w:r>
              <w:rPr>
                <w:sz w:val="20"/>
              </w:rPr>
              <w:t>劳动街</w:t>
            </w:r>
          </w:p>
        </w:tc>
        <w:tc>
          <w:tcPr>
            <w:tcW w:w="1256" w:type="dxa"/>
          </w:tcPr>
          <w:p>
            <w:pPr>
              <w:pStyle w:val="TableParagraph"/>
              <w:spacing w:before="1"/>
              <w:rPr>
                <w:rFonts w:ascii="黑体"/>
                <w:sz w:val="15"/>
              </w:rPr>
            </w:pPr>
          </w:p>
          <w:p>
            <w:pPr>
              <w:pStyle w:val="TableParagraph"/>
              <w:spacing w:before="1"/>
              <w:ind w:left="152" w:right="152"/>
              <w:jc w:val="center"/>
              <w:rPr>
                <w:sz w:val="20"/>
              </w:rPr>
            </w:pPr>
            <w:r>
              <w:rPr>
                <w:sz w:val="20"/>
              </w:rPr>
              <w:t>2016-2017</w:t>
            </w:r>
          </w:p>
        </w:tc>
        <w:tc>
          <w:tcPr>
            <w:tcW w:w="3662" w:type="dxa"/>
          </w:tcPr>
          <w:p>
            <w:pPr>
              <w:pStyle w:val="TableParagraph"/>
              <w:spacing w:before="1"/>
              <w:rPr>
                <w:rFonts w:ascii="黑体"/>
                <w:sz w:val="15"/>
              </w:rPr>
            </w:pPr>
          </w:p>
          <w:p>
            <w:pPr>
              <w:pStyle w:val="TableParagraph"/>
              <w:spacing w:before="1"/>
              <w:ind w:left="974"/>
              <w:rPr>
                <w:sz w:val="20"/>
              </w:rPr>
            </w:pPr>
            <w:r>
              <w:rPr>
                <w:sz w:val="20"/>
              </w:rPr>
              <w:t>长 600 米，宽 18 米</w:t>
            </w:r>
          </w:p>
        </w:tc>
        <w:tc>
          <w:tcPr>
            <w:tcW w:w="1058" w:type="dxa"/>
          </w:tcPr>
          <w:p>
            <w:pPr>
              <w:pStyle w:val="TableParagraph"/>
              <w:spacing w:before="1"/>
              <w:rPr>
                <w:rFonts w:ascii="黑体"/>
                <w:sz w:val="15"/>
              </w:rPr>
            </w:pPr>
          </w:p>
          <w:p>
            <w:pPr>
              <w:pStyle w:val="TableParagraph"/>
              <w:spacing w:before="1"/>
              <w:ind w:left="153" w:right="153"/>
              <w:jc w:val="center"/>
              <w:rPr>
                <w:sz w:val="20"/>
              </w:rPr>
            </w:pPr>
            <w:r>
              <w:rPr>
                <w:sz w:val="20"/>
              </w:rPr>
              <w:t>600</w:t>
            </w:r>
          </w:p>
        </w:tc>
        <w:tc>
          <w:tcPr>
            <w:tcW w:w="1051" w:type="dxa"/>
          </w:tcPr>
          <w:p>
            <w:pPr>
              <w:pStyle w:val="TableParagraph"/>
              <w:spacing w:before="1"/>
              <w:rPr>
                <w:rFonts w:ascii="黑体"/>
                <w:sz w:val="15"/>
              </w:rPr>
            </w:pPr>
          </w:p>
          <w:p>
            <w:pPr>
              <w:pStyle w:val="TableParagraph"/>
              <w:spacing w:before="1"/>
              <w:ind w:left="219"/>
              <w:rPr>
                <w:sz w:val="20"/>
              </w:rPr>
            </w:pPr>
            <w:r>
              <w:rPr>
                <w:sz w:val="20"/>
              </w:rPr>
              <w:t>住建局</w:t>
            </w:r>
          </w:p>
        </w:tc>
      </w:tr>
      <w:tr>
        <w:trPr>
          <w:trHeight w:val="700" w:hRule="atLeast"/>
        </w:trPr>
        <w:tc>
          <w:tcPr>
            <w:tcW w:w="502" w:type="dxa"/>
          </w:tcPr>
          <w:p>
            <w:pPr>
              <w:pStyle w:val="TableParagraph"/>
              <w:spacing w:before="1"/>
              <w:rPr>
                <w:rFonts w:ascii="黑体"/>
                <w:sz w:val="15"/>
              </w:rPr>
            </w:pPr>
          </w:p>
          <w:p>
            <w:pPr>
              <w:pStyle w:val="TableParagraph"/>
              <w:spacing w:before="1"/>
              <w:ind w:left="124" w:right="125"/>
              <w:jc w:val="center"/>
              <w:rPr>
                <w:sz w:val="20"/>
              </w:rPr>
            </w:pPr>
            <w:r>
              <w:rPr>
                <w:sz w:val="20"/>
              </w:rPr>
              <w:t>30</w:t>
            </w:r>
          </w:p>
        </w:tc>
        <w:tc>
          <w:tcPr>
            <w:tcW w:w="2110" w:type="dxa"/>
          </w:tcPr>
          <w:p>
            <w:pPr>
              <w:pStyle w:val="TableParagraph"/>
              <w:spacing w:before="1"/>
              <w:rPr>
                <w:rFonts w:ascii="黑体"/>
                <w:sz w:val="15"/>
              </w:rPr>
            </w:pPr>
          </w:p>
          <w:p>
            <w:pPr>
              <w:pStyle w:val="TableParagraph"/>
              <w:spacing w:before="1"/>
              <w:ind w:left="99" w:right="102"/>
              <w:jc w:val="center"/>
              <w:rPr>
                <w:sz w:val="20"/>
              </w:rPr>
            </w:pPr>
            <w:r>
              <w:rPr>
                <w:sz w:val="20"/>
              </w:rPr>
              <w:t>体育场路</w:t>
            </w:r>
          </w:p>
        </w:tc>
        <w:tc>
          <w:tcPr>
            <w:tcW w:w="1256" w:type="dxa"/>
          </w:tcPr>
          <w:p>
            <w:pPr>
              <w:pStyle w:val="TableParagraph"/>
              <w:spacing w:before="1"/>
              <w:rPr>
                <w:rFonts w:ascii="黑体"/>
                <w:sz w:val="15"/>
              </w:rPr>
            </w:pPr>
          </w:p>
          <w:p>
            <w:pPr>
              <w:pStyle w:val="TableParagraph"/>
              <w:spacing w:before="1"/>
              <w:ind w:left="151" w:right="152"/>
              <w:jc w:val="center"/>
              <w:rPr>
                <w:sz w:val="20"/>
              </w:rPr>
            </w:pPr>
            <w:r>
              <w:rPr>
                <w:sz w:val="20"/>
              </w:rPr>
              <w:t>2015-2018</w:t>
            </w:r>
          </w:p>
        </w:tc>
        <w:tc>
          <w:tcPr>
            <w:tcW w:w="3662" w:type="dxa"/>
          </w:tcPr>
          <w:p>
            <w:pPr>
              <w:pStyle w:val="TableParagraph"/>
              <w:spacing w:before="1"/>
              <w:rPr>
                <w:rFonts w:ascii="黑体"/>
                <w:sz w:val="15"/>
              </w:rPr>
            </w:pPr>
          </w:p>
          <w:p>
            <w:pPr>
              <w:pStyle w:val="TableParagraph"/>
              <w:spacing w:before="1"/>
              <w:ind w:left="922"/>
              <w:rPr>
                <w:sz w:val="20"/>
              </w:rPr>
            </w:pPr>
            <w:r>
              <w:rPr>
                <w:sz w:val="20"/>
              </w:rPr>
              <w:t>长 1018 米，宽 18 米</w:t>
            </w:r>
          </w:p>
        </w:tc>
        <w:tc>
          <w:tcPr>
            <w:tcW w:w="1058" w:type="dxa"/>
          </w:tcPr>
          <w:p>
            <w:pPr>
              <w:pStyle w:val="TableParagraph"/>
              <w:spacing w:before="1"/>
              <w:rPr>
                <w:rFonts w:ascii="黑体"/>
                <w:sz w:val="15"/>
              </w:rPr>
            </w:pPr>
          </w:p>
          <w:p>
            <w:pPr>
              <w:pStyle w:val="TableParagraph"/>
              <w:spacing w:before="1"/>
              <w:ind w:left="153" w:right="152"/>
              <w:jc w:val="center"/>
              <w:rPr>
                <w:sz w:val="20"/>
              </w:rPr>
            </w:pPr>
            <w:r>
              <w:rPr>
                <w:sz w:val="20"/>
              </w:rPr>
              <w:t>4400</w:t>
            </w:r>
          </w:p>
        </w:tc>
        <w:tc>
          <w:tcPr>
            <w:tcW w:w="1051" w:type="dxa"/>
          </w:tcPr>
          <w:p>
            <w:pPr>
              <w:pStyle w:val="TableParagraph"/>
              <w:spacing w:before="1"/>
              <w:rPr>
                <w:rFonts w:ascii="黑体"/>
                <w:sz w:val="15"/>
              </w:rPr>
            </w:pPr>
          </w:p>
          <w:p>
            <w:pPr>
              <w:pStyle w:val="TableParagraph"/>
              <w:spacing w:before="1"/>
              <w:ind w:left="220"/>
              <w:rPr>
                <w:sz w:val="20"/>
              </w:rPr>
            </w:pPr>
            <w:r>
              <w:rPr>
                <w:sz w:val="20"/>
              </w:rPr>
              <w:t>住建局</w:t>
            </w:r>
          </w:p>
        </w:tc>
      </w:tr>
      <w:tr>
        <w:trPr>
          <w:trHeight w:val="720" w:hRule="atLeast"/>
        </w:trPr>
        <w:tc>
          <w:tcPr>
            <w:tcW w:w="502" w:type="dxa"/>
          </w:tcPr>
          <w:p>
            <w:pPr>
              <w:pStyle w:val="TableParagraph"/>
              <w:spacing w:before="1"/>
              <w:rPr>
                <w:rFonts w:ascii="黑体"/>
                <w:sz w:val="15"/>
              </w:rPr>
            </w:pPr>
          </w:p>
          <w:p>
            <w:pPr>
              <w:pStyle w:val="TableParagraph"/>
              <w:spacing w:before="1"/>
              <w:ind w:left="125" w:right="125"/>
              <w:jc w:val="center"/>
              <w:rPr>
                <w:sz w:val="20"/>
              </w:rPr>
            </w:pPr>
            <w:r>
              <w:rPr>
                <w:sz w:val="20"/>
              </w:rPr>
              <w:t>31</w:t>
            </w:r>
          </w:p>
        </w:tc>
        <w:tc>
          <w:tcPr>
            <w:tcW w:w="2110" w:type="dxa"/>
          </w:tcPr>
          <w:p>
            <w:pPr>
              <w:pStyle w:val="TableParagraph"/>
              <w:spacing w:before="1"/>
              <w:rPr>
                <w:rFonts w:ascii="黑体"/>
                <w:sz w:val="15"/>
              </w:rPr>
            </w:pPr>
          </w:p>
          <w:p>
            <w:pPr>
              <w:pStyle w:val="TableParagraph"/>
              <w:spacing w:before="1"/>
              <w:ind w:left="98"/>
              <w:jc w:val="center"/>
              <w:rPr>
                <w:sz w:val="20"/>
              </w:rPr>
            </w:pPr>
            <w:r>
              <w:rPr>
                <w:sz w:val="20"/>
              </w:rPr>
              <w:t>通江一路（纬十三路）</w:t>
            </w:r>
          </w:p>
        </w:tc>
        <w:tc>
          <w:tcPr>
            <w:tcW w:w="1256" w:type="dxa"/>
          </w:tcPr>
          <w:p>
            <w:pPr>
              <w:pStyle w:val="TableParagraph"/>
              <w:spacing w:before="1"/>
              <w:rPr>
                <w:rFonts w:ascii="黑体"/>
                <w:sz w:val="15"/>
              </w:rPr>
            </w:pPr>
          </w:p>
          <w:p>
            <w:pPr>
              <w:pStyle w:val="TableParagraph"/>
              <w:spacing w:before="1"/>
              <w:ind w:left="152" w:right="152"/>
              <w:jc w:val="center"/>
              <w:rPr>
                <w:sz w:val="20"/>
              </w:rPr>
            </w:pPr>
            <w:r>
              <w:rPr>
                <w:sz w:val="20"/>
              </w:rPr>
              <w:t>2015-2016</w:t>
            </w:r>
          </w:p>
        </w:tc>
        <w:tc>
          <w:tcPr>
            <w:tcW w:w="3662" w:type="dxa"/>
          </w:tcPr>
          <w:p>
            <w:pPr>
              <w:pStyle w:val="TableParagraph"/>
              <w:spacing w:before="1"/>
              <w:rPr>
                <w:rFonts w:ascii="黑体"/>
                <w:sz w:val="15"/>
              </w:rPr>
            </w:pPr>
          </w:p>
          <w:p>
            <w:pPr>
              <w:pStyle w:val="TableParagraph"/>
              <w:spacing w:before="1"/>
              <w:ind w:left="924"/>
              <w:rPr>
                <w:sz w:val="20"/>
              </w:rPr>
            </w:pPr>
            <w:r>
              <w:rPr>
                <w:sz w:val="20"/>
              </w:rPr>
              <w:t>长 1000 米，宽 24 米</w:t>
            </w:r>
          </w:p>
        </w:tc>
        <w:tc>
          <w:tcPr>
            <w:tcW w:w="1058" w:type="dxa"/>
          </w:tcPr>
          <w:p>
            <w:pPr>
              <w:pStyle w:val="TableParagraph"/>
              <w:spacing w:before="1"/>
              <w:rPr>
                <w:rFonts w:ascii="黑体"/>
                <w:sz w:val="15"/>
              </w:rPr>
            </w:pPr>
          </w:p>
          <w:p>
            <w:pPr>
              <w:pStyle w:val="TableParagraph"/>
              <w:spacing w:before="1"/>
              <w:ind w:left="153" w:right="152"/>
              <w:jc w:val="center"/>
              <w:rPr>
                <w:sz w:val="20"/>
              </w:rPr>
            </w:pPr>
            <w:r>
              <w:rPr>
                <w:sz w:val="20"/>
              </w:rPr>
              <w:t>3500</w:t>
            </w:r>
          </w:p>
        </w:tc>
        <w:tc>
          <w:tcPr>
            <w:tcW w:w="1051" w:type="dxa"/>
          </w:tcPr>
          <w:p>
            <w:pPr>
              <w:pStyle w:val="TableParagraph"/>
              <w:spacing w:before="1"/>
              <w:rPr>
                <w:rFonts w:ascii="黑体"/>
                <w:sz w:val="15"/>
              </w:rPr>
            </w:pPr>
          </w:p>
          <w:p>
            <w:pPr>
              <w:pStyle w:val="TableParagraph"/>
              <w:spacing w:before="1"/>
              <w:ind w:left="220"/>
              <w:rPr>
                <w:sz w:val="20"/>
              </w:rPr>
            </w:pPr>
            <w:r>
              <w:rPr>
                <w:sz w:val="20"/>
              </w:rPr>
              <w:t>住建局</w:t>
            </w:r>
          </w:p>
        </w:tc>
      </w:tr>
      <w:tr>
        <w:trPr>
          <w:trHeight w:val="760" w:hRule="atLeast"/>
        </w:trPr>
        <w:tc>
          <w:tcPr>
            <w:tcW w:w="502" w:type="dxa"/>
          </w:tcPr>
          <w:p>
            <w:pPr>
              <w:pStyle w:val="TableParagraph"/>
              <w:spacing w:before="4"/>
              <w:rPr>
                <w:rFonts w:ascii="黑体"/>
                <w:sz w:val="17"/>
              </w:rPr>
            </w:pPr>
          </w:p>
          <w:p>
            <w:pPr>
              <w:pStyle w:val="TableParagraph"/>
              <w:ind w:left="125" w:right="125"/>
              <w:jc w:val="center"/>
              <w:rPr>
                <w:sz w:val="20"/>
              </w:rPr>
            </w:pPr>
            <w:r>
              <w:rPr>
                <w:sz w:val="20"/>
              </w:rPr>
              <w:t>32</w:t>
            </w:r>
          </w:p>
        </w:tc>
        <w:tc>
          <w:tcPr>
            <w:tcW w:w="2110" w:type="dxa"/>
          </w:tcPr>
          <w:p>
            <w:pPr>
              <w:pStyle w:val="TableParagraph"/>
              <w:spacing w:line="228" w:lineRule="exact"/>
              <w:ind w:left="99" w:right="100"/>
              <w:jc w:val="center"/>
              <w:rPr>
                <w:sz w:val="20"/>
              </w:rPr>
            </w:pPr>
            <w:r>
              <w:rPr>
                <w:sz w:val="20"/>
              </w:rPr>
              <w:t>中心路</w:t>
            </w:r>
          </w:p>
          <w:p>
            <w:pPr>
              <w:pStyle w:val="TableParagraph"/>
              <w:spacing w:line="237" w:lineRule="auto" w:before="1"/>
              <w:ind w:left="99" w:right="98"/>
              <w:jc w:val="center"/>
              <w:rPr>
                <w:sz w:val="20"/>
              </w:rPr>
            </w:pPr>
            <w:r>
              <w:rPr>
                <w:sz w:val="20"/>
              </w:rPr>
              <w:t>（凌志机械厂宿舍至新华四期回迁房）</w:t>
            </w:r>
          </w:p>
        </w:tc>
        <w:tc>
          <w:tcPr>
            <w:tcW w:w="1256" w:type="dxa"/>
          </w:tcPr>
          <w:p>
            <w:pPr>
              <w:pStyle w:val="TableParagraph"/>
              <w:spacing w:before="4"/>
              <w:rPr>
                <w:rFonts w:ascii="黑体"/>
                <w:sz w:val="17"/>
              </w:rPr>
            </w:pPr>
          </w:p>
          <w:p>
            <w:pPr>
              <w:pStyle w:val="TableParagraph"/>
              <w:ind w:left="152" w:right="152"/>
              <w:jc w:val="center"/>
              <w:rPr>
                <w:sz w:val="20"/>
              </w:rPr>
            </w:pPr>
            <w:r>
              <w:rPr>
                <w:sz w:val="20"/>
              </w:rPr>
              <w:t>2017</w:t>
            </w:r>
          </w:p>
        </w:tc>
        <w:tc>
          <w:tcPr>
            <w:tcW w:w="3662" w:type="dxa"/>
          </w:tcPr>
          <w:p>
            <w:pPr>
              <w:pStyle w:val="TableParagraph"/>
              <w:spacing w:before="4"/>
              <w:rPr>
                <w:rFonts w:ascii="黑体"/>
                <w:sz w:val="17"/>
              </w:rPr>
            </w:pPr>
          </w:p>
          <w:p>
            <w:pPr>
              <w:pStyle w:val="TableParagraph"/>
              <w:ind w:left="975"/>
              <w:rPr>
                <w:sz w:val="20"/>
              </w:rPr>
            </w:pPr>
            <w:r>
              <w:rPr>
                <w:sz w:val="20"/>
              </w:rPr>
              <w:t>长 300 米，宽 18 米</w:t>
            </w:r>
          </w:p>
        </w:tc>
        <w:tc>
          <w:tcPr>
            <w:tcW w:w="1058" w:type="dxa"/>
          </w:tcPr>
          <w:p>
            <w:pPr>
              <w:pStyle w:val="TableParagraph"/>
              <w:spacing w:before="4"/>
              <w:rPr>
                <w:rFonts w:ascii="黑体"/>
                <w:sz w:val="17"/>
              </w:rPr>
            </w:pPr>
          </w:p>
          <w:p>
            <w:pPr>
              <w:pStyle w:val="TableParagraph"/>
              <w:ind w:left="153" w:right="153"/>
              <w:jc w:val="center"/>
              <w:rPr>
                <w:sz w:val="20"/>
              </w:rPr>
            </w:pPr>
            <w:r>
              <w:rPr>
                <w:sz w:val="20"/>
              </w:rPr>
              <w:t>900</w:t>
            </w:r>
          </w:p>
        </w:tc>
        <w:tc>
          <w:tcPr>
            <w:tcW w:w="1051" w:type="dxa"/>
          </w:tcPr>
          <w:p>
            <w:pPr>
              <w:pStyle w:val="TableParagraph"/>
              <w:spacing w:before="4"/>
              <w:rPr>
                <w:rFonts w:ascii="黑体"/>
                <w:sz w:val="17"/>
              </w:rPr>
            </w:pPr>
          </w:p>
          <w:p>
            <w:pPr>
              <w:pStyle w:val="TableParagraph"/>
              <w:ind w:left="219"/>
              <w:rPr>
                <w:sz w:val="20"/>
              </w:rPr>
            </w:pPr>
            <w:r>
              <w:rPr>
                <w:sz w:val="20"/>
              </w:rPr>
              <w:t>住建局</w:t>
            </w:r>
          </w:p>
        </w:tc>
      </w:tr>
      <w:tr>
        <w:trPr>
          <w:trHeight w:val="720" w:hRule="atLeast"/>
        </w:trPr>
        <w:tc>
          <w:tcPr>
            <w:tcW w:w="502" w:type="dxa"/>
          </w:tcPr>
          <w:p>
            <w:pPr>
              <w:pStyle w:val="TableParagraph"/>
              <w:spacing w:before="1"/>
              <w:rPr>
                <w:rFonts w:ascii="黑体"/>
                <w:sz w:val="15"/>
              </w:rPr>
            </w:pPr>
          </w:p>
          <w:p>
            <w:pPr>
              <w:pStyle w:val="TableParagraph"/>
              <w:spacing w:before="1"/>
              <w:ind w:left="125" w:right="125"/>
              <w:jc w:val="center"/>
              <w:rPr>
                <w:sz w:val="20"/>
              </w:rPr>
            </w:pPr>
            <w:r>
              <w:rPr>
                <w:sz w:val="20"/>
              </w:rPr>
              <w:t>33</w:t>
            </w:r>
          </w:p>
        </w:tc>
        <w:tc>
          <w:tcPr>
            <w:tcW w:w="2110" w:type="dxa"/>
          </w:tcPr>
          <w:p>
            <w:pPr>
              <w:pStyle w:val="TableParagraph"/>
              <w:spacing w:before="68"/>
              <w:ind w:left="248" w:right="106" w:hanging="75"/>
              <w:rPr>
                <w:sz w:val="20"/>
              </w:rPr>
            </w:pPr>
            <w:r>
              <w:rPr>
                <w:sz w:val="20"/>
              </w:rPr>
              <w:t>冠英污水处理厂等 7 个乡镇污水处理厂</w:t>
            </w:r>
          </w:p>
        </w:tc>
        <w:tc>
          <w:tcPr>
            <w:tcW w:w="1256" w:type="dxa"/>
          </w:tcPr>
          <w:p>
            <w:pPr>
              <w:pStyle w:val="TableParagraph"/>
              <w:spacing w:before="1"/>
              <w:rPr>
                <w:rFonts w:ascii="黑体"/>
                <w:sz w:val="15"/>
              </w:rPr>
            </w:pPr>
          </w:p>
          <w:p>
            <w:pPr>
              <w:pStyle w:val="TableParagraph"/>
              <w:spacing w:before="1"/>
              <w:ind w:left="151" w:right="152"/>
              <w:jc w:val="center"/>
              <w:rPr>
                <w:sz w:val="20"/>
              </w:rPr>
            </w:pPr>
            <w:r>
              <w:rPr>
                <w:sz w:val="20"/>
              </w:rPr>
              <w:t>2015-2016</w:t>
            </w:r>
          </w:p>
        </w:tc>
        <w:tc>
          <w:tcPr>
            <w:tcW w:w="3662" w:type="dxa"/>
          </w:tcPr>
          <w:p>
            <w:pPr>
              <w:pStyle w:val="TableParagraph"/>
              <w:spacing w:before="68"/>
              <w:ind w:left="1725" w:right="107" w:hanging="1600"/>
              <w:rPr>
                <w:sz w:val="20"/>
              </w:rPr>
            </w:pPr>
            <w:r>
              <w:rPr>
                <w:spacing w:val="-8"/>
                <w:sz w:val="20"/>
              </w:rPr>
              <w:t>日处理能力约 </w:t>
            </w:r>
            <w:r>
              <w:rPr>
                <w:sz w:val="20"/>
              </w:rPr>
              <w:t>1.45</w:t>
            </w:r>
            <w:r>
              <w:rPr>
                <w:spacing w:val="-15"/>
                <w:sz w:val="20"/>
              </w:rPr>
              <w:t> 万吨，管网约 </w:t>
            </w:r>
            <w:r>
              <w:rPr>
                <w:sz w:val="20"/>
              </w:rPr>
              <w:t>76</w:t>
            </w:r>
            <w:r>
              <w:rPr>
                <w:spacing w:val="-27"/>
                <w:sz w:val="20"/>
              </w:rPr>
              <w:t> 公里</w:t>
            </w:r>
          </w:p>
        </w:tc>
        <w:tc>
          <w:tcPr>
            <w:tcW w:w="1058" w:type="dxa"/>
          </w:tcPr>
          <w:p>
            <w:pPr>
              <w:pStyle w:val="TableParagraph"/>
              <w:spacing w:before="1"/>
              <w:rPr>
                <w:rFonts w:ascii="黑体"/>
                <w:sz w:val="15"/>
              </w:rPr>
            </w:pPr>
          </w:p>
          <w:p>
            <w:pPr>
              <w:pStyle w:val="TableParagraph"/>
              <w:spacing w:before="1"/>
              <w:ind w:left="153" w:right="153"/>
              <w:jc w:val="center"/>
              <w:rPr>
                <w:sz w:val="20"/>
              </w:rPr>
            </w:pPr>
            <w:r>
              <w:rPr>
                <w:sz w:val="20"/>
              </w:rPr>
              <w:t>14000</w:t>
            </w:r>
          </w:p>
        </w:tc>
        <w:tc>
          <w:tcPr>
            <w:tcW w:w="1051" w:type="dxa"/>
          </w:tcPr>
          <w:p>
            <w:pPr>
              <w:pStyle w:val="TableParagraph"/>
              <w:spacing w:before="1"/>
              <w:rPr>
                <w:rFonts w:ascii="黑体"/>
                <w:sz w:val="15"/>
              </w:rPr>
            </w:pPr>
          </w:p>
          <w:p>
            <w:pPr>
              <w:pStyle w:val="TableParagraph"/>
              <w:spacing w:before="1"/>
              <w:ind w:left="219"/>
              <w:rPr>
                <w:sz w:val="20"/>
              </w:rPr>
            </w:pPr>
            <w:r>
              <w:rPr>
                <w:sz w:val="20"/>
              </w:rPr>
              <w:t>住建局</w:t>
            </w:r>
          </w:p>
        </w:tc>
      </w:tr>
      <w:tr>
        <w:trPr>
          <w:trHeight w:val="700" w:hRule="atLeast"/>
        </w:trPr>
        <w:tc>
          <w:tcPr>
            <w:tcW w:w="502" w:type="dxa"/>
          </w:tcPr>
          <w:p>
            <w:pPr>
              <w:pStyle w:val="TableParagraph"/>
              <w:spacing w:before="1"/>
              <w:rPr>
                <w:rFonts w:ascii="黑体"/>
                <w:sz w:val="15"/>
              </w:rPr>
            </w:pPr>
          </w:p>
          <w:p>
            <w:pPr>
              <w:pStyle w:val="TableParagraph"/>
              <w:spacing w:before="1"/>
              <w:ind w:left="125" w:right="125"/>
              <w:jc w:val="center"/>
              <w:rPr>
                <w:sz w:val="20"/>
              </w:rPr>
            </w:pPr>
            <w:r>
              <w:rPr>
                <w:sz w:val="20"/>
              </w:rPr>
              <w:t>34</w:t>
            </w:r>
          </w:p>
        </w:tc>
        <w:tc>
          <w:tcPr>
            <w:tcW w:w="2110" w:type="dxa"/>
          </w:tcPr>
          <w:p>
            <w:pPr>
              <w:pStyle w:val="TableParagraph"/>
              <w:spacing w:line="237" w:lineRule="auto" w:before="71"/>
              <w:ind w:left="848" w:right="-11" w:hanging="746"/>
              <w:rPr>
                <w:sz w:val="20"/>
              </w:rPr>
            </w:pPr>
            <w:r>
              <w:rPr>
                <w:spacing w:val="-3"/>
                <w:sz w:val="20"/>
              </w:rPr>
              <w:t>竹根片区</w:t>
            </w:r>
            <w:r>
              <w:rPr>
                <w:sz w:val="20"/>
              </w:rPr>
              <w:t>（含杨柳镇） 棚改</w:t>
            </w:r>
          </w:p>
        </w:tc>
        <w:tc>
          <w:tcPr>
            <w:tcW w:w="1256" w:type="dxa"/>
          </w:tcPr>
          <w:p>
            <w:pPr>
              <w:pStyle w:val="TableParagraph"/>
              <w:spacing w:before="1"/>
              <w:rPr>
                <w:rFonts w:ascii="黑体"/>
                <w:sz w:val="15"/>
              </w:rPr>
            </w:pPr>
          </w:p>
          <w:p>
            <w:pPr>
              <w:pStyle w:val="TableParagraph"/>
              <w:spacing w:before="1"/>
              <w:ind w:left="152" w:right="152"/>
              <w:jc w:val="center"/>
              <w:rPr>
                <w:sz w:val="20"/>
              </w:rPr>
            </w:pPr>
            <w:r>
              <w:rPr>
                <w:sz w:val="20"/>
              </w:rPr>
              <w:t>2016-2018</w:t>
            </w:r>
          </w:p>
        </w:tc>
        <w:tc>
          <w:tcPr>
            <w:tcW w:w="3662" w:type="dxa"/>
          </w:tcPr>
          <w:p>
            <w:pPr>
              <w:pStyle w:val="TableParagraph"/>
              <w:spacing w:before="1"/>
              <w:rPr>
                <w:rFonts w:ascii="黑体"/>
                <w:sz w:val="15"/>
              </w:rPr>
            </w:pPr>
          </w:p>
          <w:p>
            <w:pPr>
              <w:pStyle w:val="TableParagraph"/>
              <w:spacing w:before="1"/>
              <w:ind w:left="500"/>
              <w:rPr>
                <w:sz w:val="20"/>
              </w:rPr>
            </w:pPr>
            <w:r>
              <w:rPr>
                <w:sz w:val="20"/>
              </w:rPr>
              <w:t>2350 户改扩建和完善基础设施</w:t>
            </w:r>
          </w:p>
        </w:tc>
        <w:tc>
          <w:tcPr>
            <w:tcW w:w="1058" w:type="dxa"/>
          </w:tcPr>
          <w:p>
            <w:pPr>
              <w:pStyle w:val="TableParagraph"/>
              <w:spacing w:before="1"/>
              <w:rPr>
                <w:rFonts w:ascii="黑体"/>
                <w:sz w:val="15"/>
              </w:rPr>
            </w:pPr>
          </w:p>
          <w:p>
            <w:pPr>
              <w:pStyle w:val="TableParagraph"/>
              <w:spacing w:before="1"/>
              <w:ind w:left="153" w:right="152"/>
              <w:jc w:val="center"/>
              <w:rPr>
                <w:sz w:val="20"/>
              </w:rPr>
            </w:pPr>
            <w:r>
              <w:rPr>
                <w:sz w:val="20"/>
              </w:rPr>
              <w:t>14100</w:t>
            </w:r>
          </w:p>
        </w:tc>
        <w:tc>
          <w:tcPr>
            <w:tcW w:w="1051" w:type="dxa"/>
          </w:tcPr>
          <w:p>
            <w:pPr>
              <w:pStyle w:val="TableParagraph"/>
              <w:spacing w:before="1"/>
              <w:rPr>
                <w:rFonts w:ascii="黑体"/>
                <w:sz w:val="15"/>
              </w:rPr>
            </w:pPr>
          </w:p>
          <w:p>
            <w:pPr>
              <w:pStyle w:val="TableParagraph"/>
              <w:spacing w:before="1"/>
              <w:ind w:left="219"/>
              <w:rPr>
                <w:sz w:val="20"/>
              </w:rPr>
            </w:pPr>
            <w:r>
              <w:rPr>
                <w:sz w:val="20"/>
              </w:rPr>
              <w:t>住建局</w:t>
            </w:r>
          </w:p>
        </w:tc>
      </w:tr>
      <w:tr>
        <w:trPr>
          <w:trHeight w:val="700" w:hRule="atLeast"/>
        </w:trPr>
        <w:tc>
          <w:tcPr>
            <w:tcW w:w="502" w:type="dxa"/>
          </w:tcPr>
          <w:p>
            <w:pPr>
              <w:pStyle w:val="TableParagraph"/>
              <w:spacing w:before="1"/>
              <w:rPr>
                <w:rFonts w:ascii="黑体"/>
                <w:sz w:val="15"/>
              </w:rPr>
            </w:pPr>
          </w:p>
          <w:p>
            <w:pPr>
              <w:pStyle w:val="TableParagraph"/>
              <w:spacing w:before="1"/>
              <w:ind w:left="124" w:right="125"/>
              <w:jc w:val="center"/>
              <w:rPr>
                <w:sz w:val="20"/>
              </w:rPr>
            </w:pPr>
            <w:r>
              <w:rPr>
                <w:sz w:val="20"/>
              </w:rPr>
              <w:t>35</w:t>
            </w:r>
          </w:p>
        </w:tc>
        <w:tc>
          <w:tcPr>
            <w:tcW w:w="2110" w:type="dxa"/>
          </w:tcPr>
          <w:p>
            <w:pPr>
              <w:pStyle w:val="TableParagraph"/>
              <w:spacing w:before="1"/>
              <w:rPr>
                <w:rFonts w:ascii="黑体"/>
                <w:sz w:val="15"/>
              </w:rPr>
            </w:pPr>
          </w:p>
          <w:p>
            <w:pPr>
              <w:pStyle w:val="TableParagraph"/>
              <w:spacing w:before="1"/>
              <w:ind w:left="99" w:right="100"/>
              <w:jc w:val="center"/>
              <w:rPr>
                <w:sz w:val="20"/>
              </w:rPr>
            </w:pPr>
            <w:r>
              <w:rPr>
                <w:sz w:val="20"/>
              </w:rPr>
              <w:t>牛华片区棚改</w:t>
            </w:r>
          </w:p>
        </w:tc>
        <w:tc>
          <w:tcPr>
            <w:tcW w:w="1256" w:type="dxa"/>
          </w:tcPr>
          <w:p>
            <w:pPr>
              <w:pStyle w:val="TableParagraph"/>
              <w:spacing w:before="1"/>
              <w:rPr>
                <w:rFonts w:ascii="黑体"/>
                <w:sz w:val="15"/>
              </w:rPr>
            </w:pPr>
          </w:p>
          <w:p>
            <w:pPr>
              <w:pStyle w:val="TableParagraph"/>
              <w:spacing w:before="1"/>
              <w:ind w:left="151" w:right="152"/>
              <w:jc w:val="center"/>
              <w:rPr>
                <w:sz w:val="20"/>
              </w:rPr>
            </w:pPr>
            <w:r>
              <w:rPr>
                <w:sz w:val="20"/>
              </w:rPr>
              <w:t>2016-2018</w:t>
            </w:r>
          </w:p>
        </w:tc>
        <w:tc>
          <w:tcPr>
            <w:tcW w:w="3662" w:type="dxa"/>
          </w:tcPr>
          <w:p>
            <w:pPr>
              <w:pStyle w:val="TableParagraph"/>
              <w:spacing w:before="1"/>
              <w:rPr>
                <w:rFonts w:ascii="黑体"/>
                <w:sz w:val="15"/>
              </w:rPr>
            </w:pPr>
          </w:p>
          <w:p>
            <w:pPr>
              <w:pStyle w:val="TableParagraph"/>
              <w:spacing w:before="1"/>
              <w:ind w:left="500"/>
              <w:rPr>
                <w:sz w:val="20"/>
              </w:rPr>
            </w:pPr>
            <w:r>
              <w:rPr>
                <w:sz w:val="20"/>
              </w:rPr>
              <w:t>1773 户改扩建和完善基础设施</w:t>
            </w:r>
          </w:p>
        </w:tc>
        <w:tc>
          <w:tcPr>
            <w:tcW w:w="1058" w:type="dxa"/>
          </w:tcPr>
          <w:p>
            <w:pPr>
              <w:pStyle w:val="TableParagraph"/>
              <w:spacing w:before="1"/>
              <w:rPr>
                <w:rFonts w:ascii="黑体"/>
                <w:sz w:val="15"/>
              </w:rPr>
            </w:pPr>
          </w:p>
          <w:p>
            <w:pPr>
              <w:pStyle w:val="TableParagraph"/>
              <w:spacing w:before="1"/>
              <w:ind w:left="153" w:right="152"/>
              <w:jc w:val="center"/>
              <w:rPr>
                <w:sz w:val="20"/>
              </w:rPr>
            </w:pPr>
            <w:r>
              <w:rPr>
                <w:sz w:val="20"/>
              </w:rPr>
              <w:t>10600</w:t>
            </w:r>
          </w:p>
        </w:tc>
        <w:tc>
          <w:tcPr>
            <w:tcW w:w="1051" w:type="dxa"/>
          </w:tcPr>
          <w:p>
            <w:pPr>
              <w:pStyle w:val="TableParagraph"/>
              <w:spacing w:before="1"/>
              <w:rPr>
                <w:rFonts w:ascii="黑体"/>
                <w:sz w:val="15"/>
              </w:rPr>
            </w:pPr>
          </w:p>
          <w:p>
            <w:pPr>
              <w:pStyle w:val="TableParagraph"/>
              <w:spacing w:before="1"/>
              <w:ind w:left="220"/>
              <w:rPr>
                <w:sz w:val="20"/>
              </w:rPr>
            </w:pPr>
            <w:r>
              <w:rPr>
                <w:sz w:val="20"/>
              </w:rPr>
              <w:t>住建局</w:t>
            </w:r>
          </w:p>
        </w:tc>
      </w:tr>
      <w:tr>
        <w:trPr>
          <w:trHeight w:val="720" w:hRule="atLeast"/>
        </w:trPr>
        <w:tc>
          <w:tcPr>
            <w:tcW w:w="502" w:type="dxa"/>
          </w:tcPr>
          <w:p>
            <w:pPr>
              <w:pStyle w:val="TableParagraph"/>
              <w:spacing w:before="1"/>
              <w:rPr>
                <w:rFonts w:ascii="黑体"/>
                <w:sz w:val="15"/>
              </w:rPr>
            </w:pPr>
          </w:p>
          <w:p>
            <w:pPr>
              <w:pStyle w:val="TableParagraph"/>
              <w:spacing w:before="1"/>
              <w:ind w:left="124" w:right="125"/>
              <w:jc w:val="center"/>
              <w:rPr>
                <w:sz w:val="20"/>
              </w:rPr>
            </w:pPr>
            <w:r>
              <w:rPr>
                <w:sz w:val="20"/>
              </w:rPr>
              <w:t>36</w:t>
            </w:r>
          </w:p>
        </w:tc>
        <w:tc>
          <w:tcPr>
            <w:tcW w:w="2110" w:type="dxa"/>
          </w:tcPr>
          <w:p>
            <w:pPr>
              <w:pStyle w:val="TableParagraph"/>
              <w:spacing w:before="1"/>
              <w:rPr>
                <w:rFonts w:ascii="黑体"/>
                <w:sz w:val="15"/>
              </w:rPr>
            </w:pPr>
          </w:p>
          <w:p>
            <w:pPr>
              <w:pStyle w:val="TableParagraph"/>
              <w:spacing w:before="1"/>
              <w:ind w:left="99" w:right="100"/>
              <w:jc w:val="center"/>
              <w:rPr>
                <w:sz w:val="20"/>
              </w:rPr>
            </w:pPr>
            <w:r>
              <w:rPr>
                <w:sz w:val="20"/>
              </w:rPr>
              <w:t>金粟片区棚改</w:t>
            </w:r>
          </w:p>
        </w:tc>
        <w:tc>
          <w:tcPr>
            <w:tcW w:w="1256" w:type="dxa"/>
          </w:tcPr>
          <w:p>
            <w:pPr>
              <w:pStyle w:val="TableParagraph"/>
              <w:spacing w:before="1"/>
              <w:rPr>
                <w:rFonts w:ascii="黑体"/>
                <w:sz w:val="15"/>
              </w:rPr>
            </w:pPr>
          </w:p>
          <w:p>
            <w:pPr>
              <w:pStyle w:val="TableParagraph"/>
              <w:spacing w:before="1"/>
              <w:ind w:left="151" w:right="152"/>
              <w:jc w:val="center"/>
              <w:rPr>
                <w:sz w:val="20"/>
              </w:rPr>
            </w:pPr>
            <w:r>
              <w:rPr>
                <w:sz w:val="20"/>
              </w:rPr>
              <w:t>2016-2018</w:t>
            </w:r>
          </w:p>
        </w:tc>
        <w:tc>
          <w:tcPr>
            <w:tcW w:w="3662" w:type="dxa"/>
          </w:tcPr>
          <w:p>
            <w:pPr>
              <w:pStyle w:val="TableParagraph"/>
              <w:spacing w:before="1"/>
              <w:rPr>
                <w:rFonts w:ascii="黑体"/>
                <w:sz w:val="15"/>
              </w:rPr>
            </w:pPr>
          </w:p>
          <w:p>
            <w:pPr>
              <w:pStyle w:val="TableParagraph"/>
              <w:spacing w:before="1"/>
              <w:ind w:left="550"/>
              <w:rPr>
                <w:sz w:val="20"/>
              </w:rPr>
            </w:pPr>
            <w:r>
              <w:rPr>
                <w:sz w:val="20"/>
              </w:rPr>
              <w:t>720 户改扩建和完善基础设施</w:t>
            </w:r>
          </w:p>
        </w:tc>
        <w:tc>
          <w:tcPr>
            <w:tcW w:w="1058" w:type="dxa"/>
          </w:tcPr>
          <w:p>
            <w:pPr>
              <w:pStyle w:val="TableParagraph"/>
              <w:spacing w:before="1"/>
              <w:rPr>
                <w:rFonts w:ascii="黑体"/>
                <w:sz w:val="15"/>
              </w:rPr>
            </w:pPr>
          </w:p>
          <w:p>
            <w:pPr>
              <w:pStyle w:val="TableParagraph"/>
              <w:spacing w:before="1"/>
              <w:ind w:left="153" w:right="153"/>
              <w:jc w:val="center"/>
              <w:rPr>
                <w:sz w:val="20"/>
              </w:rPr>
            </w:pPr>
            <w:r>
              <w:rPr>
                <w:sz w:val="20"/>
              </w:rPr>
              <w:t>4300</w:t>
            </w:r>
          </w:p>
        </w:tc>
        <w:tc>
          <w:tcPr>
            <w:tcW w:w="1051" w:type="dxa"/>
          </w:tcPr>
          <w:p>
            <w:pPr>
              <w:pStyle w:val="TableParagraph"/>
              <w:spacing w:before="1"/>
              <w:rPr>
                <w:rFonts w:ascii="黑体"/>
                <w:sz w:val="15"/>
              </w:rPr>
            </w:pPr>
          </w:p>
          <w:p>
            <w:pPr>
              <w:pStyle w:val="TableParagraph"/>
              <w:spacing w:before="1"/>
              <w:ind w:left="219"/>
              <w:rPr>
                <w:sz w:val="20"/>
              </w:rPr>
            </w:pPr>
            <w:r>
              <w:rPr>
                <w:sz w:val="20"/>
              </w:rPr>
              <w:t>住建局</w:t>
            </w:r>
          </w:p>
        </w:tc>
      </w:tr>
      <w:tr>
        <w:trPr>
          <w:trHeight w:val="700" w:hRule="atLeast"/>
        </w:trPr>
        <w:tc>
          <w:tcPr>
            <w:tcW w:w="502" w:type="dxa"/>
          </w:tcPr>
          <w:p>
            <w:pPr>
              <w:pStyle w:val="TableParagraph"/>
              <w:spacing w:before="1"/>
              <w:rPr>
                <w:rFonts w:ascii="黑体"/>
                <w:sz w:val="15"/>
              </w:rPr>
            </w:pPr>
          </w:p>
          <w:p>
            <w:pPr>
              <w:pStyle w:val="TableParagraph"/>
              <w:spacing w:before="1"/>
              <w:ind w:left="125" w:right="125"/>
              <w:jc w:val="center"/>
              <w:rPr>
                <w:sz w:val="20"/>
              </w:rPr>
            </w:pPr>
            <w:r>
              <w:rPr>
                <w:sz w:val="20"/>
              </w:rPr>
              <w:t>37</w:t>
            </w:r>
          </w:p>
        </w:tc>
        <w:tc>
          <w:tcPr>
            <w:tcW w:w="2110" w:type="dxa"/>
          </w:tcPr>
          <w:p>
            <w:pPr>
              <w:pStyle w:val="TableParagraph"/>
              <w:spacing w:before="1"/>
              <w:rPr>
                <w:rFonts w:ascii="黑体"/>
                <w:sz w:val="15"/>
              </w:rPr>
            </w:pPr>
          </w:p>
          <w:p>
            <w:pPr>
              <w:pStyle w:val="TableParagraph"/>
              <w:spacing w:before="1"/>
              <w:ind w:left="99" w:right="99"/>
              <w:jc w:val="center"/>
              <w:rPr>
                <w:sz w:val="20"/>
              </w:rPr>
            </w:pPr>
            <w:r>
              <w:rPr>
                <w:sz w:val="20"/>
              </w:rPr>
              <w:t>麻</w:t>
            </w:r>
            <w:r>
              <w:rPr>
                <w:spacing w:val="-100"/>
                <w:sz w:val="20"/>
              </w:rPr>
              <w:t> </w:t>
            </w:r>
            <w:r>
              <w:rPr>
                <w:spacing w:val="-2"/>
                <w:w w:val="100"/>
                <w:sz w:val="20"/>
              </w:rPr>
              <w:drawing>
                <wp:inline distT="0" distB="0" distL="0" distR="0">
                  <wp:extent cx="127794" cy="124015"/>
                  <wp:effectExtent l="0" t="0" r="0" b="0"/>
                  <wp:docPr id="31" name="image16.png" descr=""/>
                  <wp:cNvGraphicFramePr>
                    <a:graphicFrameLocks noChangeAspect="1"/>
                  </wp:cNvGraphicFramePr>
                  <a:graphic>
                    <a:graphicData uri="http://schemas.openxmlformats.org/drawingml/2006/picture">
                      <pic:pic>
                        <pic:nvPicPr>
                          <pic:cNvPr id="32" name="image16.png"/>
                          <pic:cNvPicPr/>
                        </pic:nvPicPr>
                        <pic:blipFill>
                          <a:blip r:embed="rId29" cstate="print"/>
                          <a:stretch>
                            <a:fillRect/>
                          </a:stretch>
                        </pic:blipFill>
                        <pic:spPr>
                          <a:xfrm>
                            <a:off x="0" y="0"/>
                            <a:ext cx="127794" cy="124015"/>
                          </a:xfrm>
                          <a:prstGeom prst="rect">
                            <a:avLst/>
                          </a:prstGeom>
                        </pic:spPr>
                      </pic:pic>
                    </a:graphicData>
                  </a:graphic>
                </wp:inline>
              </w:drawing>
            </w:r>
            <w:r>
              <w:rPr>
                <w:spacing w:val="-2"/>
                <w:w w:val="100"/>
                <w:sz w:val="20"/>
              </w:rPr>
            </w:r>
            <w:r>
              <w:rPr>
                <w:spacing w:val="-1"/>
                <w:sz w:val="20"/>
              </w:rPr>
              <w:t>片区保障房</w:t>
            </w:r>
          </w:p>
        </w:tc>
        <w:tc>
          <w:tcPr>
            <w:tcW w:w="1256" w:type="dxa"/>
          </w:tcPr>
          <w:p>
            <w:pPr>
              <w:pStyle w:val="TableParagraph"/>
              <w:spacing w:before="1"/>
              <w:rPr>
                <w:rFonts w:ascii="黑体"/>
                <w:sz w:val="15"/>
              </w:rPr>
            </w:pPr>
          </w:p>
          <w:p>
            <w:pPr>
              <w:pStyle w:val="TableParagraph"/>
              <w:spacing w:before="1"/>
              <w:ind w:left="152" w:right="152"/>
              <w:jc w:val="center"/>
              <w:rPr>
                <w:sz w:val="20"/>
              </w:rPr>
            </w:pPr>
            <w:r>
              <w:rPr>
                <w:sz w:val="20"/>
              </w:rPr>
              <w:t>2015-2018</w:t>
            </w:r>
          </w:p>
        </w:tc>
        <w:tc>
          <w:tcPr>
            <w:tcW w:w="3662" w:type="dxa"/>
          </w:tcPr>
          <w:p>
            <w:pPr>
              <w:pStyle w:val="TableParagraph"/>
              <w:spacing w:before="1"/>
              <w:rPr>
                <w:rFonts w:ascii="黑体"/>
                <w:sz w:val="15"/>
              </w:rPr>
            </w:pPr>
          </w:p>
          <w:p>
            <w:pPr>
              <w:pStyle w:val="TableParagraph"/>
              <w:spacing w:before="1"/>
              <w:ind w:left="774"/>
              <w:rPr>
                <w:sz w:val="20"/>
              </w:rPr>
            </w:pPr>
            <w:r>
              <w:rPr>
                <w:sz w:val="20"/>
              </w:rPr>
              <w:t>建筑面积 12.6 万平方米</w:t>
            </w:r>
          </w:p>
        </w:tc>
        <w:tc>
          <w:tcPr>
            <w:tcW w:w="1058" w:type="dxa"/>
          </w:tcPr>
          <w:p>
            <w:pPr>
              <w:pStyle w:val="TableParagraph"/>
              <w:spacing w:before="1"/>
              <w:rPr>
                <w:rFonts w:ascii="黑体"/>
                <w:sz w:val="15"/>
              </w:rPr>
            </w:pPr>
          </w:p>
          <w:p>
            <w:pPr>
              <w:pStyle w:val="TableParagraph"/>
              <w:spacing w:before="1"/>
              <w:ind w:left="153" w:right="150"/>
              <w:jc w:val="center"/>
              <w:rPr>
                <w:sz w:val="20"/>
              </w:rPr>
            </w:pPr>
            <w:r>
              <w:rPr>
                <w:sz w:val="20"/>
              </w:rPr>
              <w:t>31800</w:t>
            </w:r>
          </w:p>
        </w:tc>
        <w:tc>
          <w:tcPr>
            <w:tcW w:w="1051" w:type="dxa"/>
          </w:tcPr>
          <w:p>
            <w:pPr>
              <w:pStyle w:val="TableParagraph"/>
              <w:spacing w:before="1"/>
              <w:rPr>
                <w:rFonts w:ascii="黑体"/>
                <w:sz w:val="15"/>
              </w:rPr>
            </w:pPr>
          </w:p>
          <w:p>
            <w:pPr>
              <w:pStyle w:val="TableParagraph"/>
              <w:spacing w:before="1"/>
              <w:ind w:left="220"/>
              <w:rPr>
                <w:sz w:val="20"/>
              </w:rPr>
            </w:pPr>
            <w:r>
              <w:rPr>
                <w:sz w:val="20"/>
              </w:rPr>
              <w:t>住建局</w:t>
            </w:r>
          </w:p>
        </w:tc>
      </w:tr>
      <w:tr>
        <w:trPr>
          <w:trHeight w:val="700" w:hRule="atLeast"/>
        </w:trPr>
        <w:tc>
          <w:tcPr>
            <w:tcW w:w="502" w:type="dxa"/>
          </w:tcPr>
          <w:p>
            <w:pPr>
              <w:pStyle w:val="TableParagraph"/>
              <w:spacing w:before="1"/>
              <w:rPr>
                <w:rFonts w:ascii="黑体"/>
                <w:sz w:val="15"/>
              </w:rPr>
            </w:pPr>
          </w:p>
          <w:p>
            <w:pPr>
              <w:pStyle w:val="TableParagraph"/>
              <w:spacing w:before="1"/>
              <w:ind w:left="124" w:right="125"/>
              <w:jc w:val="center"/>
              <w:rPr>
                <w:sz w:val="20"/>
              </w:rPr>
            </w:pPr>
            <w:r>
              <w:rPr>
                <w:sz w:val="20"/>
              </w:rPr>
              <w:t>38</w:t>
            </w:r>
          </w:p>
        </w:tc>
        <w:tc>
          <w:tcPr>
            <w:tcW w:w="2110" w:type="dxa"/>
          </w:tcPr>
          <w:p>
            <w:pPr>
              <w:pStyle w:val="TableParagraph"/>
              <w:spacing w:before="1"/>
              <w:rPr>
                <w:rFonts w:ascii="黑体"/>
                <w:sz w:val="15"/>
              </w:rPr>
            </w:pPr>
          </w:p>
          <w:p>
            <w:pPr>
              <w:pStyle w:val="TableParagraph"/>
              <w:spacing w:before="1"/>
              <w:ind w:left="99" w:right="101"/>
              <w:jc w:val="center"/>
              <w:rPr>
                <w:sz w:val="20"/>
              </w:rPr>
            </w:pPr>
            <w:r>
              <w:rPr>
                <w:sz w:val="20"/>
              </w:rPr>
              <w:t>川釜锅炉片区棚改</w:t>
            </w:r>
          </w:p>
        </w:tc>
        <w:tc>
          <w:tcPr>
            <w:tcW w:w="1256" w:type="dxa"/>
          </w:tcPr>
          <w:p>
            <w:pPr>
              <w:pStyle w:val="TableParagraph"/>
              <w:spacing w:before="1"/>
              <w:rPr>
                <w:rFonts w:ascii="黑体"/>
                <w:sz w:val="15"/>
              </w:rPr>
            </w:pPr>
          </w:p>
          <w:p>
            <w:pPr>
              <w:pStyle w:val="TableParagraph"/>
              <w:spacing w:before="1"/>
              <w:ind w:left="152" w:right="152"/>
              <w:jc w:val="center"/>
              <w:rPr>
                <w:sz w:val="20"/>
              </w:rPr>
            </w:pPr>
            <w:r>
              <w:rPr>
                <w:sz w:val="20"/>
              </w:rPr>
              <w:t>2017-2019</w:t>
            </w:r>
          </w:p>
        </w:tc>
        <w:tc>
          <w:tcPr>
            <w:tcW w:w="3662" w:type="dxa"/>
          </w:tcPr>
          <w:p>
            <w:pPr>
              <w:pStyle w:val="TableParagraph"/>
              <w:spacing w:before="1"/>
              <w:rPr>
                <w:rFonts w:ascii="黑体"/>
                <w:sz w:val="15"/>
              </w:rPr>
            </w:pPr>
          </w:p>
          <w:p>
            <w:pPr>
              <w:pStyle w:val="TableParagraph"/>
              <w:spacing w:before="1"/>
              <w:ind w:left="1024"/>
              <w:rPr>
                <w:sz w:val="20"/>
              </w:rPr>
            </w:pPr>
            <w:r>
              <w:rPr>
                <w:sz w:val="20"/>
              </w:rPr>
              <w:t>432 套，面积约 4.46</w:t>
            </w:r>
          </w:p>
        </w:tc>
        <w:tc>
          <w:tcPr>
            <w:tcW w:w="1058" w:type="dxa"/>
          </w:tcPr>
          <w:p>
            <w:pPr>
              <w:pStyle w:val="TableParagraph"/>
              <w:spacing w:before="1"/>
              <w:rPr>
                <w:rFonts w:ascii="黑体"/>
                <w:sz w:val="15"/>
              </w:rPr>
            </w:pPr>
          </w:p>
          <w:p>
            <w:pPr>
              <w:pStyle w:val="TableParagraph"/>
              <w:spacing w:before="1"/>
              <w:ind w:left="153" w:right="152"/>
              <w:jc w:val="center"/>
              <w:rPr>
                <w:sz w:val="20"/>
              </w:rPr>
            </w:pPr>
            <w:r>
              <w:rPr>
                <w:sz w:val="20"/>
              </w:rPr>
              <w:t>14300</w:t>
            </w:r>
          </w:p>
        </w:tc>
        <w:tc>
          <w:tcPr>
            <w:tcW w:w="1051" w:type="dxa"/>
          </w:tcPr>
          <w:p>
            <w:pPr>
              <w:pStyle w:val="TableParagraph"/>
              <w:spacing w:before="1"/>
              <w:rPr>
                <w:rFonts w:ascii="黑体"/>
                <w:sz w:val="15"/>
              </w:rPr>
            </w:pPr>
          </w:p>
          <w:p>
            <w:pPr>
              <w:pStyle w:val="TableParagraph"/>
              <w:spacing w:before="1"/>
              <w:ind w:left="220"/>
              <w:rPr>
                <w:sz w:val="20"/>
              </w:rPr>
            </w:pPr>
            <w:r>
              <w:rPr>
                <w:sz w:val="20"/>
              </w:rPr>
              <w:t>住建局</w:t>
            </w:r>
          </w:p>
        </w:tc>
      </w:tr>
      <w:tr>
        <w:trPr>
          <w:trHeight w:val="720" w:hRule="atLeast"/>
        </w:trPr>
        <w:tc>
          <w:tcPr>
            <w:tcW w:w="502" w:type="dxa"/>
          </w:tcPr>
          <w:p>
            <w:pPr>
              <w:pStyle w:val="TableParagraph"/>
              <w:spacing w:before="1"/>
              <w:rPr>
                <w:rFonts w:ascii="黑体"/>
                <w:sz w:val="15"/>
              </w:rPr>
            </w:pPr>
          </w:p>
          <w:p>
            <w:pPr>
              <w:pStyle w:val="TableParagraph"/>
              <w:spacing w:before="1"/>
              <w:ind w:left="125" w:right="125"/>
              <w:jc w:val="center"/>
              <w:rPr>
                <w:sz w:val="20"/>
              </w:rPr>
            </w:pPr>
            <w:r>
              <w:rPr>
                <w:sz w:val="20"/>
              </w:rPr>
              <w:t>39</w:t>
            </w:r>
          </w:p>
        </w:tc>
        <w:tc>
          <w:tcPr>
            <w:tcW w:w="2110" w:type="dxa"/>
          </w:tcPr>
          <w:p>
            <w:pPr>
              <w:pStyle w:val="TableParagraph"/>
              <w:spacing w:before="68"/>
              <w:ind w:left="748" w:right="131" w:hanging="600"/>
              <w:rPr>
                <w:sz w:val="20"/>
              </w:rPr>
            </w:pPr>
            <w:r>
              <w:rPr>
                <w:sz w:val="20"/>
              </w:rPr>
              <w:t>王爷庙片区回迁房工程项目</w:t>
            </w:r>
          </w:p>
        </w:tc>
        <w:tc>
          <w:tcPr>
            <w:tcW w:w="1256" w:type="dxa"/>
          </w:tcPr>
          <w:p>
            <w:pPr>
              <w:pStyle w:val="TableParagraph"/>
              <w:spacing w:before="1"/>
              <w:rPr>
                <w:rFonts w:ascii="黑体"/>
                <w:sz w:val="15"/>
              </w:rPr>
            </w:pPr>
          </w:p>
          <w:p>
            <w:pPr>
              <w:pStyle w:val="TableParagraph"/>
              <w:spacing w:before="1"/>
              <w:ind w:left="152" w:right="152"/>
              <w:jc w:val="center"/>
              <w:rPr>
                <w:sz w:val="20"/>
              </w:rPr>
            </w:pPr>
            <w:r>
              <w:rPr>
                <w:sz w:val="20"/>
              </w:rPr>
              <w:t>2015-2017</w:t>
            </w:r>
          </w:p>
        </w:tc>
        <w:tc>
          <w:tcPr>
            <w:tcW w:w="3662" w:type="dxa"/>
          </w:tcPr>
          <w:p>
            <w:pPr>
              <w:pStyle w:val="TableParagraph"/>
              <w:spacing w:before="1"/>
              <w:rPr>
                <w:rFonts w:ascii="黑体"/>
                <w:sz w:val="15"/>
              </w:rPr>
            </w:pPr>
          </w:p>
          <w:p>
            <w:pPr>
              <w:pStyle w:val="TableParagraph"/>
              <w:spacing w:before="1"/>
              <w:ind w:left="774"/>
              <w:rPr>
                <w:sz w:val="20"/>
              </w:rPr>
            </w:pPr>
            <w:r>
              <w:rPr>
                <w:sz w:val="20"/>
              </w:rPr>
              <w:t>建筑面积 10.7 万平方米</w:t>
            </w:r>
          </w:p>
        </w:tc>
        <w:tc>
          <w:tcPr>
            <w:tcW w:w="1058" w:type="dxa"/>
          </w:tcPr>
          <w:p>
            <w:pPr>
              <w:pStyle w:val="TableParagraph"/>
              <w:spacing w:before="1"/>
              <w:rPr>
                <w:rFonts w:ascii="黑体"/>
                <w:sz w:val="15"/>
              </w:rPr>
            </w:pPr>
          </w:p>
          <w:p>
            <w:pPr>
              <w:pStyle w:val="TableParagraph"/>
              <w:spacing w:before="1"/>
              <w:ind w:left="153" w:right="151"/>
              <w:jc w:val="center"/>
              <w:rPr>
                <w:sz w:val="20"/>
              </w:rPr>
            </w:pPr>
            <w:r>
              <w:rPr>
                <w:sz w:val="20"/>
              </w:rPr>
              <w:t>35400</w:t>
            </w:r>
          </w:p>
        </w:tc>
        <w:tc>
          <w:tcPr>
            <w:tcW w:w="1051" w:type="dxa"/>
          </w:tcPr>
          <w:p>
            <w:pPr>
              <w:pStyle w:val="TableParagraph"/>
              <w:spacing w:before="1"/>
              <w:rPr>
                <w:rFonts w:ascii="黑体"/>
                <w:sz w:val="15"/>
              </w:rPr>
            </w:pPr>
          </w:p>
          <w:p>
            <w:pPr>
              <w:pStyle w:val="TableParagraph"/>
              <w:spacing w:before="1"/>
              <w:ind w:left="220"/>
              <w:rPr>
                <w:sz w:val="20"/>
              </w:rPr>
            </w:pPr>
            <w:r>
              <w:rPr>
                <w:sz w:val="20"/>
              </w:rPr>
              <w:t>住建局</w:t>
            </w:r>
          </w:p>
        </w:tc>
      </w:tr>
      <w:tr>
        <w:trPr>
          <w:trHeight w:val="1380" w:hRule="atLeast"/>
        </w:trPr>
        <w:tc>
          <w:tcPr>
            <w:tcW w:w="502" w:type="dxa"/>
          </w:tcPr>
          <w:p>
            <w:pPr>
              <w:pStyle w:val="TableParagraph"/>
              <w:rPr>
                <w:rFonts w:ascii="黑体"/>
                <w:sz w:val="20"/>
              </w:rPr>
            </w:pPr>
          </w:p>
          <w:p>
            <w:pPr>
              <w:pStyle w:val="TableParagraph"/>
              <w:spacing w:before="1"/>
              <w:rPr>
                <w:rFonts w:ascii="黑体"/>
                <w:sz w:val="21"/>
              </w:rPr>
            </w:pPr>
          </w:p>
          <w:p>
            <w:pPr>
              <w:pStyle w:val="TableParagraph"/>
              <w:ind w:left="125" w:right="125"/>
              <w:jc w:val="center"/>
              <w:rPr>
                <w:sz w:val="20"/>
              </w:rPr>
            </w:pPr>
            <w:r>
              <w:rPr>
                <w:sz w:val="20"/>
              </w:rPr>
              <w:t>40</w:t>
            </w:r>
          </w:p>
        </w:tc>
        <w:tc>
          <w:tcPr>
            <w:tcW w:w="2110" w:type="dxa"/>
          </w:tcPr>
          <w:p>
            <w:pPr>
              <w:pStyle w:val="TableParagraph"/>
              <w:spacing w:before="3"/>
              <w:rPr>
                <w:rFonts w:ascii="黑体"/>
                <w:sz w:val="21"/>
              </w:rPr>
            </w:pPr>
          </w:p>
          <w:p>
            <w:pPr>
              <w:pStyle w:val="TableParagraph"/>
              <w:spacing w:line="260" w:lineRule="exact"/>
              <w:ind w:left="148"/>
              <w:rPr>
                <w:sz w:val="20"/>
              </w:rPr>
            </w:pPr>
            <w:r>
              <w:rPr>
                <w:sz w:val="20"/>
              </w:rPr>
              <w:t>牛华镇巴岩井回迁房</w:t>
            </w:r>
          </w:p>
          <w:p>
            <w:pPr>
              <w:pStyle w:val="TableParagraph"/>
              <w:spacing w:line="237" w:lineRule="auto"/>
              <w:ind w:left="848" w:right="131" w:hanging="700"/>
              <w:rPr>
                <w:sz w:val="20"/>
              </w:rPr>
            </w:pPr>
            <w:r>
              <w:rPr>
                <w:sz w:val="20"/>
              </w:rPr>
              <w:t>（棚户区改造）工程项目</w:t>
            </w:r>
          </w:p>
        </w:tc>
        <w:tc>
          <w:tcPr>
            <w:tcW w:w="1256" w:type="dxa"/>
          </w:tcPr>
          <w:p>
            <w:pPr>
              <w:pStyle w:val="TableParagraph"/>
              <w:rPr>
                <w:rFonts w:ascii="黑体"/>
                <w:sz w:val="20"/>
              </w:rPr>
            </w:pPr>
          </w:p>
          <w:p>
            <w:pPr>
              <w:pStyle w:val="TableParagraph"/>
              <w:spacing w:before="1"/>
              <w:rPr>
                <w:rFonts w:ascii="黑体"/>
                <w:sz w:val="21"/>
              </w:rPr>
            </w:pPr>
          </w:p>
          <w:p>
            <w:pPr>
              <w:pStyle w:val="TableParagraph"/>
              <w:ind w:left="151" w:right="152"/>
              <w:jc w:val="center"/>
              <w:rPr>
                <w:sz w:val="20"/>
              </w:rPr>
            </w:pPr>
            <w:r>
              <w:rPr>
                <w:sz w:val="20"/>
              </w:rPr>
              <w:t>2014-2018</w:t>
            </w:r>
          </w:p>
        </w:tc>
        <w:tc>
          <w:tcPr>
            <w:tcW w:w="3662" w:type="dxa"/>
          </w:tcPr>
          <w:p>
            <w:pPr>
              <w:pStyle w:val="TableParagraph"/>
              <w:rPr>
                <w:rFonts w:ascii="黑体"/>
                <w:sz w:val="20"/>
              </w:rPr>
            </w:pPr>
          </w:p>
          <w:p>
            <w:pPr>
              <w:pStyle w:val="TableParagraph"/>
              <w:spacing w:line="260" w:lineRule="exact" w:before="146"/>
              <w:ind w:left="225"/>
              <w:rPr>
                <w:sz w:val="20"/>
              </w:rPr>
            </w:pPr>
            <w:r>
              <w:rPr>
                <w:sz w:val="20"/>
              </w:rPr>
              <w:t>新建还迁安置房 465 套，建筑占地约</w:t>
            </w:r>
          </w:p>
          <w:p>
            <w:pPr>
              <w:pStyle w:val="TableParagraph"/>
              <w:spacing w:line="260" w:lineRule="exact"/>
              <w:ind w:left="300"/>
              <w:rPr>
                <w:sz w:val="20"/>
              </w:rPr>
            </w:pPr>
            <w:r>
              <w:rPr>
                <w:sz w:val="20"/>
              </w:rPr>
              <w:t>37.2 亩，建筑面积约 45502 平方米</w:t>
            </w:r>
          </w:p>
        </w:tc>
        <w:tc>
          <w:tcPr>
            <w:tcW w:w="1058" w:type="dxa"/>
          </w:tcPr>
          <w:p>
            <w:pPr>
              <w:pStyle w:val="TableParagraph"/>
              <w:rPr>
                <w:rFonts w:ascii="黑体"/>
                <w:sz w:val="20"/>
              </w:rPr>
            </w:pPr>
          </w:p>
          <w:p>
            <w:pPr>
              <w:pStyle w:val="TableParagraph"/>
              <w:spacing w:before="1"/>
              <w:rPr>
                <w:rFonts w:ascii="黑体"/>
                <w:sz w:val="21"/>
              </w:rPr>
            </w:pPr>
          </w:p>
          <w:p>
            <w:pPr>
              <w:pStyle w:val="TableParagraph"/>
              <w:ind w:left="153" w:right="153"/>
              <w:jc w:val="center"/>
              <w:rPr>
                <w:sz w:val="20"/>
              </w:rPr>
            </w:pPr>
            <w:r>
              <w:rPr>
                <w:sz w:val="20"/>
              </w:rPr>
              <w:t>20800</w:t>
            </w:r>
          </w:p>
        </w:tc>
        <w:tc>
          <w:tcPr>
            <w:tcW w:w="1051" w:type="dxa"/>
          </w:tcPr>
          <w:p>
            <w:pPr>
              <w:pStyle w:val="TableParagraph"/>
              <w:rPr>
                <w:rFonts w:ascii="黑体"/>
                <w:sz w:val="20"/>
              </w:rPr>
            </w:pPr>
          </w:p>
          <w:p>
            <w:pPr>
              <w:pStyle w:val="TableParagraph"/>
              <w:spacing w:before="1"/>
              <w:rPr>
                <w:rFonts w:ascii="黑体"/>
                <w:sz w:val="21"/>
              </w:rPr>
            </w:pPr>
          </w:p>
          <w:p>
            <w:pPr>
              <w:pStyle w:val="TableParagraph"/>
              <w:ind w:left="219"/>
              <w:rPr>
                <w:sz w:val="20"/>
              </w:rPr>
            </w:pPr>
            <w:r>
              <w:rPr>
                <w:sz w:val="20"/>
              </w:rPr>
              <w:t>住建局</w:t>
            </w:r>
          </w:p>
        </w:tc>
      </w:tr>
      <w:tr>
        <w:trPr>
          <w:trHeight w:val="700" w:hRule="atLeast"/>
        </w:trPr>
        <w:tc>
          <w:tcPr>
            <w:tcW w:w="502" w:type="dxa"/>
          </w:tcPr>
          <w:p>
            <w:pPr>
              <w:pStyle w:val="TableParagraph"/>
              <w:spacing w:before="1"/>
              <w:rPr>
                <w:rFonts w:ascii="黑体"/>
                <w:sz w:val="15"/>
              </w:rPr>
            </w:pPr>
          </w:p>
          <w:p>
            <w:pPr>
              <w:pStyle w:val="TableParagraph"/>
              <w:spacing w:before="1"/>
              <w:ind w:left="124" w:right="125"/>
              <w:jc w:val="center"/>
              <w:rPr>
                <w:sz w:val="20"/>
              </w:rPr>
            </w:pPr>
            <w:r>
              <w:rPr>
                <w:sz w:val="20"/>
              </w:rPr>
              <w:t>41</w:t>
            </w:r>
          </w:p>
        </w:tc>
        <w:tc>
          <w:tcPr>
            <w:tcW w:w="2110" w:type="dxa"/>
          </w:tcPr>
          <w:p>
            <w:pPr>
              <w:pStyle w:val="TableParagraph"/>
              <w:spacing w:before="1"/>
              <w:rPr>
                <w:rFonts w:ascii="黑体"/>
                <w:sz w:val="15"/>
              </w:rPr>
            </w:pPr>
          </w:p>
          <w:p>
            <w:pPr>
              <w:pStyle w:val="TableParagraph"/>
              <w:spacing w:before="1"/>
              <w:ind w:left="99" w:right="102"/>
              <w:jc w:val="center"/>
              <w:rPr>
                <w:sz w:val="20"/>
              </w:rPr>
            </w:pPr>
            <w:r>
              <w:rPr>
                <w:sz w:val="20"/>
              </w:rPr>
              <w:t>川康片区一期棚改</w:t>
            </w:r>
          </w:p>
        </w:tc>
        <w:tc>
          <w:tcPr>
            <w:tcW w:w="1256" w:type="dxa"/>
          </w:tcPr>
          <w:p>
            <w:pPr>
              <w:pStyle w:val="TableParagraph"/>
              <w:spacing w:before="1"/>
              <w:rPr>
                <w:rFonts w:ascii="黑体"/>
                <w:sz w:val="15"/>
              </w:rPr>
            </w:pPr>
          </w:p>
          <w:p>
            <w:pPr>
              <w:pStyle w:val="TableParagraph"/>
              <w:spacing w:before="1"/>
              <w:ind w:left="151" w:right="152"/>
              <w:jc w:val="center"/>
              <w:rPr>
                <w:sz w:val="20"/>
              </w:rPr>
            </w:pPr>
            <w:r>
              <w:rPr>
                <w:sz w:val="20"/>
              </w:rPr>
              <w:t>2016-2018</w:t>
            </w:r>
          </w:p>
        </w:tc>
        <w:tc>
          <w:tcPr>
            <w:tcW w:w="3662" w:type="dxa"/>
          </w:tcPr>
          <w:p>
            <w:pPr>
              <w:pStyle w:val="TableParagraph"/>
              <w:spacing w:before="1"/>
              <w:rPr>
                <w:rFonts w:ascii="黑体"/>
                <w:sz w:val="15"/>
              </w:rPr>
            </w:pPr>
          </w:p>
          <w:p>
            <w:pPr>
              <w:pStyle w:val="TableParagraph"/>
              <w:spacing w:before="1"/>
              <w:ind w:left="599"/>
              <w:rPr>
                <w:sz w:val="20"/>
              </w:rPr>
            </w:pPr>
            <w:r>
              <w:rPr>
                <w:sz w:val="20"/>
              </w:rPr>
              <w:t>463 户，面积 2.98 万平方米</w:t>
            </w:r>
          </w:p>
        </w:tc>
        <w:tc>
          <w:tcPr>
            <w:tcW w:w="1058" w:type="dxa"/>
          </w:tcPr>
          <w:p>
            <w:pPr>
              <w:pStyle w:val="TableParagraph"/>
              <w:spacing w:before="1"/>
              <w:rPr>
                <w:rFonts w:ascii="黑体"/>
                <w:sz w:val="15"/>
              </w:rPr>
            </w:pPr>
          </w:p>
          <w:p>
            <w:pPr>
              <w:pStyle w:val="TableParagraph"/>
              <w:spacing w:before="1"/>
              <w:ind w:left="153" w:right="153"/>
              <w:jc w:val="center"/>
              <w:rPr>
                <w:sz w:val="20"/>
              </w:rPr>
            </w:pPr>
            <w:r>
              <w:rPr>
                <w:sz w:val="20"/>
              </w:rPr>
              <w:t>7500</w:t>
            </w:r>
          </w:p>
        </w:tc>
        <w:tc>
          <w:tcPr>
            <w:tcW w:w="1051" w:type="dxa"/>
          </w:tcPr>
          <w:p>
            <w:pPr>
              <w:pStyle w:val="TableParagraph"/>
              <w:spacing w:before="1"/>
              <w:rPr>
                <w:rFonts w:ascii="黑体"/>
                <w:sz w:val="15"/>
              </w:rPr>
            </w:pPr>
          </w:p>
          <w:p>
            <w:pPr>
              <w:pStyle w:val="TableParagraph"/>
              <w:spacing w:before="1"/>
              <w:ind w:left="219"/>
              <w:rPr>
                <w:sz w:val="20"/>
              </w:rPr>
            </w:pPr>
            <w:r>
              <w:rPr>
                <w:sz w:val="20"/>
              </w:rPr>
              <w:t>住建局</w:t>
            </w:r>
          </w:p>
        </w:tc>
      </w:tr>
      <w:tr>
        <w:trPr>
          <w:trHeight w:val="720" w:hRule="atLeast"/>
        </w:trPr>
        <w:tc>
          <w:tcPr>
            <w:tcW w:w="502" w:type="dxa"/>
          </w:tcPr>
          <w:p>
            <w:pPr>
              <w:pStyle w:val="TableParagraph"/>
              <w:spacing w:before="1"/>
              <w:rPr>
                <w:rFonts w:ascii="黑体"/>
                <w:sz w:val="15"/>
              </w:rPr>
            </w:pPr>
          </w:p>
          <w:p>
            <w:pPr>
              <w:pStyle w:val="TableParagraph"/>
              <w:spacing w:before="1"/>
              <w:ind w:left="124" w:right="125"/>
              <w:jc w:val="center"/>
              <w:rPr>
                <w:sz w:val="20"/>
              </w:rPr>
            </w:pPr>
            <w:r>
              <w:rPr>
                <w:sz w:val="20"/>
              </w:rPr>
              <w:t>42</w:t>
            </w:r>
          </w:p>
        </w:tc>
        <w:tc>
          <w:tcPr>
            <w:tcW w:w="2110" w:type="dxa"/>
          </w:tcPr>
          <w:p>
            <w:pPr>
              <w:pStyle w:val="TableParagraph"/>
              <w:spacing w:before="1"/>
              <w:rPr>
                <w:rFonts w:ascii="黑体"/>
                <w:sz w:val="15"/>
              </w:rPr>
            </w:pPr>
          </w:p>
          <w:p>
            <w:pPr>
              <w:pStyle w:val="TableParagraph"/>
              <w:spacing w:before="1"/>
              <w:ind w:left="99" w:right="101"/>
              <w:jc w:val="center"/>
              <w:rPr>
                <w:sz w:val="20"/>
              </w:rPr>
            </w:pPr>
            <w:r>
              <w:rPr>
                <w:sz w:val="20"/>
              </w:rPr>
              <w:t>杨柳湾片区棚改</w:t>
            </w:r>
          </w:p>
        </w:tc>
        <w:tc>
          <w:tcPr>
            <w:tcW w:w="1256" w:type="dxa"/>
          </w:tcPr>
          <w:p>
            <w:pPr>
              <w:pStyle w:val="TableParagraph"/>
              <w:spacing w:before="1"/>
              <w:rPr>
                <w:rFonts w:ascii="黑体"/>
                <w:sz w:val="15"/>
              </w:rPr>
            </w:pPr>
          </w:p>
          <w:p>
            <w:pPr>
              <w:pStyle w:val="TableParagraph"/>
              <w:spacing w:before="1"/>
              <w:ind w:left="151" w:right="152"/>
              <w:jc w:val="center"/>
              <w:rPr>
                <w:sz w:val="20"/>
              </w:rPr>
            </w:pPr>
            <w:r>
              <w:rPr>
                <w:sz w:val="20"/>
              </w:rPr>
              <w:t>2017-2018</w:t>
            </w:r>
          </w:p>
        </w:tc>
        <w:tc>
          <w:tcPr>
            <w:tcW w:w="3662" w:type="dxa"/>
          </w:tcPr>
          <w:p>
            <w:pPr>
              <w:pStyle w:val="TableParagraph"/>
              <w:spacing w:before="1"/>
              <w:rPr>
                <w:rFonts w:ascii="黑体"/>
                <w:sz w:val="15"/>
              </w:rPr>
            </w:pPr>
          </w:p>
          <w:p>
            <w:pPr>
              <w:pStyle w:val="TableParagraph"/>
              <w:spacing w:before="1"/>
              <w:ind w:left="599"/>
              <w:rPr>
                <w:sz w:val="20"/>
              </w:rPr>
            </w:pPr>
            <w:r>
              <w:rPr>
                <w:sz w:val="20"/>
              </w:rPr>
              <w:t>256 户，面积 2.01 万平方米</w:t>
            </w:r>
          </w:p>
        </w:tc>
        <w:tc>
          <w:tcPr>
            <w:tcW w:w="1058" w:type="dxa"/>
          </w:tcPr>
          <w:p>
            <w:pPr>
              <w:pStyle w:val="TableParagraph"/>
              <w:spacing w:before="1"/>
              <w:rPr>
                <w:rFonts w:ascii="黑体"/>
                <w:sz w:val="15"/>
              </w:rPr>
            </w:pPr>
          </w:p>
          <w:p>
            <w:pPr>
              <w:pStyle w:val="TableParagraph"/>
              <w:spacing w:before="1"/>
              <w:ind w:left="153" w:right="153"/>
              <w:jc w:val="center"/>
              <w:rPr>
                <w:sz w:val="20"/>
              </w:rPr>
            </w:pPr>
            <w:r>
              <w:rPr>
                <w:sz w:val="20"/>
              </w:rPr>
              <w:t>5033</w:t>
            </w:r>
          </w:p>
        </w:tc>
        <w:tc>
          <w:tcPr>
            <w:tcW w:w="1051" w:type="dxa"/>
          </w:tcPr>
          <w:p>
            <w:pPr>
              <w:pStyle w:val="TableParagraph"/>
              <w:spacing w:before="1"/>
              <w:rPr>
                <w:rFonts w:ascii="黑体"/>
                <w:sz w:val="15"/>
              </w:rPr>
            </w:pPr>
          </w:p>
          <w:p>
            <w:pPr>
              <w:pStyle w:val="TableParagraph"/>
              <w:spacing w:before="1"/>
              <w:ind w:left="219"/>
              <w:rPr>
                <w:sz w:val="20"/>
              </w:rPr>
            </w:pPr>
            <w:r>
              <w:rPr>
                <w:sz w:val="20"/>
              </w:rPr>
              <w:t>住建局</w:t>
            </w:r>
          </w:p>
        </w:tc>
      </w:tr>
      <w:tr>
        <w:trPr>
          <w:trHeight w:val="1240" w:hRule="atLeast"/>
        </w:trPr>
        <w:tc>
          <w:tcPr>
            <w:tcW w:w="502" w:type="dxa"/>
          </w:tcPr>
          <w:p>
            <w:pPr>
              <w:pStyle w:val="TableParagraph"/>
              <w:rPr>
                <w:rFonts w:ascii="黑体"/>
                <w:sz w:val="20"/>
              </w:rPr>
            </w:pPr>
          </w:p>
          <w:p>
            <w:pPr>
              <w:pStyle w:val="TableParagraph"/>
              <w:spacing w:before="5"/>
              <w:rPr>
                <w:rFonts w:ascii="黑体"/>
                <w:sz w:val="15"/>
              </w:rPr>
            </w:pPr>
          </w:p>
          <w:p>
            <w:pPr>
              <w:pStyle w:val="TableParagraph"/>
              <w:ind w:left="125" w:right="125"/>
              <w:jc w:val="center"/>
              <w:rPr>
                <w:sz w:val="20"/>
              </w:rPr>
            </w:pPr>
            <w:r>
              <w:rPr>
                <w:sz w:val="20"/>
              </w:rPr>
              <w:t>43</w:t>
            </w:r>
          </w:p>
        </w:tc>
        <w:tc>
          <w:tcPr>
            <w:tcW w:w="2110" w:type="dxa"/>
          </w:tcPr>
          <w:p>
            <w:pPr>
              <w:pStyle w:val="TableParagraph"/>
              <w:spacing w:before="9"/>
              <w:rPr>
                <w:rFonts w:ascii="黑体"/>
                <w:sz w:val="25"/>
              </w:rPr>
            </w:pPr>
          </w:p>
          <w:p>
            <w:pPr>
              <w:pStyle w:val="TableParagraph"/>
              <w:spacing w:line="237" w:lineRule="auto"/>
              <w:ind w:left="647" w:right="132" w:hanging="500"/>
              <w:rPr>
                <w:sz w:val="20"/>
              </w:rPr>
            </w:pPr>
            <w:r>
              <w:rPr>
                <w:sz w:val="20"/>
              </w:rPr>
              <w:t>石麟镇焦煤厂、老街片区棚改</w:t>
            </w:r>
          </w:p>
        </w:tc>
        <w:tc>
          <w:tcPr>
            <w:tcW w:w="1256" w:type="dxa"/>
          </w:tcPr>
          <w:p>
            <w:pPr>
              <w:pStyle w:val="TableParagraph"/>
              <w:rPr>
                <w:rFonts w:ascii="黑体"/>
                <w:sz w:val="20"/>
              </w:rPr>
            </w:pPr>
          </w:p>
          <w:p>
            <w:pPr>
              <w:pStyle w:val="TableParagraph"/>
              <w:spacing w:before="5"/>
              <w:rPr>
                <w:rFonts w:ascii="黑体"/>
                <w:sz w:val="15"/>
              </w:rPr>
            </w:pPr>
          </w:p>
          <w:p>
            <w:pPr>
              <w:pStyle w:val="TableParagraph"/>
              <w:ind w:left="151" w:right="152"/>
              <w:jc w:val="center"/>
              <w:rPr>
                <w:sz w:val="20"/>
              </w:rPr>
            </w:pPr>
            <w:r>
              <w:rPr>
                <w:sz w:val="20"/>
              </w:rPr>
              <w:t>2017-2018</w:t>
            </w:r>
          </w:p>
        </w:tc>
        <w:tc>
          <w:tcPr>
            <w:tcW w:w="3662" w:type="dxa"/>
          </w:tcPr>
          <w:p>
            <w:pPr>
              <w:pStyle w:val="TableParagraph"/>
              <w:rPr>
                <w:rFonts w:ascii="黑体"/>
                <w:sz w:val="20"/>
              </w:rPr>
            </w:pPr>
          </w:p>
          <w:p>
            <w:pPr>
              <w:pStyle w:val="TableParagraph"/>
              <w:spacing w:before="5"/>
              <w:rPr>
                <w:rFonts w:ascii="黑体"/>
                <w:sz w:val="15"/>
              </w:rPr>
            </w:pPr>
          </w:p>
          <w:p>
            <w:pPr>
              <w:pStyle w:val="TableParagraph"/>
              <w:ind w:left="599"/>
              <w:rPr>
                <w:sz w:val="20"/>
              </w:rPr>
            </w:pPr>
            <w:r>
              <w:rPr>
                <w:sz w:val="20"/>
              </w:rPr>
              <w:t>272 户，面积 2.67 万平方米</w:t>
            </w:r>
          </w:p>
        </w:tc>
        <w:tc>
          <w:tcPr>
            <w:tcW w:w="1058" w:type="dxa"/>
          </w:tcPr>
          <w:p>
            <w:pPr>
              <w:pStyle w:val="TableParagraph"/>
              <w:rPr>
                <w:rFonts w:ascii="黑体"/>
                <w:sz w:val="20"/>
              </w:rPr>
            </w:pPr>
          </w:p>
          <w:p>
            <w:pPr>
              <w:pStyle w:val="TableParagraph"/>
              <w:spacing w:before="5"/>
              <w:rPr>
                <w:rFonts w:ascii="黑体"/>
                <w:sz w:val="15"/>
              </w:rPr>
            </w:pPr>
          </w:p>
          <w:p>
            <w:pPr>
              <w:pStyle w:val="TableParagraph"/>
              <w:ind w:left="153" w:right="153"/>
              <w:jc w:val="center"/>
              <w:rPr>
                <w:sz w:val="20"/>
              </w:rPr>
            </w:pPr>
            <w:r>
              <w:rPr>
                <w:sz w:val="20"/>
              </w:rPr>
              <w:t>2803</w:t>
            </w:r>
          </w:p>
        </w:tc>
        <w:tc>
          <w:tcPr>
            <w:tcW w:w="1051" w:type="dxa"/>
          </w:tcPr>
          <w:p>
            <w:pPr>
              <w:pStyle w:val="TableParagraph"/>
              <w:rPr>
                <w:rFonts w:ascii="黑体"/>
                <w:sz w:val="20"/>
              </w:rPr>
            </w:pPr>
          </w:p>
          <w:p>
            <w:pPr>
              <w:pStyle w:val="TableParagraph"/>
              <w:spacing w:before="5"/>
              <w:rPr>
                <w:rFonts w:ascii="黑体"/>
                <w:sz w:val="15"/>
              </w:rPr>
            </w:pPr>
          </w:p>
          <w:p>
            <w:pPr>
              <w:pStyle w:val="TableParagraph"/>
              <w:ind w:left="219"/>
              <w:rPr>
                <w:sz w:val="20"/>
              </w:rPr>
            </w:pPr>
            <w:r>
              <w:rPr>
                <w:sz w:val="20"/>
              </w:rPr>
              <w:t>住建局</w:t>
            </w:r>
          </w:p>
        </w:tc>
      </w:tr>
    </w:tbl>
    <w:p>
      <w:pPr>
        <w:spacing w:after="0"/>
        <w:rPr>
          <w:sz w:val="20"/>
        </w:rPr>
        <w:sectPr>
          <w:pgSz w:w="11910" w:h="16840"/>
          <w:pgMar w:header="0" w:footer="998" w:top="1440" w:bottom="1120" w:left="880" w:right="1160"/>
        </w:sectPr>
      </w:pPr>
    </w:p>
    <w:tbl>
      <w:tblPr>
        <w:tblW w:w="0" w:type="auto"/>
        <w:jc w:val="left"/>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02"/>
        <w:gridCol w:w="2110"/>
        <w:gridCol w:w="1256"/>
        <w:gridCol w:w="3662"/>
        <w:gridCol w:w="1058"/>
        <w:gridCol w:w="1051"/>
      </w:tblGrid>
      <w:tr>
        <w:trPr>
          <w:trHeight w:val="1280" w:hRule="atLeast"/>
        </w:trPr>
        <w:tc>
          <w:tcPr>
            <w:tcW w:w="502" w:type="dxa"/>
          </w:tcPr>
          <w:p>
            <w:pPr>
              <w:pStyle w:val="TableParagraph"/>
              <w:rPr>
                <w:rFonts w:ascii="黑体"/>
                <w:sz w:val="20"/>
              </w:rPr>
            </w:pPr>
          </w:p>
          <w:p>
            <w:pPr>
              <w:pStyle w:val="TableParagraph"/>
              <w:rPr>
                <w:rFonts w:ascii="黑体"/>
                <w:sz w:val="17"/>
              </w:rPr>
            </w:pPr>
          </w:p>
          <w:p>
            <w:pPr>
              <w:pStyle w:val="TableParagraph"/>
              <w:spacing w:before="1"/>
              <w:ind w:left="125" w:right="125"/>
              <w:jc w:val="center"/>
              <w:rPr>
                <w:sz w:val="20"/>
              </w:rPr>
            </w:pPr>
            <w:r>
              <w:rPr>
                <w:sz w:val="20"/>
              </w:rPr>
              <w:t>44</w:t>
            </w:r>
          </w:p>
        </w:tc>
        <w:tc>
          <w:tcPr>
            <w:tcW w:w="2110" w:type="dxa"/>
          </w:tcPr>
          <w:p>
            <w:pPr>
              <w:pStyle w:val="TableParagraph"/>
              <w:spacing w:before="2"/>
              <w:rPr>
                <w:rFonts w:ascii="黑体"/>
                <w:sz w:val="27"/>
              </w:rPr>
            </w:pPr>
          </w:p>
          <w:p>
            <w:pPr>
              <w:pStyle w:val="TableParagraph"/>
              <w:spacing w:line="260" w:lineRule="exact"/>
              <w:ind w:left="249"/>
              <w:rPr>
                <w:sz w:val="20"/>
              </w:rPr>
            </w:pPr>
            <w:r>
              <w:rPr>
                <w:sz w:val="20"/>
              </w:rPr>
              <w:t>金山镇新平锅片区</w:t>
            </w:r>
          </w:p>
          <w:p>
            <w:pPr>
              <w:pStyle w:val="TableParagraph"/>
              <w:spacing w:line="260" w:lineRule="exact"/>
              <w:ind w:left="248"/>
              <w:rPr>
                <w:sz w:val="20"/>
              </w:rPr>
            </w:pPr>
            <w:r>
              <w:rPr>
                <w:sz w:val="20"/>
              </w:rPr>
              <w:t>(巴壁店片区)棚改</w:t>
            </w:r>
          </w:p>
        </w:tc>
        <w:tc>
          <w:tcPr>
            <w:tcW w:w="1256" w:type="dxa"/>
          </w:tcPr>
          <w:p>
            <w:pPr>
              <w:pStyle w:val="TableParagraph"/>
              <w:rPr>
                <w:rFonts w:ascii="黑体"/>
                <w:sz w:val="20"/>
              </w:rPr>
            </w:pPr>
          </w:p>
          <w:p>
            <w:pPr>
              <w:pStyle w:val="TableParagraph"/>
              <w:rPr>
                <w:rFonts w:ascii="黑体"/>
                <w:sz w:val="17"/>
              </w:rPr>
            </w:pPr>
          </w:p>
          <w:p>
            <w:pPr>
              <w:pStyle w:val="TableParagraph"/>
              <w:spacing w:before="1"/>
              <w:ind w:left="152" w:right="152"/>
              <w:jc w:val="center"/>
              <w:rPr>
                <w:sz w:val="20"/>
              </w:rPr>
            </w:pPr>
            <w:r>
              <w:rPr>
                <w:sz w:val="20"/>
              </w:rPr>
              <w:t>2017</w:t>
            </w:r>
          </w:p>
        </w:tc>
        <w:tc>
          <w:tcPr>
            <w:tcW w:w="3662" w:type="dxa"/>
          </w:tcPr>
          <w:p>
            <w:pPr>
              <w:pStyle w:val="TableParagraph"/>
              <w:rPr>
                <w:rFonts w:ascii="黑体"/>
                <w:sz w:val="20"/>
              </w:rPr>
            </w:pPr>
          </w:p>
          <w:p>
            <w:pPr>
              <w:pStyle w:val="TableParagraph"/>
              <w:rPr>
                <w:rFonts w:ascii="黑体"/>
                <w:sz w:val="17"/>
              </w:rPr>
            </w:pPr>
          </w:p>
          <w:p>
            <w:pPr>
              <w:pStyle w:val="TableParagraph"/>
              <w:spacing w:before="1"/>
              <w:ind w:left="600"/>
              <w:rPr>
                <w:sz w:val="20"/>
              </w:rPr>
            </w:pPr>
            <w:r>
              <w:rPr>
                <w:sz w:val="20"/>
              </w:rPr>
              <w:t>159 户，面积 0.39 万平方米</w:t>
            </w:r>
          </w:p>
        </w:tc>
        <w:tc>
          <w:tcPr>
            <w:tcW w:w="1058" w:type="dxa"/>
          </w:tcPr>
          <w:p>
            <w:pPr>
              <w:pStyle w:val="TableParagraph"/>
              <w:rPr>
                <w:rFonts w:ascii="黑体"/>
                <w:sz w:val="20"/>
              </w:rPr>
            </w:pPr>
          </w:p>
          <w:p>
            <w:pPr>
              <w:pStyle w:val="TableParagraph"/>
              <w:rPr>
                <w:rFonts w:ascii="黑体"/>
                <w:sz w:val="17"/>
              </w:rPr>
            </w:pPr>
          </w:p>
          <w:p>
            <w:pPr>
              <w:pStyle w:val="TableParagraph"/>
              <w:spacing w:before="1"/>
              <w:ind w:left="153" w:right="153"/>
              <w:jc w:val="center"/>
              <w:rPr>
                <w:sz w:val="20"/>
              </w:rPr>
            </w:pPr>
            <w:r>
              <w:rPr>
                <w:sz w:val="20"/>
              </w:rPr>
              <w:t>979</w:t>
            </w:r>
          </w:p>
        </w:tc>
        <w:tc>
          <w:tcPr>
            <w:tcW w:w="1051" w:type="dxa"/>
          </w:tcPr>
          <w:p>
            <w:pPr>
              <w:pStyle w:val="TableParagraph"/>
              <w:rPr>
                <w:rFonts w:ascii="黑体"/>
                <w:sz w:val="20"/>
              </w:rPr>
            </w:pPr>
          </w:p>
          <w:p>
            <w:pPr>
              <w:pStyle w:val="TableParagraph"/>
              <w:rPr>
                <w:rFonts w:ascii="黑体"/>
                <w:sz w:val="17"/>
              </w:rPr>
            </w:pPr>
          </w:p>
          <w:p>
            <w:pPr>
              <w:pStyle w:val="TableParagraph"/>
              <w:spacing w:before="1"/>
              <w:ind w:left="219"/>
              <w:rPr>
                <w:sz w:val="20"/>
              </w:rPr>
            </w:pPr>
            <w:r>
              <w:rPr>
                <w:sz w:val="20"/>
              </w:rPr>
              <w:t>住建局</w:t>
            </w:r>
          </w:p>
        </w:tc>
      </w:tr>
      <w:tr>
        <w:trPr>
          <w:trHeight w:val="700" w:hRule="atLeast"/>
        </w:trPr>
        <w:tc>
          <w:tcPr>
            <w:tcW w:w="502" w:type="dxa"/>
          </w:tcPr>
          <w:p>
            <w:pPr>
              <w:pStyle w:val="TableParagraph"/>
              <w:spacing w:before="1"/>
              <w:rPr>
                <w:rFonts w:ascii="黑体"/>
                <w:sz w:val="15"/>
              </w:rPr>
            </w:pPr>
          </w:p>
          <w:p>
            <w:pPr>
              <w:pStyle w:val="TableParagraph"/>
              <w:spacing w:before="1"/>
              <w:ind w:left="124" w:right="125"/>
              <w:jc w:val="center"/>
              <w:rPr>
                <w:sz w:val="20"/>
              </w:rPr>
            </w:pPr>
            <w:r>
              <w:rPr>
                <w:sz w:val="20"/>
              </w:rPr>
              <w:t>45</w:t>
            </w:r>
          </w:p>
        </w:tc>
        <w:tc>
          <w:tcPr>
            <w:tcW w:w="2110" w:type="dxa"/>
          </w:tcPr>
          <w:p>
            <w:pPr>
              <w:pStyle w:val="TableParagraph"/>
              <w:spacing w:before="1"/>
              <w:rPr>
                <w:rFonts w:ascii="黑体"/>
                <w:sz w:val="15"/>
              </w:rPr>
            </w:pPr>
          </w:p>
          <w:p>
            <w:pPr>
              <w:pStyle w:val="TableParagraph"/>
              <w:spacing w:before="1"/>
              <w:ind w:left="99" w:right="101"/>
              <w:jc w:val="center"/>
              <w:rPr>
                <w:sz w:val="20"/>
              </w:rPr>
            </w:pPr>
            <w:r>
              <w:rPr>
                <w:sz w:val="20"/>
              </w:rPr>
              <w:t>辉山镇老街旧房改造</w:t>
            </w:r>
          </w:p>
        </w:tc>
        <w:tc>
          <w:tcPr>
            <w:tcW w:w="1256" w:type="dxa"/>
          </w:tcPr>
          <w:p>
            <w:pPr>
              <w:pStyle w:val="TableParagraph"/>
              <w:spacing w:before="1"/>
              <w:rPr>
                <w:rFonts w:ascii="黑体"/>
                <w:sz w:val="15"/>
              </w:rPr>
            </w:pPr>
          </w:p>
          <w:p>
            <w:pPr>
              <w:pStyle w:val="TableParagraph"/>
              <w:spacing w:before="1"/>
              <w:ind w:left="151" w:right="152"/>
              <w:jc w:val="center"/>
              <w:rPr>
                <w:sz w:val="20"/>
              </w:rPr>
            </w:pPr>
            <w:r>
              <w:rPr>
                <w:sz w:val="20"/>
              </w:rPr>
              <w:t>2017-2018</w:t>
            </w:r>
          </w:p>
        </w:tc>
        <w:tc>
          <w:tcPr>
            <w:tcW w:w="3662" w:type="dxa"/>
          </w:tcPr>
          <w:p>
            <w:pPr>
              <w:pStyle w:val="TableParagraph"/>
              <w:spacing w:before="1"/>
              <w:rPr>
                <w:rFonts w:ascii="黑体"/>
                <w:sz w:val="15"/>
              </w:rPr>
            </w:pPr>
          </w:p>
          <w:p>
            <w:pPr>
              <w:pStyle w:val="TableParagraph"/>
              <w:spacing w:before="1"/>
              <w:ind w:left="599"/>
              <w:rPr>
                <w:sz w:val="20"/>
              </w:rPr>
            </w:pPr>
            <w:r>
              <w:rPr>
                <w:sz w:val="20"/>
              </w:rPr>
              <w:t>353 户，面积 2.65 万平方米</w:t>
            </w:r>
          </w:p>
        </w:tc>
        <w:tc>
          <w:tcPr>
            <w:tcW w:w="1058" w:type="dxa"/>
          </w:tcPr>
          <w:p>
            <w:pPr>
              <w:pStyle w:val="TableParagraph"/>
              <w:spacing w:before="1"/>
              <w:rPr>
                <w:rFonts w:ascii="黑体"/>
                <w:sz w:val="15"/>
              </w:rPr>
            </w:pPr>
          </w:p>
          <w:p>
            <w:pPr>
              <w:pStyle w:val="TableParagraph"/>
              <w:spacing w:before="1"/>
              <w:ind w:left="153" w:right="153"/>
              <w:jc w:val="center"/>
              <w:rPr>
                <w:sz w:val="20"/>
              </w:rPr>
            </w:pPr>
            <w:r>
              <w:rPr>
                <w:sz w:val="20"/>
              </w:rPr>
              <w:t>1325</w:t>
            </w:r>
          </w:p>
        </w:tc>
        <w:tc>
          <w:tcPr>
            <w:tcW w:w="1051" w:type="dxa"/>
          </w:tcPr>
          <w:p>
            <w:pPr>
              <w:pStyle w:val="TableParagraph"/>
              <w:spacing w:before="1"/>
              <w:rPr>
                <w:rFonts w:ascii="黑体"/>
                <w:sz w:val="15"/>
              </w:rPr>
            </w:pPr>
          </w:p>
          <w:p>
            <w:pPr>
              <w:pStyle w:val="TableParagraph"/>
              <w:spacing w:before="1"/>
              <w:ind w:left="219"/>
              <w:rPr>
                <w:sz w:val="20"/>
              </w:rPr>
            </w:pPr>
            <w:r>
              <w:rPr>
                <w:sz w:val="20"/>
              </w:rPr>
              <w:t>住建局</w:t>
            </w:r>
          </w:p>
        </w:tc>
      </w:tr>
      <w:tr>
        <w:trPr>
          <w:trHeight w:val="700" w:hRule="atLeast"/>
        </w:trPr>
        <w:tc>
          <w:tcPr>
            <w:tcW w:w="502" w:type="dxa"/>
          </w:tcPr>
          <w:p>
            <w:pPr>
              <w:pStyle w:val="TableParagraph"/>
              <w:spacing w:before="1"/>
              <w:rPr>
                <w:rFonts w:ascii="黑体"/>
                <w:sz w:val="15"/>
              </w:rPr>
            </w:pPr>
          </w:p>
          <w:p>
            <w:pPr>
              <w:pStyle w:val="TableParagraph"/>
              <w:spacing w:before="1"/>
              <w:ind w:left="125" w:right="125"/>
              <w:jc w:val="center"/>
              <w:rPr>
                <w:sz w:val="20"/>
              </w:rPr>
            </w:pPr>
            <w:r>
              <w:rPr>
                <w:sz w:val="20"/>
              </w:rPr>
              <w:t>46</w:t>
            </w:r>
          </w:p>
        </w:tc>
        <w:tc>
          <w:tcPr>
            <w:tcW w:w="2110" w:type="dxa"/>
          </w:tcPr>
          <w:p>
            <w:pPr>
              <w:pStyle w:val="TableParagraph"/>
              <w:spacing w:line="237" w:lineRule="auto" w:before="71"/>
              <w:ind w:left="848" w:right="131" w:hanging="700"/>
              <w:rPr>
                <w:sz w:val="20"/>
              </w:rPr>
            </w:pPr>
            <w:r>
              <w:rPr>
                <w:sz w:val="20"/>
              </w:rPr>
              <w:t>金粟镇老厂片区二期棚改</w:t>
            </w:r>
          </w:p>
        </w:tc>
        <w:tc>
          <w:tcPr>
            <w:tcW w:w="1256" w:type="dxa"/>
          </w:tcPr>
          <w:p>
            <w:pPr>
              <w:pStyle w:val="TableParagraph"/>
              <w:spacing w:before="1"/>
              <w:rPr>
                <w:rFonts w:ascii="黑体"/>
                <w:sz w:val="15"/>
              </w:rPr>
            </w:pPr>
          </w:p>
          <w:p>
            <w:pPr>
              <w:pStyle w:val="TableParagraph"/>
              <w:spacing w:before="1"/>
              <w:ind w:left="151" w:right="152"/>
              <w:jc w:val="center"/>
              <w:rPr>
                <w:sz w:val="20"/>
              </w:rPr>
            </w:pPr>
            <w:r>
              <w:rPr>
                <w:sz w:val="20"/>
              </w:rPr>
              <w:t>2017-2018</w:t>
            </w:r>
          </w:p>
        </w:tc>
        <w:tc>
          <w:tcPr>
            <w:tcW w:w="3662" w:type="dxa"/>
          </w:tcPr>
          <w:p>
            <w:pPr>
              <w:pStyle w:val="TableParagraph"/>
              <w:spacing w:before="1"/>
              <w:rPr>
                <w:rFonts w:ascii="黑体"/>
                <w:sz w:val="15"/>
              </w:rPr>
            </w:pPr>
          </w:p>
          <w:p>
            <w:pPr>
              <w:pStyle w:val="TableParagraph"/>
              <w:spacing w:before="1"/>
              <w:ind w:left="599"/>
              <w:rPr>
                <w:sz w:val="20"/>
              </w:rPr>
            </w:pPr>
            <w:r>
              <w:rPr>
                <w:sz w:val="20"/>
              </w:rPr>
              <w:t>256 户，面积 1.28 万平方米</w:t>
            </w:r>
          </w:p>
        </w:tc>
        <w:tc>
          <w:tcPr>
            <w:tcW w:w="1058" w:type="dxa"/>
          </w:tcPr>
          <w:p>
            <w:pPr>
              <w:pStyle w:val="TableParagraph"/>
              <w:spacing w:before="1"/>
              <w:rPr>
                <w:rFonts w:ascii="黑体"/>
                <w:sz w:val="15"/>
              </w:rPr>
            </w:pPr>
          </w:p>
          <w:p>
            <w:pPr>
              <w:pStyle w:val="TableParagraph"/>
              <w:spacing w:before="1"/>
              <w:ind w:left="153" w:right="153"/>
              <w:jc w:val="center"/>
              <w:rPr>
                <w:sz w:val="20"/>
              </w:rPr>
            </w:pPr>
            <w:r>
              <w:rPr>
                <w:sz w:val="20"/>
              </w:rPr>
              <w:t>3840</w:t>
            </w:r>
          </w:p>
        </w:tc>
        <w:tc>
          <w:tcPr>
            <w:tcW w:w="1051" w:type="dxa"/>
          </w:tcPr>
          <w:p>
            <w:pPr>
              <w:pStyle w:val="TableParagraph"/>
              <w:spacing w:before="1"/>
              <w:rPr>
                <w:rFonts w:ascii="黑体"/>
                <w:sz w:val="15"/>
              </w:rPr>
            </w:pPr>
          </w:p>
          <w:p>
            <w:pPr>
              <w:pStyle w:val="TableParagraph"/>
              <w:spacing w:before="1"/>
              <w:ind w:left="219"/>
              <w:rPr>
                <w:sz w:val="20"/>
              </w:rPr>
            </w:pPr>
            <w:r>
              <w:rPr>
                <w:sz w:val="20"/>
              </w:rPr>
              <w:t>住建局</w:t>
            </w:r>
          </w:p>
        </w:tc>
      </w:tr>
      <w:tr>
        <w:trPr>
          <w:trHeight w:val="720" w:hRule="atLeast"/>
        </w:trPr>
        <w:tc>
          <w:tcPr>
            <w:tcW w:w="502" w:type="dxa"/>
          </w:tcPr>
          <w:p>
            <w:pPr>
              <w:pStyle w:val="TableParagraph"/>
              <w:spacing w:before="1"/>
              <w:rPr>
                <w:rFonts w:ascii="黑体"/>
                <w:sz w:val="15"/>
              </w:rPr>
            </w:pPr>
          </w:p>
          <w:p>
            <w:pPr>
              <w:pStyle w:val="TableParagraph"/>
              <w:spacing w:before="1"/>
              <w:ind w:left="124" w:right="125"/>
              <w:jc w:val="center"/>
              <w:rPr>
                <w:sz w:val="20"/>
              </w:rPr>
            </w:pPr>
            <w:r>
              <w:rPr>
                <w:sz w:val="20"/>
              </w:rPr>
              <w:t>47</w:t>
            </w:r>
          </w:p>
        </w:tc>
        <w:tc>
          <w:tcPr>
            <w:tcW w:w="2110" w:type="dxa"/>
          </w:tcPr>
          <w:p>
            <w:pPr>
              <w:pStyle w:val="TableParagraph"/>
              <w:spacing w:before="1"/>
              <w:rPr>
                <w:rFonts w:ascii="黑体"/>
                <w:sz w:val="15"/>
              </w:rPr>
            </w:pPr>
          </w:p>
          <w:p>
            <w:pPr>
              <w:pStyle w:val="TableParagraph"/>
              <w:spacing w:before="1"/>
              <w:ind w:left="99" w:right="102"/>
              <w:jc w:val="center"/>
              <w:rPr>
                <w:sz w:val="20"/>
              </w:rPr>
            </w:pPr>
            <w:r>
              <w:rPr>
                <w:sz w:val="20"/>
              </w:rPr>
              <w:t>金粟政府片区棚户</w:t>
            </w:r>
          </w:p>
        </w:tc>
        <w:tc>
          <w:tcPr>
            <w:tcW w:w="1256" w:type="dxa"/>
          </w:tcPr>
          <w:p>
            <w:pPr>
              <w:pStyle w:val="TableParagraph"/>
              <w:spacing w:before="1"/>
              <w:rPr>
                <w:rFonts w:ascii="黑体"/>
                <w:sz w:val="15"/>
              </w:rPr>
            </w:pPr>
          </w:p>
          <w:p>
            <w:pPr>
              <w:pStyle w:val="TableParagraph"/>
              <w:spacing w:before="1"/>
              <w:ind w:left="152" w:right="152"/>
              <w:jc w:val="center"/>
              <w:rPr>
                <w:sz w:val="20"/>
              </w:rPr>
            </w:pPr>
            <w:r>
              <w:rPr>
                <w:sz w:val="20"/>
              </w:rPr>
              <w:t>2017-2019</w:t>
            </w:r>
          </w:p>
        </w:tc>
        <w:tc>
          <w:tcPr>
            <w:tcW w:w="3662" w:type="dxa"/>
          </w:tcPr>
          <w:p>
            <w:pPr>
              <w:pStyle w:val="TableParagraph"/>
              <w:spacing w:before="1"/>
              <w:rPr>
                <w:rFonts w:ascii="黑体"/>
                <w:sz w:val="15"/>
              </w:rPr>
            </w:pPr>
          </w:p>
          <w:p>
            <w:pPr>
              <w:pStyle w:val="TableParagraph"/>
              <w:spacing w:before="1"/>
              <w:ind w:left="599"/>
              <w:rPr>
                <w:sz w:val="20"/>
              </w:rPr>
            </w:pPr>
            <w:r>
              <w:rPr>
                <w:sz w:val="20"/>
              </w:rPr>
              <w:t>392 户，面积 3.97 万平方米</w:t>
            </w:r>
          </w:p>
        </w:tc>
        <w:tc>
          <w:tcPr>
            <w:tcW w:w="1058" w:type="dxa"/>
          </w:tcPr>
          <w:p>
            <w:pPr>
              <w:pStyle w:val="TableParagraph"/>
              <w:spacing w:before="1"/>
              <w:rPr>
                <w:rFonts w:ascii="黑体"/>
                <w:sz w:val="15"/>
              </w:rPr>
            </w:pPr>
          </w:p>
          <w:p>
            <w:pPr>
              <w:pStyle w:val="TableParagraph"/>
              <w:spacing w:before="1"/>
              <w:ind w:left="153" w:right="153"/>
              <w:jc w:val="center"/>
              <w:rPr>
                <w:sz w:val="20"/>
              </w:rPr>
            </w:pPr>
            <w:r>
              <w:rPr>
                <w:sz w:val="20"/>
              </w:rPr>
              <w:t>11925</w:t>
            </w:r>
          </w:p>
        </w:tc>
        <w:tc>
          <w:tcPr>
            <w:tcW w:w="1051" w:type="dxa"/>
          </w:tcPr>
          <w:p>
            <w:pPr>
              <w:pStyle w:val="TableParagraph"/>
              <w:spacing w:before="1"/>
              <w:rPr>
                <w:rFonts w:ascii="黑体"/>
                <w:sz w:val="15"/>
              </w:rPr>
            </w:pPr>
          </w:p>
          <w:p>
            <w:pPr>
              <w:pStyle w:val="TableParagraph"/>
              <w:spacing w:before="1"/>
              <w:ind w:left="219"/>
              <w:rPr>
                <w:sz w:val="20"/>
              </w:rPr>
            </w:pPr>
            <w:r>
              <w:rPr>
                <w:sz w:val="20"/>
              </w:rPr>
              <w:t>住建局</w:t>
            </w:r>
          </w:p>
        </w:tc>
      </w:tr>
      <w:tr>
        <w:trPr>
          <w:trHeight w:val="1080" w:hRule="atLeast"/>
        </w:trPr>
        <w:tc>
          <w:tcPr>
            <w:tcW w:w="502" w:type="dxa"/>
          </w:tcPr>
          <w:p>
            <w:pPr>
              <w:pStyle w:val="TableParagraph"/>
              <w:spacing w:before="12"/>
              <w:rPr>
                <w:rFonts w:ascii="黑体"/>
                <w:sz w:val="28"/>
              </w:rPr>
            </w:pPr>
          </w:p>
          <w:p>
            <w:pPr>
              <w:pStyle w:val="TableParagraph"/>
              <w:spacing w:before="1"/>
              <w:ind w:left="125" w:right="125"/>
              <w:jc w:val="center"/>
              <w:rPr>
                <w:sz w:val="20"/>
              </w:rPr>
            </w:pPr>
            <w:r>
              <w:rPr>
                <w:sz w:val="20"/>
              </w:rPr>
              <w:t>48</w:t>
            </w:r>
          </w:p>
        </w:tc>
        <w:tc>
          <w:tcPr>
            <w:tcW w:w="2110" w:type="dxa"/>
          </w:tcPr>
          <w:p>
            <w:pPr>
              <w:pStyle w:val="TableParagraph"/>
              <w:spacing w:line="237" w:lineRule="auto" w:before="123"/>
              <w:ind w:left="101"/>
              <w:jc w:val="center"/>
              <w:rPr>
                <w:sz w:val="20"/>
              </w:rPr>
            </w:pPr>
            <w:r>
              <w:rPr>
                <w:spacing w:val="-3"/>
                <w:sz w:val="20"/>
              </w:rPr>
              <w:t>金粟镇老厂、红旗井、二焦厂、龙洞湾片区棚改</w:t>
            </w:r>
          </w:p>
        </w:tc>
        <w:tc>
          <w:tcPr>
            <w:tcW w:w="1256" w:type="dxa"/>
          </w:tcPr>
          <w:p>
            <w:pPr>
              <w:pStyle w:val="TableParagraph"/>
              <w:spacing w:before="12"/>
              <w:rPr>
                <w:rFonts w:ascii="黑体"/>
                <w:sz w:val="28"/>
              </w:rPr>
            </w:pPr>
          </w:p>
          <w:p>
            <w:pPr>
              <w:pStyle w:val="TableParagraph"/>
              <w:spacing w:before="1"/>
              <w:ind w:left="151" w:right="152"/>
              <w:jc w:val="center"/>
              <w:rPr>
                <w:sz w:val="20"/>
              </w:rPr>
            </w:pPr>
            <w:r>
              <w:rPr>
                <w:sz w:val="20"/>
              </w:rPr>
              <w:t>2017-2019</w:t>
            </w:r>
          </w:p>
        </w:tc>
        <w:tc>
          <w:tcPr>
            <w:tcW w:w="3662" w:type="dxa"/>
          </w:tcPr>
          <w:p>
            <w:pPr>
              <w:pStyle w:val="TableParagraph"/>
              <w:spacing w:before="12"/>
              <w:rPr>
                <w:rFonts w:ascii="黑体"/>
                <w:sz w:val="28"/>
              </w:rPr>
            </w:pPr>
          </w:p>
          <w:p>
            <w:pPr>
              <w:pStyle w:val="TableParagraph"/>
              <w:spacing w:before="1"/>
              <w:ind w:left="599"/>
              <w:rPr>
                <w:sz w:val="20"/>
              </w:rPr>
            </w:pPr>
            <w:r>
              <w:rPr>
                <w:sz w:val="20"/>
              </w:rPr>
              <w:t>759 户，面积 8.45 万平方米</w:t>
            </w:r>
          </w:p>
        </w:tc>
        <w:tc>
          <w:tcPr>
            <w:tcW w:w="1058" w:type="dxa"/>
          </w:tcPr>
          <w:p>
            <w:pPr>
              <w:pStyle w:val="TableParagraph"/>
              <w:spacing w:before="12"/>
              <w:rPr>
                <w:rFonts w:ascii="黑体"/>
                <w:sz w:val="28"/>
              </w:rPr>
            </w:pPr>
          </w:p>
          <w:p>
            <w:pPr>
              <w:pStyle w:val="TableParagraph"/>
              <w:spacing w:before="1"/>
              <w:ind w:left="153" w:right="153"/>
              <w:jc w:val="center"/>
              <w:rPr>
                <w:sz w:val="20"/>
              </w:rPr>
            </w:pPr>
            <w:r>
              <w:rPr>
                <w:sz w:val="20"/>
              </w:rPr>
              <w:t>4227</w:t>
            </w:r>
          </w:p>
        </w:tc>
        <w:tc>
          <w:tcPr>
            <w:tcW w:w="1051" w:type="dxa"/>
          </w:tcPr>
          <w:p>
            <w:pPr>
              <w:pStyle w:val="TableParagraph"/>
              <w:spacing w:before="12"/>
              <w:rPr>
                <w:rFonts w:ascii="黑体"/>
                <w:sz w:val="28"/>
              </w:rPr>
            </w:pPr>
          </w:p>
          <w:p>
            <w:pPr>
              <w:pStyle w:val="TableParagraph"/>
              <w:spacing w:before="1"/>
              <w:ind w:left="219"/>
              <w:rPr>
                <w:sz w:val="20"/>
              </w:rPr>
            </w:pPr>
            <w:r>
              <w:rPr>
                <w:sz w:val="20"/>
              </w:rPr>
              <w:t>住建局</w:t>
            </w:r>
          </w:p>
        </w:tc>
      </w:tr>
      <w:tr>
        <w:trPr>
          <w:trHeight w:val="700" w:hRule="atLeast"/>
        </w:trPr>
        <w:tc>
          <w:tcPr>
            <w:tcW w:w="502" w:type="dxa"/>
          </w:tcPr>
          <w:p>
            <w:pPr>
              <w:pStyle w:val="TableParagraph"/>
              <w:spacing w:before="1"/>
              <w:rPr>
                <w:rFonts w:ascii="黑体"/>
                <w:sz w:val="15"/>
              </w:rPr>
            </w:pPr>
          </w:p>
          <w:p>
            <w:pPr>
              <w:pStyle w:val="TableParagraph"/>
              <w:spacing w:before="1"/>
              <w:ind w:left="125" w:right="125"/>
              <w:jc w:val="center"/>
              <w:rPr>
                <w:sz w:val="20"/>
              </w:rPr>
            </w:pPr>
            <w:r>
              <w:rPr>
                <w:sz w:val="20"/>
              </w:rPr>
              <w:t>49</w:t>
            </w:r>
          </w:p>
        </w:tc>
        <w:tc>
          <w:tcPr>
            <w:tcW w:w="2110" w:type="dxa"/>
          </w:tcPr>
          <w:p>
            <w:pPr>
              <w:pStyle w:val="TableParagraph"/>
              <w:spacing w:line="237" w:lineRule="auto" w:before="71"/>
              <w:ind w:left="748" w:right="131" w:hanging="600"/>
              <w:rPr>
                <w:sz w:val="20"/>
              </w:rPr>
            </w:pPr>
            <w:r>
              <w:rPr>
                <w:sz w:val="20"/>
              </w:rPr>
              <w:t>牛华镇碳坝市公园片区棚改</w:t>
            </w:r>
          </w:p>
        </w:tc>
        <w:tc>
          <w:tcPr>
            <w:tcW w:w="1256" w:type="dxa"/>
          </w:tcPr>
          <w:p>
            <w:pPr>
              <w:pStyle w:val="TableParagraph"/>
              <w:spacing w:before="1"/>
              <w:rPr>
                <w:rFonts w:ascii="黑体"/>
                <w:sz w:val="15"/>
              </w:rPr>
            </w:pPr>
          </w:p>
          <w:p>
            <w:pPr>
              <w:pStyle w:val="TableParagraph"/>
              <w:spacing w:before="1"/>
              <w:ind w:left="152" w:right="152"/>
              <w:jc w:val="center"/>
              <w:rPr>
                <w:sz w:val="20"/>
              </w:rPr>
            </w:pPr>
            <w:r>
              <w:rPr>
                <w:sz w:val="20"/>
              </w:rPr>
              <w:t>2017-2019</w:t>
            </w:r>
          </w:p>
        </w:tc>
        <w:tc>
          <w:tcPr>
            <w:tcW w:w="3662" w:type="dxa"/>
          </w:tcPr>
          <w:p>
            <w:pPr>
              <w:pStyle w:val="TableParagraph"/>
              <w:spacing w:before="1"/>
              <w:rPr>
                <w:rFonts w:ascii="黑体"/>
                <w:sz w:val="15"/>
              </w:rPr>
            </w:pPr>
          </w:p>
          <w:p>
            <w:pPr>
              <w:pStyle w:val="TableParagraph"/>
              <w:spacing w:before="1"/>
              <w:ind w:left="600"/>
              <w:rPr>
                <w:sz w:val="20"/>
              </w:rPr>
            </w:pPr>
            <w:r>
              <w:rPr>
                <w:sz w:val="20"/>
              </w:rPr>
              <w:t>702 户，面积 5.08 万平方米</w:t>
            </w:r>
          </w:p>
        </w:tc>
        <w:tc>
          <w:tcPr>
            <w:tcW w:w="1058" w:type="dxa"/>
          </w:tcPr>
          <w:p>
            <w:pPr>
              <w:pStyle w:val="TableParagraph"/>
              <w:spacing w:before="1"/>
              <w:rPr>
                <w:rFonts w:ascii="黑体"/>
                <w:sz w:val="15"/>
              </w:rPr>
            </w:pPr>
          </w:p>
          <w:p>
            <w:pPr>
              <w:pStyle w:val="TableParagraph"/>
              <w:spacing w:before="1"/>
              <w:ind w:left="153" w:right="153"/>
              <w:jc w:val="center"/>
              <w:rPr>
                <w:sz w:val="20"/>
              </w:rPr>
            </w:pPr>
            <w:r>
              <w:rPr>
                <w:sz w:val="20"/>
              </w:rPr>
              <w:t>12695</w:t>
            </w:r>
          </w:p>
        </w:tc>
        <w:tc>
          <w:tcPr>
            <w:tcW w:w="1051" w:type="dxa"/>
          </w:tcPr>
          <w:p>
            <w:pPr>
              <w:pStyle w:val="TableParagraph"/>
              <w:spacing w:before="1"/>
              <w:rPr>
                <w:rFonts w:ascii="黑体"/>
                <w:sz w:val="15"/>
              </w:rPr>
            </w:pPr>
          </w:p>
          <w:p>
            <w:pPr>
              <w:pStyle w:val="TableParagraph"/>
              <w:spacing w:before="1"/>
              <w:ind w:left="219"/>
              <w:rPr>
                <w:sz w:val="20"/>
              </w:rPr>
            </w:pPr>
            <w:r>
              <w:rPr>
                <w:sz w:val="20"/>
              </w:rPr>
              <w:t>住建局</w:t>
            </w:r>
          </w:p>
        </w:tc>
      </w:tr>
      <w:tr>
        <w:trPr>
          <w:trHeight w:val="720" w:hRule="atLeast"/>
        </w:trPr>
        <w:tc>
          <w:tcPr>
            <w:tcW w:w="502" w:type="dxa"/>
          </w:tcPr>
          <w:p>
            <w:pPr>
              <w:pStyle w:val="TableParagraph"/>
              <w:spacing w:before="1"/>
              <w:rPr>
                <w:rFonts w:ascii="黑体"/>
                <w:sz w:val="15"/>
              </w:rPr>
            </w:pPr>
          </w:p>
          <w:p>
            <w:pPr>
              <w:pStyle w:val="TableParagraph"/>
              <w:spacing w:before="1"/>
              <w:ind w:left="125" w:right="125"/>
              <w:jc w:val="center"/>
              <w:rPr>
                <w:sz w:val="20"/>
              </w:rPr>
            </w:pPr>
            <w:r>
              <w:rPr>
                <w:sz w:val="20"/>
              </w:rPr>
              <w:t>50</w:t>
            </w:r>
          </w:p>
        </w:tc>
        <w:tc>
          <w:tcPr>
            <w:tcW w:w="2110" w:type="dxa"/>
          </w:tcPr>
          <w:p>
            <w:pPr>
              <w:pStyle w:val="TableParagraph"/>
              <w:spacing w:line="237" w:lineRule="auto" w:before="71"/>
              <w:ind w:left="647" w:right="132" w:hanging="500"/>
              <w:rPr>
                <w:sz w:val="20"/>
              </w:rPr>
            </w:pPr>
            <w:r>
              <w:rPr>
                <w:sz w:val="20"/>
              </w:rPr>
              <w:t>牛华镇二码头新民街片区棚改</w:t>
            </w:r>
          </w:p>
        </w:tc>
        <w:tc>
          <w:tcPr>
            <w:tcW w:w="1256" w:type="dxa"/>
          </w:tcPr>
          <w:p>
            <w:pPr>
              <w:pStyle w:val="TableParagraph"/>
              <w:spacing w:before="1"/>
              <w:rPr>
                <w:rFonts w:ascii="黑体"/>
                <w:sz w:val="15"/>
              </w:rPr>
            </w:pPr>
          </w:p>
          <w:p>
            <w:pPr>
              <w:pStyle w:val="TableParagraph"/>
              <w:spacing w:before="1"/>
              <w:ind w:left="151" w:right="152"/>
              <w:jc w:val="center"/>
              <w:rPr>
                <w:sz w:val="20"/>
              </w:rPr>
            </w:pPr>
            <w:r>
              <w:rPr>
                <w:sz w:val="20"/>
              </w:rPr>
              <w:t>2017-2018</w:t>
            </w:r>
          </w:p>
        </w:tc>
        <w:tc>
          <w:tcPr>
            <w:tcW w:w="3662" w:type="dxa"/>
          </w:tcPr>
          <w:p>
            <w:pPr>
              <w:pStyle w:val="TableParagraph"/>
              <w:spacing w:before="1"/>
              <w:rPr>
                <w:rFonts w:ascii="黑体"/>
                <w:sz w:val="15"/>
              </w:rPr>
            </w:pPr>
          </w:p>
          <w:p>
            <w:pPr>
              <w:pStyle w:val="TableParagraph"/>
              <w:spacing w:before="1"/>
              <w:ind w:left="599"/>
              <w:rPr>
                <w:sz w:val="20"/>
              </w:rPr>
            </w:pPr>
            <w:r>
              <w:rPr>
                <w:sz w:val="20"/>
              </w:rPr>
              <w:t>353 户，面积 2.82 万平方米</w:t>
            </w:r>
          </w:p>
        </w:tc>
        <w:tc>
          <w:tcPr>
            <w:tcW w:w="1058" w:type="dxa"/>
          </w:tcPr>
          <w:p>
            <w:pPr>
              <w:pStyle w:val="TableParagraph"/>
              <w:spacing w:before="1"/>
              <w:rPr>
                <w:rFonts w:ascii="黑体"/>
                <w:sz w:val="15"/>
              </w:rPr>
            </w:pPr>
          </w:p>
          <w:p>
            <w:pPr>
              <w:pStyle w:val="TableParagraph"/>
              <w:spacing w:before="1"/>
              <w:ind w:left="153" w:right="153"/>
              <w:jc w:val="center"/>
              <w:rPr>
                <w:sz w:val="20"/>
              </w:rPr>
            </w:pPr>
            <w:r>
              <w:rPr>
                <w:sz w:val="20"/>
              </w:rPr>
              <w:t>7055</w:t>
            </w:r>
          </w:p>
        </w:tc>
        <w:tc>
          <w:tcPr>
            <w:tcW w:w="1051" w:type="dxa"/>
          </w:tcPr>
          <w:p>
            <w:pPr>
              <w:pStyle w:val="TableParagraph"/>
              <w:spacing w:before="1"/>
              <w:rPr>
                <w:rFonts w:ascii="黑体"/>
                <w:sz w:val="15"/>
              </w:rPr>
            </w:pPr>
          </w:p>
          <w:p>
            <w:pPr>
              <w:pStyle w:val="TableParagraph"/>
              <w:spacing w:before="1"/>
              <w:ind w:left="219"/>
              <w:rPr>
                <w:sz w:val="20"/>
              </w:rPr>
            </w:pPr>
            <w:r>
              <w:rPr>
                <w:sz w:val="20"/>
              </w:rPr>
              <w:t>住建局</w:t>
            </w:r>
          </w:p>
        </w:tc>
      </w:tr>
      <w:tr>
        <w:trPr>
          <w:trHeight w:val="700" w:hRule="atLeast"/>
        </w:trPr>
        <w:tc>
          <w:tcPr>
            <w:tcW w:w="502" w:type="dxa"/>
          </w:tcPr>
          <w:p>
            <w:pPr>
              <w:pStyle w:val="TableParagraph"/>
              <w:spacing w:before="1"/>
              <w:rPr>
                <w:rFonts w:ascii="黑体"/>
                <w:sz w:val="15"/>
              </w:rPr>
            </w:pPr>
          </w:p>
          <w:p>
            <w:pPr>
              <w:pStyle w:val="TableParagraph"/>
              <w:spacing w:before="1"/>
              <w:ind w:left="124" w:right="125"/>
              <w:jc w:val="center"/>
              <w:rPr>
                <w:sz w:val="20"/>
              </w:rPr>
            </w:pPr>
            <w:r>
              <w:rPr>
                <w:sz w:val="20"/>
              </w:rPr>
              <w:t>51</w:t>
            </w:r>
          </w:p>
        </w:tc>
        <w:tc>
          <w:tcPr>
            <w:tcW w:w="2110" w:type="dxa"/>
          </w:tcPr>
          <w:p>
            <w:pPr>
              <w:pStyle w:val="TableParagraph"/>
              <w:spacing w:before="1"/>
              <w:rPr>
                <w:rFonts w:ascii="黑体"/>
                <w:sz w:val="15"/>
              </w:rPr>
            </w:pPr>
          </w:p>
          <w:p>
            <w:pPr>
              <w:pStyle w:val="TableParagraph"/>
              <w:spacing w:before="1"/>
              <w:ind w:left="99" w:right="101"/>
              <w:jc w:val="center"/>
              <w:rPr>
                <w:sz w:val="20"/>
              </w:rPr>
            </w:pPr>
            <w:r>
              <w:rPr>
                <w:sz w:val="20"/>
              </w:rPr>
              <w:t>桥沟镇侨新社区</w:t>
            </w:r>
          </w:p>
        </w:tc>
        <w:tc>
          <w:tcPr>
            <w:tcW w:w="1256" w:type="dxa"/>
          </w:tcPr>
          <w:p>
            <w:pPr>
              <w:pStyle w:val="TableParagraph"/>
              <w:spacing w:before="1"/>
              <w:rPr>
                <w:rFonts w:ascii="黑体"/>
                <w:sz w:val="15"/>
              </w:rPr>
            </w:pPr>
          </w:p>
          <w:p>
            <w:pPr>
              <w:pStyle w:val="TableParagraph"/>
              <w:spacing w:before="1"/>
              <w:ind w:left="151" w:right="152"/>
              <w:jc w:val="center"/>
              <w:rPr>
                <w:sz w:val="20"/>
              </w:rPr>
            </w:pPr>
            <w:r>
              <w:rPr>
                <w:sz w:val="20"/>
              </w:rPr>
              <w:t>2017-2018</w:t>
            </w:r>
          </w:p>
        </w:tc>
        <w:tc>
          <w:tcPr>
            <w:tcW w:w="3662" w:type="dxa"/>
          </w:tcPr>
          <w:p>
            <w:pPr>
              <w:pStyle w:val="TableParagraph"/>
              <w:spacing w:before="1"/>
              <w:rPr>
                <w:rFonts w:ascii="黑体"/>
                <w:sz w:val="15"/>
              </w:rPr>
            </w:pPr>
          </w:p>
          <w:p>
            <w:pPr>
              <w:pStyle w:val="TableParagraph"/>
              <w:spacing w:before="1"/>
              <w:ind w:left="599"/>
              <w:rPr>
                <w:sz w:val="20"/>
              </w:rPr>
            </w:pPr>
            <w:r>
              <w:rPr>
                <w:sz w:val="20"/>
              </w:rPr>
              <w:t>100 户，面积 0.91 万平方米</w:t>
            </w:r>
          </w:p>
        </w:tc>
        <w:tc>
          <w:tcPr>
            <w:tcW w:w="1058" w:type="dxa"/>
          </w:tcPr>
          <w:p>
            <w:pPr>
              <w:pStyle w:val="TableParagraph"/>
              <w:spacing w:before="1"/>
              <w:rPr>
                <w:rFonts w:ascii="黑体"/>
                <w:sz w:val="15"/>
              </w:rPr>
            </w:pPr>
          </w:p>
          <w:p>
            <w:pPr>
              <w:pStyle w:val="TableParagraph"/>
              <w:spacing w:before="1"/>
              <w:ind w:left="153" w:right="154"/>
              <w:jc w:val="center"/>
              <w:rPr>
                <w:sz w:val="20"/>
              </w:rPr>
            </w:pPr>
            <w:r>
              <w:rPr>
                <w:sz w:val="20"/>
              </w:rPr>
              <w:t>900</w:t>
            </w:r>
          </w:p>
        </w:tc>
        <w:tc>
          <w:tcPr>
            <w:tcW w:w="1051" w:type="dxa"/>
          </w:tcPr>
          <w:p>
            <w:pPr>
              <w:pStyle w:val="TableParagraph"/>
              <w:spacing w:before="1"/>
              <w:rPr>
                <w:rFonts w:ascii="黑体"/>
                <w:sz w:val="15"/>
              </w:rPr>
            </w:pPr>
          </w:p>
          <w:p>
            <w:pPr>
              <w:pStyle w:val="TableParagraph"/>
              <w:spacing w:before="1"/>
              <w:ind w:left="219"/>
              <w:rPr>
                <w:sz w:val="20"/>
              </w:rPr>
            </w:pPr>
            <w:r>
              <w:rPr>
                <w:sz w:val="20"/>
              </w:rPr>
              <w:t>住建局</w:t>
            </w:r>
          </w:p>
        </w:tc>
      </w:tr>
      <w:tr>
        <w:trPr>
          <w:trHeight w:val="700" w:hRule="atLeast"/>
        </w:trPr>
        <w:tc>
          <w:tcPr>
            <w:tcW w:w="502" w:type="dxa"/>
          </w:tcPr>
          <w:p>
            <w:pPr>
              <w:pStyle w:val="TableParagraph"/>
              <w:spacing w:before="1"/>
              <w:rPr>
                <w:rFonts w:ascii="黑体"/>
                <w:sz w:val="15"/>
              </w:rPr>
            </w:pPr>
          </w:p>
          <w:p>
            <w:pPr>
              <w:pStyle w:val="TableParagraph"/>
              <w:spacing w:before="1"/>
              <w:ind w:left="125" w:right="125"/>
              <w:jc w:val="center"/>
              <w:rPr>
                <w:sz w:val="20"/>
              </w:rPr>
            </w:pPr>
            <w:r>
              <w:rPr>
                <w:sz w:val="20"/>
              </w:rPr>
              <w:t>52</w:t>
            </w:r>
          </w:p>
        </w:tc>
        <w:tc>
          <w:tcPr>
            <w:tcW w:w="2110" w:type="dxa"/>
          </w:tcPr>
          <w:p>
            <w:pPr>
              <w:pStyle w:val="TableParagraph"/>
              <w:spacing w:line="237" w:lineRule="auto" w:before="71"/>
              <w:ind w:left="647" w:right="132" w:hanging="500"/>
              <w:rPr>
                <w:sz w:val="20"/>
              </w:rPr>
            </w:pPr>
            <w:r>
              <w:rPr>
                <w:sz w:val="20"/>
              </w:rPr>
              <w:t>牛华镇云华街四关堂片区棚改</w:t>
            </w:r>
          </w:p>
        </w:tc>
        <w:tc>
          <w:tcPr>
            <w:tcW w:w="1256" w:type="dxa"/>
          </w:tcPr>
          <w:p>
            <w:pPr>
              <w:pStyle w:val="TableParagraph"/>
              <w:spacing w:before="1"/>
              <w:rPr>
                <w:rFonts w:ascii="黑体"/>
                <w:sz w:val="15"/>
              </w:rPr>
            </w:pPr>
          </w:p>
          <w:p>
            <w:pPr>
              <w:pStyle w:val="TableParagraph"/>
              <w:spacing w:before="1"/>
              <w:ind w:left="151" w:right="152"/>
              <w:jc w:val="center"/>
              <w:rPr>
                <w:sz w:val="20"/>
              </w:rPr>
            </w:pPr>
            <w:r>
              <w:rPr>
                <w:sz w:val="20"/>
              </w:rPr>
              <w:t>2017-2018</w:t>
            </w:r>
          </w:p>
        </w:tc>
        <w:tc>
          <w:tcPr>
            <w:tcW w:w="3662" w:type="dxa"/>
          </w:tcPr>
          <w:p>
            <w:pPr>
              <w:pStyle w:val="TableParagraph"/>
              <w:spacing w:before="1"/>
              <w:rPr>
                <w:rFonts w:ascii="黑体"/>
                <w:sz w:val="15"/>
              </w:rPr>
            </w:pPr>
          </w:p>
          <w:p>
            <w:pPr>
              <w:pStyle w:val="TableParagraph"/>
              <w:spacing w:before="1"/>
              <w:ind w:left="599"/>
              <w:rPr>
                <w:sz w:val="20"/>
              </w:rPr>
            </w:pPr>
            <w:r>
              <w:rPr>
                <w:sz w:val="20"/>
              </w:rPr>
              <w:t>459 户，面积 1.63 万平方米</w:t>
            </w:r>
          </w:p>
        </w:tc>
        <w:tc>
          <w:tcPr>
            <w:tcW w:w="1058" w:type="dxa"/>
          </w:tcPr>
          <w:p>
            <w:pPr>
              <w:pStyle w:val="TableParagraph"/>
              <w:spacing w:before="1"/>
              <w:rPr>
                <w:rFonts w:ascii="黑体"/>
                <w:sz w:val="15"/>
              </w:rPr>
            </w:pPr>
          </w:p>
          <w:p>
            <w:pPr>
              <w:pStyle w:val="TableParagraph"/>
              <w:spacing w:before="1"/>
              <w:ind w:left="153" w:right="153"/>
              <w:jc w:val="center"/>
              <w:rPr>
                <w:sz w:val="20"/>
              </w:rPr>
            </w:pPr>
            <w:r>
              <w:rPr>
                <w:sz w:val="20"/>
              </w:rPr>
              <w:t>4085</w:t>
            </w:r>
          </w:p>
        </w:tc>
        <w:tc>
          <w:tcPr>
            <w:tcW w:w="1051" w:type="dxa"/>
          </w:tcPr>
          <w:p>
            <w:pPr>
              <w:pStyle w:val="TableParagraph"/>
              <w:spacing w:before="1"/>
              <w:rPr>
                <w:rFonts w:ascii="黑体"/>
                <w:sz w:val="15"/>
              </w:rPr>
            </w:pPr>
          </w:p>
          <w:p>
            <w:pPr>
              <w:pStyle w:val="TableParagraph"/>
              <w:spacing w:before="1"/>
              <w:ind w:left="219"/>
              <w:rPr>
                <w:sz w:val="20"/>
              </w:rPr>
            </w:pPr>
            <w:r>
              <w:rPr>
                <w:sz w:val="20"/>
              </w:rPr>
              <w:t>住建局</w:t>
            </w:r>
          </w:p>
        </w:tc>
      </w:tr>
      <w:tr>
        <w:trPr>
          <w:trHeight w:val="720" w:hRule="atLeast"/>
        </w:trPr>
        <w:tc>
          <w:tcPr>
            <w:tcW w:w="502" w:type="dxa"/>
          </w:tcPr>
          <w:p>
            <w:pPr>
              <w:pStyle w:val="TableParagraph"/>
              <w:spacing w:before="1"/>
              <w:rPr>
                <w:rFonts w:ascii="黑体"/>
                <w:sz w:val="15"/>
              </w:rPr>
            </w:pPr>
          </w:p>
          <w:p>
            <w:pPr>
              <w:pStyle w:val="TableParagraph"/>
              <w:spacing w:before="1"/>
              <w:ind w:left="125" w:right="125"/>
              <w:jc w:val="center"/>
              <w:rPr>
                <w:sz w:val="20"/>
              </w:rPr>
            </w:pPr>
            <w:r>
              <w:rPr>
                <w:sz w:val="20"/>
              </w:rPr>
              <w:t>53</w:t>
            </w:r>
          </w:p>
        </w:tc>
        <w:tc>
          <w:tcPr>
            <w:tcW w:w="2110" w:type="dxa"/>
          </w:tcPr>
          <w:p>
            <w:pPr>
              <w:pStyle w:val="TableParagraph"/>
              <w:spacing w:line="237" w:lineRule="auto" w:before="71"/>
              <w:ind w:left="848" w:right="131" w:hanging="700"/>
              <w:rPr>
                <w:sz w:val="20"/>
              </w:rPr>
            </w:pPr>
            <w:r>
              <w:rPr>
                <w:sz w:val="20"/>
              </w:rPr>
              <w:t>金山完善、加固项目棚改</w:t>
            </w:r>
          </w:p>
        </w:tc>
        <w:tc>
          <w:tcPr>
            <w:tcW w:w="1256" w:type="dxa"/>
          </w:tcPr>
          <w:p>
            <w:pPr>
              <w:pStyle w:val="TableParagraph"/>
              <w:spacing w:before="1"/>
              <w:rPr>
                <w:rFonts w:ascii="黑体"/>
                <w:sz w:val="15"/>
              </w:rPr>
            </w:pPr>
          </w:p>
          <w:p>
            <w:pPr>
              <w:pStyle w:val="TableParagraph"/>
              <w:spacing w:before="1"/>
              <w:ind w:left="151" w:right="152"/>
              <w:jc w:val="center"/>
              <w:rPr>
                <w:sz w:val="20"/>
              </w:rPr>
            </w:pPr>
            <w:r>
              <w:rPr>
                <w:sz w:val="20"/>
              </w:rPr>
              <w:t>2018-2019</w:t>
            </w:r>
          </w:p>
        </w:tc>
        <w:tc>
          <w:tcPr>
            <w:tcW w:w="3662" w:type="dxa"/>
          </w:tcPr>
          <w:p>
            <w:pPr>
              <w:pStyle w:val="TableParagraph"/>
              <w:spacing w:before="1"/>
              <w:rPr>
                <w:rFonts w:ascii="黑体"/>
                <w:sz w:val="15"/>
              </w:rPr>
            </w:pPr>
          </w:p>
          <w:p>
            <w:pPr>
              <w:pStyle w:val="TableParagraph"/>
              <w:spacing w:before="1"/>
              <w:ind w:left="599"/>
              <w:rPr>
                <w:sz w:val="20"/>
              </w:rPr>
            </w:pPr>
            <w:r>
              <w:rPr>
                <w:sz w:val="20"/>
              </w:rPr>
              <w:t>905 户，面积 4.79 万平方米</w:t>
            </w:r>
          </w:p>
        </w:tc>
        <w:tc>
          <w:tcPr>
            <w:tcW w:w="1058" w:type="dxa"/>
          </w:tcPr>
          <w:p>
            <w:pPr>
              <w:pStyle w:val="TableParagraph"/>
              <w:spacing w:before="1"/>
              <w:rPr>
                <w:rFonts w:ascii="黑体"/>
                <w:sz w:val="15"/>
              </w:rPr>
            </w:pPr>
          </w:p>
          <w:p>
            <w:pPr>
              <w:pStyle w:val="TableParagraph"/>
              <w:spacing w:before="1"/>
              <w:ind w:left="153" w:right="153"/>
              <w:jc w:val="center"/>
              <w:rPr>
                <w:sz w:val="20"/>
              </w:rPr>
            </w:pPr>
            <w:r>
              <w:rPr>
                <w:sz w:val="20"/>
              </w:rPr>
              <w:t>2393</w:t>
            </w:r>
          </w:p>
        </w:tc>
        <w:tc>
          <w:tcPr>
            <w:tcW w:w="1051" w:type="dxa"/>
          </w:tcPr>
          <w:p>
            <w:pPr>
              <w:pStyle w:val="TableParagraph"/>
              <w:spacing w:before="1"/>
              <w:rPr>
                <w:rFonts w:ascii="黑体"/>
                <w:sz w:val="15"/>
              </w:rPr>
            </w:pPr>
          </w:p>
          <w:p>
            <w:pPr>
              <w:pStyle w:val="TableParagraph"/>
              <w:spacing w:before="1"/>
              <w:ind w:left="219"/>
              <w:rPr>
                <w:sz w:val="20"/>
              </w:rPr>
            </w:pPr>
            <w:r>
              <w:rPr>
                <w:sz w:val="20"/>
              </w:rPr>
              <w:t>住建局</w:t>
            </w:r>
          </w:p>
        </w:tc>
      </w:tr>
      <w:tr>
        <w:trPr>
          <w:trHeight w:val="700" w:hRule="atLeast"/>
        </w:trPr>
        <w:tc>
          <w:tcPr>
            <w:tcW w:w="502" w:type="dxa"/>
          </w:tcPr>
          <w:p>
            <w:pPr>
              <w:pStyle w:val="TableParagraph"/>
              <w:spacing w:before="1"/>
              <w:rPr>
                <w:rFonts w:ascii="黑体"/>
                <w:sz w:val="15"/>
              </w:rPr>
            </w:pPr>
          </w:p>
          <w:p>
            <w:pPr>
              <w:pStyle w:val="TableParagraph"/>
              <w:spacing w:before="1"/>
              <w:ind w:left="125" w:right="125"/>
              <w:jc w:val="center"/>
              <w:rPr>
                <w:sz w:val="20"/>
              </w:rPr>
            </w:pPr>
            <w:r>
              <w:rPr>
                <w:sz w:val="20"/>
              </w:rPr>
              <w:t>54</w:t>
            </w:r>
          </w:p>
        </w:tc>
        <w:tc>
          <w:tcPr>
            <w:tcW w:w="2110" w:type="dxa"/>
          </w:tcPr>
          <w:p>
            <w:pPr>
              <w:pStyle w:val="TableParagraph"/>
              <w:spacing w:line="237" w:lineRule="auto" w:before="71"/>
              <w:ind w:left="848" w:right="131" w:hanging="700"/>
              <w:rPr>
                <w:sz w:val="20"/>
              </w:rPr>
            </w:pPr>
            <w:r>
              <w:rPr>
                <w:sz w:val="20"/>
              </w:rPr>
              <w:t>二码头亚西技校片区棚改</w:t>
            </w:r>
          </w:p>
        </w:tc>
        <w:tc>
          <w:tcPr>
            <w:tcW w:w="1256" w:type="dxa"/>
          </w:tcPr>
          <w:p>
            <w:pPr>
              <w:pStyle w:val="TableParagraph"/>
              <w:spacing w:before="1"/>
              <w:rPr>
                <w:rFonts w:ascii="黑体"/>
                <w:sz w:val="15"/>
              </w:rPr>
            </w:pPr>
          </w:p>
          <w:p>
            <w:pPr>
              <w:pStyle w:val="TableParagraph"/>
              <w:spacing w:before="1"/>
              <w:ind w:left="151" w:right="152"/>
              <w:jc w:val="center"/>
              <w:rPr>
                <w:sz w:val="20"/>
              </w:rPr>
            </w:pPr>
            <w:r>
              <w:rPr>
                <w:sz w:val="20"/>
              </w:rPr>
              <w:t>2018-2019</w:t>
            </w:r>
          </w:p>
        </w:tc>
        <w:tc>
          <w:tcPr>
            <w:tcW w:w="3662" w:type="dxa"/>
          </w:tcPr>
          <w:p>
            <w:pPr>
              <w:pStyle w:val="TableParagraph"/>
              <w:spacing w:before="1"/>
              <w:rPr>
                <w:rFonts w:ascii="黑体"/>
                <w:sz w:val="15"/>
              </w:rPr>
            </w:pPr>
          </w:p>
          <w:p>
            <w:pPr>
              <w:pStyle w:val="TableParagraph"/>
              <w:spacing w:before="1"/>
              <w:ind w:left="599"/>
              <w:rPr>
                <w:sz w:val="20"/>
              </w:rPr>
            </w:pPr>
            <w:r>
              <w:rPr>
                <w:sz w:val="20"/>
              </w:rPr>
              <w:t>429 户，面积 3.49 万平方米</w:t>
            </w:r>
          </w:p>
        </w:tc>
        <w:tc>
          <w:tcPr>
            <w:tcW w:w="1058" w:type="dxa"/>
          </w:tcPr>
          <w:p>
            <w:pPr>
              <w:pStyle w:val="TableParagraph"/>
              <w:spacing w:before="1"/>
              <w:rPr>
                <w:rFonts w:ascii="黑体"/>
                <w:sz w:val="15"/>
              </w:rPr>
            </w:pPr>
          </w:p>
          <w:p>
            <w:pPr>
              <w:pStyle w:val="TableParagraph"/>
              <w:spacing w:before="1"/>
              <w:ind w:left="153" w:right="153"/>
              <w:jc w:val="center"/>
              <w:rPr>
                <w:sz w:val="20"/>
              </w:rPr>
            </w:pPr>
            <w:r>
              <w:rPr>
                <w:sz w:val="20"/>
              </w:rPr>
              <w:t>8736</w:t>
            </w:r>
          </w:p>
        </w:tc>
        <w:tc>
          <w:tcPr>
            <w:tcW w:w="1051" w:type="dxa"/>
          </w:tcPr>
          <w:p>
            <w:pPr>
              <w:pStyle w:val="TableParagraph"/>
              <w:spacing w:before="1"/>
              <w:rPr>
                <w:rFonts w:ascii="黑体"/>
                <w:sz w:val="15"/>
              </w:rPr>
            </w:pPr>
          </w:p>
          <w:p>
            <w:pPr>
              <w:pStyle w:val="TableParagraph"/>
              <w:spacing w:before="1"/>
              <w:ind w:left="219"/>
              <w:rPr>
                <w:sz w:val="20"/>
              </w:rPr>
            </w:pPr>
            <w:r>
              <w:rPr>
                <w:sz w:val="20"/>
              </w:rPr>
              <w:t>住建局</w:t>
            </w:r>
          </w:p>
        </w:tc>
      </w:tr>
      <w:tr>
        <w:trPr>
          <w:trHeight w:val="700" w:hRule="atLeast"/>
        </w:trPr>
        <w:tc>
          <w:tcPr>
            <w:tcW w:w="502" w:type="dxa"/>
          </w:tcPr>
          <w:p>
            <w:pPr>
              <w:pStyle w:val="TableParagraph"/>
              <w:spacing w:before="1"/>
              <w:rPr>
                <w:rFonts w:ascii="黑体"/>
                <w:sz w:val="15"/>
              </w:rPr>
            </w:pPr>
          </w:p>
          <w:p>
            <w:pPr>
              <w:pStyle w:val="TableParagraph"/>
              <w:spacing w:before="1"/>
              <w:ind w:left="125" w:right="125"/>
              <w:jc w:val="center"/>
              <w:rPr>
                <w:sz w:val="20"/>
              </w:rPr>
            </w:pPr>
            <w:r>
              <w:rPr>
                <w:sz w:val="20"/>
              </w:rPr>
              <w:t>55</w:t>
            </w:r>
          </w:p>
        </w:tc>
        <w:tc>
          <w:tcPr>
            <w:tcW w:w="2110" w:type="dxa"/>
          </w:tcPr>
          <w:p>
            <w:pPr>
              <w:pStyle w:val="TableParagraph"/>
              <w:spacing w:before="1"/>
              <w:rPr>
                <w:rFonts w:ascii="黑体"/>
                <w:sz w:val="15"/>
              </w:rPr>
            </w:pPr>
          </w:p>
          <w:p>
            <w:pPr>
              <w:pStyle w:val="TableParagraph"/>
              <w:spacing w:before="1"/>
              <w:jc w:val="center"/>
              <w:rPr>
                <w:sz w:val="20"/>
              </w:rPr>
            </w:pPr>
            <w:r>
              <w:rPr>
                <w:sz w:val="20"/>
              </w:rPr>
              <w:t>碳坝市草市坝片区棚改</w:t>
            </w:r>
          </w:p>
        </w:tc>
        <w:tc>
          <w:tcPr>
            <w:tcW w:w="1256" w:type="dxa"/>
          </w:tcPr>
          <w:p>
            <w:pPr>
              <w:pStyle w:val="TableParagraph"/>
              <w:spacing w:before="1"/>
              <w:rPr>
                <w:rFonts w:ascii="黑体"/>
                <w:sz w:val="15"/>
              </w:rPr>
            </w:pPr>
          </w:p>
          <w:p>
            <w:pPr>
              <w:pStyle w:val="TableParagraph"/>
              <w:spacing w:before="1"/>
              <w:ind w:left="152" w:right="152"/>
              <w:jc w:val="center"/>
              <w:rPr>
                <w:sz w:val="20"/>
              </w:rPr>
            </w:pPr>
            <w:r>
              <w:rPr>
                <w:sz w:val="20"/>
              </w:rPr>
              <w:t>2019-2020</w:t>
            </w:r>
          </w:p>
        </w:tc>
        <w:tc>
          <w:tcPr>
            <w:tcW w:w="3662" w:type="dxa"/>
          </w:tcPr>
          <w:p>
            <w:pPr>
              <w:pStyle w:val="TableParagraph"/>
              <w:spacing w:before="1"/>
              <w:rPr>
                <w:rFonts w:ascii="黑体"/>
                <w:sz w:val="15"/>
              </w:rPr>
            </w:pPr>
          </w:p>
          <w:p>
            <w:pPr>
              <w:pStyle w:val="TableParagraph"/>
              <w:spacing w:before="1"/>
              <w:ind w:left="600"/>
              <w:rPr>
                <w:sz w:val="20"/>
              </w:rPr>
            </w:pPr>
            <w:r>
              <w:rPr>
                <w:sz w:val="20"/>
              </w:rPr>
              <w:t>438 户，面积 2.63 万平方米</w:t>
            </w:r>
          </w:p>
        </w:tc>
        <w:tc>
          <w:tcPr>
            <w:tcW w:w="1058" w:type="dxa"/>
          </w:tcPr>
          <w:p>
            <w:pPr>
              <w:pStyle w:val="TableParagraph"/>
              <w:spacing w:before="1"/>
              <w:rPr>
                <w:rFonts w:ascii="黑体"/>
                <w:sz w:val="15"/>
              </w:rPr>
            </w:pPr>
          </w:p>
          <w:p>
            <w:pPr>
              <w:pStyle w:val="TableParagraph"/>
              <w:spacing w:before="1"/>
              <w:ind w:left="153" w:right="153"/>
              <w:jc w:val="center"/>
              <w:rPr>
                <w:sz w:val="20"/>
              </w:rPr>
            </w:pPr>
            <w:r>
              <w:rPr>
                <w:sz w:val="20"/>
              </w:rPr>
              <w:t>6568</w:t>
            </w:r>
          </w:p>
        </w:tc>
        <w:tc>
          <w:tcPr>
            <w:tcW w:w="1051" w:type="dxa"/>
          </w:tcPr>
          <w:p>
            <w:pPr>
              <w:pStyle w:val="TableParagraph"/>
              <w:spacing w:before="1"/>
              <w:rPr>
                <w:rFonts w:ascii="黑体"/>
                <w:sz w:val="15"/>
              </w:rPr>
            </w:pPr>
          </w:p>
          <w:p>
            <w:pPr>
              <w:pStyle w:val="TableParagraph"/>
              <w:spacing w:before="1"/>
              <w:ind w:left="219"/>
              <w:rPr>
                <w:sz w:val="20"/>
              </w:rPr>
            </w:pPr>
            <w:r>
              <w:rPr>
                <w:sz w:val="20"/>
              </w:rPr>
              <w:t>住建局</w:t>
            </w:r>
          </w:p>
        </w:tc>
      </w:tr>
      <w:tr>
        <w:trPr>
          <w:trHeight w:val="720" w:hRule="atLeast"/>
        </w:trPr>
        <w:tc>
          <w:tcPr>
            <w:tcW w:w="502" w:type="dxa"/>
          </w:tcPr>
          <w:p>
            <w:pPr>
              <w:pStyle w:val="TableParagraph"/>
              <w:spacing w:before="1"/>
              <w:rPr>
                <w:rFonts w:ascii="黑体"/>
                <w:sz w:val="15"/>
              </w:rPr>
            </w:pPr>
          </w:p>
          <w:p>
            <w:pPr>
              <w:pStyle w:val="TableParagraph"/>
              <w:spacing w:before="1"/>
              <w:ind w:left="125" w:right="125"/>
              <w:jc w:val="center"/>
              <w:rPr>
                <w:sz w:val="20"/>
              </w:rPr>
            </w:pPr>
            <w:r>
              <w:rPr>
                <w:sz w:val="20"/>
              </w:rPr>
              <w:t>56</w:t>
            </w:r>
          </w:p>
        </w:tc>
        <w:tc>
          <w:tcPr>
            <w:tcW w:w="2110" w:type="dxa"/>
          </w:tcPr>
          <w:p>
            <w:pPr>
              <w:pStyle w:val="TableParagraph"/>
              <w:spacing w:before="1"/>
              <w:rPr>
                <w:rFonts w:ascii="黑体"/>
                <w:sz w:val="15"/>
              </w:rPr>
            </w:pPr>
          </w:p>
          <w:p>
            <w:pPr>
              <w:pStyle w:val="TableParagraph"/>
              <w:spacing w:before="1"/>
              <w:jc w:val="center"/>
              <w:rPr>
                <w:sz w:val="20"/>
              </w:rPr>
            </w:pPr>
            <w:r>
              <w:rPr>
                <w:sz w:val="20"/>
              </w:rPr>
              <w:t>碳坝市葛麻湾片区棚改</w:t>
            </w:r>
          </w:p>
        </w:tc>
        <w:tc>
          <w:tcPr>
            <w:tcW w:w="1256" w:type="dxa"/>
          </w:tcPr>
          <w:p>
            <w:pPr>
              <w:pStyle w:val="TableParagraph"/>
              <w:spacing w:before="1"/>
              <w:rPr>
                <w:rFonts w:ascii="黑体"/>
                <w:sz w:val="15"/>
              </w:rPr>
            </w:pPr>
          </w:p>
          <w:p>
            <w:pPr>
              <w:pStyle w:val="TableParagraph"/>
              <w:spacing w:before="1"/>
              <w:ind w:left="152" w:right="152"/>
              <w:jc w:val="center"/>
              <w:rPr>
                <w:sz w:val="20"/>
              </w:rPr>
            </w:pPr>
            <w:r>
              <w:rPr>
                <w:sz w:val="20"/>
              </w:rPr>
              <w:t>2020</w:t>
            </w:r>
          </w:p>
        </w:tc>
        <w:tc>
          <w:tcPr>
            <w:tcW w:w="3662" w:type="dxa"/>
          </w:tcPr>
          <w:p>
            <w:pPr>
              <w:pStyle w:val="TableParagraph"/>
              <w:spacing w:before="1"/>
              <w:rPr>
                <w:rFonts w:ascii="黑体"/>
                <w:sz w:val="15"/>
              </w:rPr>
            </w:pPr>
          </w:p>
          <w:p>
            <w:pPr>
              <w:pStyle w:val="TableParagraph"/>
              <w:spacing w:before="1"/>
              <w:ind w:left="600"/>
              <w:rPr>
                <w:sz w:val="20"/>
              </w:rPr>
            </w:pPr>
            <w:r>
              <w:rPr>
                <w:sz w:val="20"/>
              </w:rPr>
              <w:t>304 户，面积 2.28 万平方米</w:t>
            </w:r>
          </w:p>
        </w:tc>
        <w:tc>
          <w:tcPr>
            <w:tcW w:w="1058" w:type="dxa"/>
          </w:tcPr>
          <w:p>
            <w:pPr>
              <w:pStyle w:val="TableParagraph"/>
              <w:spacing w:before="1"/>
              <w:rPr>
                <w:rFonts w:ascii="黑体"/>
                <w:sz w:val="15"/>
              </w:rPr>
            </w:pPr>
          </w:p>
          <w:p>
            <w:pPr>
              <w:pStyle w:val="TableParagraph"/>
              <w:spacing w:before="1"/>
              <w:ind w:left="153" w:right="153"/>
              <w:jc w:val="center"/>
              <w:rPr>
                <w:sz w:val="20"/>
              </w:rPr>
            </w:pPr>
            <w:r>
              <w:rPr>
                <w:sz w:val="20"/>
              </w:rPr>
              <w:t>5709</w:t>
            </w:r>
          </w:p>
        </w:tc>
        <w:tc>
          <w:tcPr>
            <w:tcW w:w="1051" w:type="dxa"/>
          </w:tcPr>
          <w:p>
            <w:pPr>
              <w:pStyle w:val="TableParagraph"/>
              <w:spacing w:before="1"/>
              <w:rPr>
                <w:rFonts w:ascii="黑体"/>
                <w:sz w:val="15"/>
              </w:rPr>
            </w:pPr>
          </w:p>
          <w:p>
            <w:pPr>
              <w:pStyle w:val="TableParagraph"/>
              <w:spacing w:before="1"/>
              <w:ind w:left="219"/>
              <w:rPr>
                <w:sz w:val="20"/>
              </w:rPr>
            </w:pPr>
            <w:r>
              <w:rPr>
                <w:sz w:val="20"/>
              </w:rPr>
              <w:t>住建局</w:t>
            </w:r>
          </w:p>
        </w:tc>
      </w:tr>
      <w:tr>
        <w:trPr>
          <w:trHeight w:val="840" w:hRule="atLeast"/>
        </w:trPr>
        <w:tc>
          <w:tcPr>
            <w:tcW w:w="502" w:type="dxa"/>
          </w:tcPr>
          <w:p>
            <w:pPr>
              <w:pStyle w:val="TableParagraph"/>
              <w:spacing w:before="11"/>
              <w:rPr>
                <w:rFonts w:ascii="黑体"/>
                <w:sz w:val="19"/>
              </w:rPr>
            </w:pPr>
          </w:p>
          <w:p>
            <w:pPr>
              <w:pStyle w:val="TableParagraph"/>
              <w:spacing w:before="1"/>
              <w:ind w:left="124" w:right="125"/>
              <w:jc w:val="center"/>
              <w:rPr>
                <w:sz w:val="20"/>
              </w:rPr>
            </w:pPr>
            <w:r>
              <w:rPr>
                <w:sz w:val="20"/>
              </w:rPr>
              <w:t>57</w:t>
            </w:r>
          </w:p>
        </w:tc>
        <w:tc>
          <w:tcPr>
            <w:tcW w:w="2110" w:type="dxa"/>
          </w:tcPr>
          <w:p>
            <w:pPr>
              <w:pStyle w:val="TableParagraph"/>
              <w:spacing w:before="11"/>
              <w:rPr>
                <w:rFonts w:ascii="黑体"/>
                <w:sz w:val="19"/>
              </w:rPr>
            </w:pPr>
          </w:p>
          <w:p>
            <w:pPr>
              <w:pStyle w:val="TableParagraph"/>
              <w:spacing w:before="1"/>
              <w:ind w:left="99" w:right="99"/>
              <w:jc w:val="center"/>
              <w:rPr>
                <w:sz w:val="20"/>
              </w:rPr>
            </w:pPr>
            <w:r>
              <w:rPr>
                <w:sz w:val="20"/>
              </w:rPr>
              <w:t>王爷庙基础设施建设</w:t>
            </w:r>
          </w:p>
        </w:tc>
        <w:tc>
          <w:tcPr>
            <w:tcW w:w="1256" w:type="dxa"/>
          </w:tcPr>
          <w:p>
            <w:pPr>
              <w:pStyle w:val="TableParagraph"/>
              <w:spacing w:before="11"/>
              <w:rPr>
                <w:rFonts w:ascii="黑体"/>
                <w:sz w:val="19"/>
              </w:rPr>
            </w:pPr>
          </w:p>
          <w:p>
            <w:pPr>
              <w:pStyle w:val="TableParagraph"/>
              <w:spacing w:before="1"/>
              <w:ind w:left="152" w:right="152"/>
              <w:jc w:val="center"/>
              <w:rPr>
                <w:sz w:val="20"/>
              </w:rPr>
            </w:pPr>
            <w:r>
              <w:rPr>
                <w:sz w:val="20"/>
              </w:rPr>
              <w:t>2016-2018</w:t>
            </w:r>
          </w:p>
        </w:tc>
        <w:tc>
          <w:tcPr>
            <w:tcW w:w="3662" w:type="dxa"/>
          </w:tcPr>
          <w:p>
            <w:pPr>
              <w:pStyle w:val="TableParagraph"/>
              <w:spacing w:before="131"/>
              <w:ind w:left="1425" w:right="107" w:hanging="1300"/>
              <w:rPr>
                <w:sz w:val="20"/>
              </w:rPr>
            </w:pPr>
            <w:r>
              <w:rPr>
                <w:sz w:val="20"/>
              </w:rPr>
              <w:t>给水管网、污水管网、道路及其他配套基础设施</w:t>
            </w:r>
          </w:p>
        </w:tc>
        <w:tc>
          <w:tcPr>
            <w:tcW w:w="1058" w:type="dxa"/>
          </w:tcPr>
          <w:p>
            <w:pPr>
              <w:pStyle w:val="TableParagraph"/>
              <w:spacing w:before="11"/>
              <w:rPr>
                <w:rFonts w:ascii="黑体"/>
                <w:sz w:val="19"/>
              </w:rPr>
            </w:pPr>
          </w:p>
          <w:p>
            <w:pPr>
              <w:pStyle w:val="TableParagraph"/>
              <w:spacing w:before="1"/>
              <w:ind w:left="153" w:right="153"/>
              <w:jc w:val="center"/>
              <w:rPr>
                <w:sz w:val="20"/>
              </w:rPr>
            </w:pPr>
            <w:r>
              <w:rPr>
                <w:sz w:val="20"/>
              </w:rPr>
              <w:t>4600</w:t>
            </w:r>
          </w:p>
        </w:tc>
        <w:tc>
          <w:tcPr>
            <w:tcW w:w="1051" w:type="dxa"/>
          </w:tcPr>
          <w:p>
            <w:pPr>
              <w:pStyle w:val="TableParagraph"/>
              <w:spacing w:before="11"/>
              <w:rPr>
                <w:rFonts w:ascii="黑体"/>
                <w:sz w:val="19"/>
              </w:rPr>
            </w:pPr>
          </w:p>
          <w:p>
            <w:pPr>
              <w:pStyle w:val="TableParagraph"/>
              <w:spacing w:before="1"/>
              <w:ind w:left="219"/>
              <w:rPr>
                <w:sz w:val="20"/>
              </w:rPr>
            </w:pPr>
            <w:r>
              <w:rPr>
                <w:sz w:val="20"/>
              </w:rPr>
              <w:t>住建局</w:t>
            </w:r>
          </w:p>
        </w:tc>
      </w:tr>
      <w:tr>
        <w:trPr>
          <w:trHeight w:val="700" w:hRule="atLeast"/>
        </w:trPr>
        <w:tc>
          <w:tcPr>
            <w:tcW w:w="502" w:type="dxa"/>
          </w:tcPr>
          <w:p>
            <w:pPr>
              <w:pStyle w:val="TableParagraph"/>
              <w:spacing w:before="1"/>
              <w:rPr>
                <w:rFonts w:ascii="黑体"/>
                <w:sz w:val="15"/>
              </w:rPr>
            </w:pPr>
          </w:p>
          <w:p>
            <w:pPr>
              <w:pStyle w:val="TableParagraph"/>
              <w:spacing w:before="1"/>
              <w:ind w:left="125" w:right="125"/>
              <w:jc w:val="center"/>
              <w:rPr>
                <w:sz w:val="20"/>
              </w:rPr>
            </w:pPr>
            <w:r>
              <w:rPr>
                <w:sz w:val="20"/>
              </w:rPr>
              <w:t>58</w:t>
            </w:r>
          </w:p>
        </w:tc>
        <w:tc>
          <w:tcPr>
            <w:tcW w:w="2110" w:type="dxa"/>
          </w:tcPr>
          <w:p>
            <w:pPr>
              <w:pStyle w:val="TableParagraph"/>
              <w:spacing w:line="237" w:lineRule="auto" w:before="71"/>
              <w:ind w:left="647" w:right="132" w:hanging="500"/>
              <w:rPr>
                <w:sz w:val="20"/>
              </w:rPr>
            </w:pPr>
            <w:r>
              <w:rPr>
                <w:sz w:val="20"/>
              </w:rPr>
              <w:t>工农街、花盐街、群力街棚改</w:t>
            </w:r>
          </w:p>
        </w:tc>
        <w:tc>
          <w:tcPr>
            <w:tcW w:w="1256" w:type="dxa"/>
          </w:tcPr>
          <w:p>
            <w:pPr>
              <w:pStyle w:val="TableParagraph"/>
              <w:spacing w:before="1"/>
              <w:rPr>
                <w:rFonts w:ascii="黑体"/>
                <w:sz w:val="15"/>
              </w:rPr>
            </w:pPr>
          </w:p>
          <w:p>
            <w:pPr>
              <w:pStyle w:val="TableParagraph"/>
              <w:spacing w:before="1"/>
              <w:ind w:left="152" w:right="152"/>
              <w:jc w:val="center"/>
              <w:rPr>
                <w:sz w:val="20"/>
              </w:rPr>
            </w:pPr>
            <w:r>
              <w:rPr>
                <w:sz w:val="20"/>
              </w:rPr>
              <w:t>2016-2019</w:t>
            </w:r>
          </w:p>
        </w:tc>
        <w:tc>
          <w:tcPr>
            <w:tcW w:w="3662" w:type="dxa"/>
          </w:tcPr>
          <w:p>
            <w:pPr>
              <w:pStyle w:val="TableParagraph"/>
              <w:spacing w:before="1"/>
              <w:rPr>
                <w:rFonts w:ascii="黑体"/>
                <w:sz w:val="15"/>
              </w:rPr>
            </w:pPr>
          </w:p>
          <w:p>
            <w:pPr>
              <w:pStyle w:val="TableParagraph"/>
              <w:spacing w:before="1"/>
              <w:ind w:left="550"/>
              <w:rPr>
                <w:sz w:val="20"/>
              </w:rPr>
            </w:pPr>
            <w:r>
              <w:rPr>
                <w:sz w:val="20"/>
              </w:rPr>
              <w:t>1755 户，面积 14.3 万平方米</w:t>
            </w:r>
          </w:p>
        </w:tc>
        <w:tc>
          <w:tcPr>
            <w:tcW w:w="1058" w:type="dxa"/>
          </w:tcPr>
          <w:p>
            <w:pPr>
              <w:pStyle w:val="TableParagraph"/>
              <w:spacing w:before="1"/>
              <w:rPr>
                <w:rFonts w:ascii="黑体"/>
                <w:sz w:val="15"/>
              </w:rPr>
            </w:pPr>
          </w:p>
          <w:p>
            <w:pPr>
              <w:pStyle w:val="TableParagraph"/>
              <w:spacing w:before="1"/>
              <w:ind w:left="153" w:right="150"/>
              <w:jc w:val="center"/>
              <w:rPr>
                <w:sz w:val="20"/>
              </w:rPr>
            </w:pPr>
            <w:r>
              <w:rPr>
                <w:sz w:val="20"/>
              </w:rPr>
              <w:t>45000</w:t>
            </w:r>
          </w:p>
        </w:tc>
        <w:tc>
          <w:tcPr>
            <w:tcW w:w="1051" w:type="dxa"/>
          </w:tcPr>
          <w:p>
            <w:pPr>
              <w:pStyle w:val="TableParagraph"/>
              <w:spacing w:before="1"/>
              <w:rPr>
                <w:rFonts w:ascii="黑体"/>
                <w:sz w:val="15"/>
              </w:rPr>
            </w:pPr>
          </w:p>
          <w:p>
            <w:pPr>
              <w:pStyle w:val="TableParagraph"/>
              <w:spacing w:before="1"/>
              <w:ind w:left="220"/>
              <w:rPr>
                <w:sz w:val="20"/>
              </w:rPr>
            </w:pPr>
            <w:r>
              <w:rPr>
                <w:sz w:val="20"/>
              </w:rPr>
              <w:t>住建局</w:t>
            </w:r>
          </w:p>
        </w:tc>
      </w:tr>
      <w:tr>
        <w:trPr>
          <w:trHeight w:val="700" w:hRule="atLeast"/>
        </w:trPr>
        <w:tc>
          <w:tcPr>
            <w:tcW w:w="502" w:type="dxa"/>
          </w:tcPr>
          <w:p>
            <w:pPr>
              <w:pStyle w:val="TableParagraph"/>
              <w:spacing w:before="1"/>
              <w:rPr>
                <w:rFonts w:ascii="黑体"/>
                <w:sz w:val="15"/>
              </w:rPr>
            </w:pPr>
          </w:p>
          <w:p>
            <w:pPr>
              <w:pStyle w:val="TableParagraph"/>
              <w:spacing w:before="1"/>
              <w:ind w:left="125" w:right="125"/>
              <w:jc w:val="center"/>
              <w:rPr>
                <w:sz w:val="20"/>
              </w:rPr>
            </w:pPr>
            <w:r>
              <w:rPr>
                <w:sz w:val="20"/>
              </w:rPr>
              <w:t>59</w:t>
            </w:r>
          </w:p>
        </w:tc>
        <w:tc>
          <w:tcPr>
            <w:tcW w:w="2110" w:type="dxa"/>
          </w:tcPr>
          <w:p>
            <w:pPr>
              <w:pStyle w:val="TableParagraph"/>
              <w:spacing w:line="237" w:lineRule="auto" w:before="71"/>
              <w:ind w:left="848" w:right="131" w:hanging="700"/>
              <w:rPr>
                <w:sz w:val="20"/>
              </w:rPr>
            </w:pPr>
            <w:r>
              <w:rPr>
                <w:sz w:val="20"/>
              </w:rPr>
              <w:t>市建会、跃进街片区棚改</w:t>
            </w:r>
          </w:p>
        </w:tc>
        <w:tc>
          <w:tcPr>
            <w:tcW w:w="1256" w:type="dxa"/>
          </w:tcPr>
          <w:p>
            <w:pPr>
              <w:pStyle w:val="TableParagraph"/>
              <w:spacing w:before="1"/>
              <w:rPr>
                <w:rFonts w:ascii="黑体"/>
                <w:sz w:val="15"/>
              </w:rPr>
            </w:pPr>
          </w:p>
          <w:p>
            <w:pPr>
              <w:pStyle w:val="TableParagraph"/>
              <w:spacing w:before="1"/>
              <w:ind w:left="152" w:right="152"/>
              <w:jc w:val="center"/>
              <w:rPr>
                <w:sz w:val="20"/>
              </w:rPr>
            </w:pPr>
            <w:r>
              <w:rPr>
                <w:sz w:val="20"/>
              </w:rPr>
              <w:t>2016-2018</w:t>
            </w:r>
          </w:p>
        </w:tc>
        <w:tc>
          <w:tcPr>
            <w:tcW w:w="3662" w:type="dxa"/>
          </w:tcPr>
          <w:p>
            <w:pPr>
              <w:pStyle w:val="TableParagraph"/>
              <w:spacing w:before="1"/>
              <w:rPr>
                <w:rFonts w:ascii="黑体"/>
                <w:sz w:val="15"/>
              </w:rPr>
            </w:pPr>
          </w:p>
          <w:p>
            <w:pPr>
              <w:pStyle w:val="TableParagraph"/>
              <w:spacing w:before="1"/>
              <w:ind w:left="651"/>
              <w:rPr>
                <w:sz w:val="20"/>
              </w:rPr>
            </w:pPr>
            <w:r>
              <w:rPr>
                <w:sz w:val="20"/>
              </w:rPr>
              <w:t>630 户，面积 7.6 万平方米</w:t>
            </w:r>
          </w:p>
        </w:tc>
        <w:tc>
          <w:tcPr>
            <w:tcW w:w="1058" w:type="dxa"/>
          </w:tcPr>
          <w:p>
            <w:pPr>
              <w:pStyle w:val="TableParagraph"/>
              <w:spacing w:before="1"/>
              <w:rPr>
                <w:rFonts w:ascii="黑体"/>
                <w:sz w:val="15"/>
              </w:rPr>
            </w:pPr>
          </w:p>
          <w:p>
            <w:pPr>
              <w:pStyle w:val="TableParagraph"/>
              <w:spacing w:before="1"/>
              <w:ind w:left="153" w:right="153"/>
              <w:jc w:val="center"/>
              <w:rPr>
                <w:sz w:val="20"/>
              </w:rPr>
            </w:pPr>
            <w:r>
              <w:rPr>
                <w:sz w:val="20"/>
              </w:rPr>
              <w:t>23000</w:t>
            </w:r>
          </w:p>
        </w:tc>
        <w:tc>
          <w:tcPr>
            <w:tcW w:w="1051" w:type="dxa"/>
          </w:tcPr>
          <w:p>
            <w:pPr>
              <w:pStyle w:val="TableParagraph"/>
              <w:spacing w:before="1"/>
              <w:rPr>
                <w:rFonts w:ascii="黑体"/>
                <w:sz w:val="15"/>
              </w:rPr>
            </w:pPr>
          </w:p>
          <w:p>
            <w:pPr>
              <w:pStyle w:val="TableParagraph"/>
              <w:spacing w:before="1"/>
              <w:ind w:left="219"/>
              <w:rPr>
                <w:sz w:val="20"/>
              </w:rPr>
            </w:pPr>
            <w:r>
              <w:rPr>
                <w:sz w:val="20"/>
              </w:rPr>
              <w:t>住建局</w:t>
            </w:r>
          </w:p>
        </w:tc>
      </w:tr>
      <w:tr>
        <w:trPr>
          <w:trHeight w:val="980" w:hRule="atLeast"/>
        </w:trPr>
        <w:tc>
          <w:tcPr>
            <w:tcW w:w="502" w:type="dxa"/>
          </w:tcPr>
          <w:p>
            <w:pPr>
              <w:pStyle w:val="TableParagraph"/>
              <w:spacing w:before="3"/>
              <w:rPr>
                <w:rFonts w:ascii="黑体"/>
                <w:sz w:val="25"/>
              </w:rPr>
            </w:pPr>
          </w:p>
          <w:p>
            <w:pPr>
              <w:pStyle w:val="TableParagraph"/>
              <w:ind w:left="125" w:right="125"/>
              <w:jc w:val="center"/>
              <w:rPr>
                <w:sz w:val="20"/>
              </w:rPr>
            </w:pPr>
            <w:r>
              <w:rPr>
                <w:sz w:val="20"/>
              </w:rPr>
              <w:t>60</w:t>
            </w:r>
          </w:p>
        </w:tc>
        <w:tc>
          <w:tcPr>
            <w:tcW w:w="2110" w:type="dxa"/>
          </w:tcPr>
          <w:p>
            <w:pPr>
              <w:pStyle w:val="TableParagraph"/>
              <w:spacing w:before="6"/>
              <w:rPr>
                <w:rFonts w:ascii="黑体"/>
                <w:sz w:val="15"/>
              </w:rPr>
            </w:pPr>
          </w:p>
          <w:p>
            <w:pPr>
              <w:pStyle w:val="TableParagraph"/>
              <w:spacing w:line="237" w:lineRule="auto" w:before="1"/>
              <w:ind w:left="548" w:right="131" w:hanging="400"/>
              <w:rPr>
                <w:sz w:val="20"/>
              </w:rPr>
            </w:pPr>
            <w:r>
              <w:rPr>
                <w:sz w:val="20"/>
              </w:rPr>
              <w:t>牛华镇二码头毛家巷子片区棚改</w:t>
            </w:r>
          </w:p>
        </w:tc>
        <w:tc>
          <w:tcPr>
            <w:tcW w:w="1256" w:type="dxa"/>
          </w:tcPr>
          <w:p>
            <w:pPr>
              <w:pStyle w:val="TableParagraph"/>
              <w:spacing w:before="3"/>
              <w:rPr>
                <w:rFonts w:ascii="黑体"/>
                <w:sz w:val="25"/>
              </w:rPr>
            </w:pPr>
          </w:p>
          <w:p>
            <w:pPr>
              <w:pStyle w:val="TableParagraph"/>
              <w:ind w:left="151" w:right="152"/>
              <w:jc w:val="center"/>
              <w:rPr>
                <w:sz w:val="20"/>
              </w:rPr>
            </w:pPr>
            <w:r>
              <w:rPr>
                <w:sz w:val="20"/>
              </w:rPr>
              <w:t>2017-2019</w:t>
            </w:r>
          </w:p>
        </w:tc>
        <w:tc>
          <w:tcPr>
            <w:tcW w:w="3662" w:type="dxa"/>
          </w:tcPr>
          <w:p>
            <w:pPr>
              <w:pStyle w:val="TableParagraph"/>
              <w:spacing w:before="3"/>
              <w:rPr>
                <w:rFonts w:ascii="黑体"/>
                <w:sz w:val="25"/>
              </w:rPr>
            </w:pPr>
          </w:p>
          <w:p>
            <w:pPr>
              <w:pStyle w:val="TableParagraph"/>
              <w:ind w:left="599"/>
              <w:rPr>
                <w:sz w:val="20"/>
              </w:rPr>
            </w:pPr>
            <w:r>
              <w:rPr>
                <w:sz w:val="20"/>
              </w:rPr>
              <w:t>203 户，面积 1.60 万平方米</w:t>
            </w:r>
          </w:p>
        </w:tc>
        <w:tc>
          <w:tcPr>
            <w:tcW w:w="1058" w:type="dxa"/>
          </w:tcPr>
          <w:p>
            <w:pPr>
              <w:pStyle w:val="TableParagraph"/>
              <w:spacing w:before="3"/>
              <w:rPr>
                <w:rFonts w:ascii="黑体"/>
                <w:sz w:val="25"/>
              </w:rPr>
            </w:pPr>
          </w:p>
          <w:p>
            <w:pPr>
              <w:pStyle w:val="TableParagraph"/>
              <w:ind w:left="153" w:right="153"/>
              <w:jc w:val="center"/>
              <w:rPr>
                <w:sz w:val="20"/>
              </w:rPr>
            </w:pPr>
            <w:r>
              <w:rPr>
                <w:sz w:val="20"/>
              </w:rPr>
              <w:t>7450</w:t>
            </w:r>
          </w:p>
        </w:tc>
        <w:tc>
          <w:tcPr>
            <w:tcW w:w="1051" w:type="dxa"/>
          </w:tcPr>
          <w:p>
            <w:pPr>
              <w:pStyle w:val="TableParagraph"/>
              <w:spacing w:before="3"/>
              <w:rPr>
                <w:rFonts w:ascii="黑体"/>
                <w:sz w:val="25"/>
              </w:rPr>
            </w:pPr>
          </w:p>
          <w:p>
            <w:pPr>
              <w:pStyle w:val="TableParagraph"/>
              <w:ind w:left="219"/>
              <w:rPr>
                <w:sz w:val="20"/>
              </w:rPr>
            </w:pPr>
            <w:r>
              <w:rPr>
                <w:sz w:val="20"/>
              </w:rPr>
              <w:t>住建局</w:t>
            </w:r>
          </w:p>
        </w:tc>
      </w:tr>
    </w:tbl>
    <w:p>
      <w:pPr>
        <w:spacing w:after="0"/>
        <w:rPr>
          <w:sz w:val="20"/>
        </w:rPr>
        <w:sectPr>
          <w:pgSz w:w="11910" w:h="16840"/>
          <w:pgMar w:header="0" w:footer="938" w:top="1440" w:bottom="1120" w:left="880" w:right="1160"/>
        </w:sectPr>
      </w:pPr>
    </w:p>
    <w:tbl>
      <w:tblPr>
        <w:tblW w:w="0" w:type="auto"/>
        <w:jc w:val="left"/>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02"/>
        <w:gridCol w:w="2110"/>
        <w:gridCol w:w="1256"/>
        <w:gridCol w:w="3662"/>
        <w:gridCol w:w="1058"/>
        <w:gridCol w:w="1051"/>
      </w:tblGrid>
      <w:tr>
        <w:trPr>
          <w:trHeight w:val="700" w:hRule="atLeast"/>
        </w:trPr>
        <w:tc>
          <w:tcPr>
            <w:tcW w:w="502" w:type="dxa"/>
          </w:tcPr>
          <w:p>
            <w:pPr>
              <w:pStyle w:val="TableParagraph"/>
              <w:spacing w:before="1"/>
              <w:rPr>
                <w:rFonts w:ascii="黑体"/>
                <w:sz w:val="15"/>
              </w:rPr>
            </w:pPr>
          </w:p>
          <w:p>
            <w:pPr>
              <w:pStyle w:val="TableParagraph"/>
              <w:spacing w:before="1"/>
              <w:ind w:left="125" w:right="125"/>
              <w:jc w:val="center"/>
              <w:rPr>
                <w:sz w:val="20"/>
              </w:rPr>
            </w:pPr>
            <w:r>
              <w:rPr>
                <w:sz w:val="20"/>
              </w:rPr>
              <w:t>61</w:t>
            </w:r>
          </w:p>
        </w:tc>
        <w:tc>
          <w:tcPr>
            <w:tcW w:w="2110" w:type="dxa"/>
          </w:tcPr>
          <w:p>
            <w:pPr>
              <w:pStyle w:val="TableParagraph"/>
              <w:spacing w:line="237" w:lineRule="auto" w:before="71"/>
              <w:ind w:left="848" w:right="131" w:hanging="700"/>
              <w:rPr>
                <w:sz w:val="20"/>
              </w:rPr>
            </w:pPr>
            <w:r>
              <w:rPr>
                <w:sz w:val="20"/>
              </w:rPr>
              <w:t>佑君社区瓦窑沱片区棚改</w:t>
            </w:r>
          </w:p>
        </w:tc>
        <w:tc>
          <w:tcPr>
            <w:tcW w:w="1256" w:type="dxa"/>
          </w:tcPr>
          <w:p>
            <w:pPr>
              <w:pStyle w:val="TableParagraph"/>
              <w:spacing w:before="1"/>
              <w:rPr>
                <w:rFonts w:ascii="黑体"/>
                <w:sz w:val="15"/>
              </w:rPr>
            </w:pPr>
          </w:p>
          <w:p>
            <w:pPr>
              <w:pStyle w:val="TableParagraph"/>
              <w:spacing w:before="1"/>
              <w:ind w:left="151" w:right="152"/>
              <w:jc w:val="center"/>
              <w:rPr>
                <w:sz w:val="20"/>
              </w:rPr>
            </w:pPr>
            <w:r>
              <w:rPr>
                <w:sz w:val="20"/>
              </w:rPr>
              <w:t>2016-2017</w:t>
            </w:r>
          </w:p>
        </w:tc>
        <w:tc>
          <w:tcPr>
            <w:tcW w:w="3662" w:type="dxa"/>
          </w:tcPr>
          <w:p>
            <w:pPr>
              <w:pStyle w:val="TableParagraph"/>
              <w:spacing w:before="1"/>
              <w:rPr>
                <w:rFonts w:ascii="黑体"/>
                <w:sz w:val="15"/>
              </w:rPr>
            </w:pPr>
          </w:p>
          <w:p>
            <w:pPr>
              <w:pStyle w:val="TableParagraph"/>
              <w:spacing w:before="1"/>
              <w:ind w:left="13" w:right="14"/>
              <w:jc w:val="center"/>
              <w:rPr>
                <w:sz w:val="20"/>
              </w:rPr>
            </w:pPr>
            <w:r>
              <w:rPr>
                <w:sz w:val="20"/>
              </w:rPr>
              <w:t>472 户，面积 2.39 万平方米</w:t>
            </w:r>
          </w:p>
        </w:tc>
        <w:tc>
          <w:tcPr>
            <w:tcW w:w="1058" w:type="dxa"/>
          </w:tcPr>
          <w:p>
            <w:pPr>
              <w:pStyle w:val="TableParagraph"/>
              <w:spacing w:before="1"/>
              <w:rPr>
                <w:rFonts w:ascii="黑体"/>
                <w:sz w:val="15"/>
              </w:rPr>
            </w:pPr>
          </w:p>
          <w:p>
            <w:pPr>
              <w:pStyle w:val="TableParagraph"/>
              <w:spacing w:before="1"/>
              <w:ind w:left="153" w:right="153"/>
              <w:jc w:val="center"/>
              <w:rPr>
                <w:sz w:val="20"/>
              </w:rPr>
            </w:pPr>
            <w:r>
              <w:rPr>
                <w:sz w:val="20"/>
              </w:rPr>
              <w:t>7168</w:t>
            </w:r>
          </w:p>
        </w:tc>
        <w:tc>
          <w:tcPr>
            <w:tcW w:w="1051" w:type="dxa"/>
          </w:tcPr>
          <w:p>
            <w:pPr>
              <w:pStyle w:val="TableParagraph"/>
              <w:spacing w:before="1"/>
              <w:rPr>
                <w:rFonts w:ascii="黑体"/>
                <w:sz w:val="15"/>
              </w:rPr>
            </w:pPr>
          </w:p>
          <w:p>
            <w:pPr>
              <w:pStyle w:val="TableParagraph"/>
              <w:spacing w:before="1"/>
              <w:ind w:left="219"/>
              <w:rPr>
                <w:sz w:val="20"/>
              </w:rPr>
            </w:pPr>
            <w:r>
              <w:rPr>
                <w:sz w:val="20"/>
              </w:rPr>
              <w:t>住建局</w:t>
            </w:r>
          </w:p>
        </w:tc>
      </w:tr>
      <w:tr>
        <w:trPr>
          <w:trHeight w:val="720" w:hRule="atLeast"/>
        </w:trPr>
        <w:tc>
          <w:tcPr>
            <w:tcW w:w="502" w:type="dxa"/>
          </w:tcPr>
          <w:p>
            <w:pPr>
              <w:pStyle w:val="TableParagraph"/>
              <w:spacing w:before="1"/>
              <w:rPr>
                <w:rFonts w:ascii="黑体"/>
                <w:sz w:val="15"/>
              </w:rPr>
            </w:pPr>
          </w:p>
          <w:p>
            <w:pPr>
              <w:pStyle w:val="TableParagraph"/>
              <w:spacing w:before="1"/>
              <w:ind w:left="125" w:right="125"/>
              <w:jc w:val="center"/>
              <w:rPr>
                <w:sz w:val="20"/>
              </w:rPr>
            </w:pPr>
            <w:r>
              <w:rPr>
                <w:sz w:val="20"/>
              </w:rPr>
              <w:t>62</w:t>
            </w:r>
          </w:p>
        </w:tc>
        <w:tc>
          <w:tcPr>
            <w:tcW w:w="2110" w:type="dxa"/>
          </w:tcPr>
          <w:p>
            <w:pPr>
              <w:pStyle w:val="TableParagraph"/>
              <w:spacing w:line="237" w:lineRule="auto" w:before="71"/>
              <w:ind w:left="848" w:right="131" w:hanging="700"/>
              <w:rPr>
                <w:sz w:val="20"/>
              </w:rPr>
            </w:pPr>
            <w:r>
              <w:rPr>
                <w:sz w:val="20"/>
              </w:rPr>
              <w:t>佑君社区青龙嘴片区棚改</w:t>
            </w:r>
          </w:p>
        </w:tc>
        <w:tc>
          <w:tcPr>
            <w:tcW w:w="1256" w:type="dxa"/>
          </w:tcPr>
          <w:p>
            <w:pPr>
              <w:pStyle w:val="TableParagraph"/>
              <w:spacing w:before="1"/>
              <w:rPr>
                <w:rFonts w:ascii="黑体"/>
                <w:sz w:val="15"/>
              </w:rPr>
            </w:pPr>
          </w:p>
          <w:p>
            <w:pPr>
              <w:pStyle w:val="TableParagraph"/>
              <w:spacing w:before="1"/>
              <w:ind w:left="152" w:right="152"/>
              <w:jc w:val="center"/>
              <w:rPr>
                <w:sz w:val="20"/>
              </w:rPr>
            </w:pPr>
            <w:r>
              <w:rPr>
                <w:sz w:val="20"/>
              </w:rPr>
              <w:t>2016-2018</w:t>
            </w:r>
          </w:p>
        </w:tc>
        <w:tc>
          <w:tcPr>
            <w:tcW w:w="3662" w:type="dxa"/>
          </w:tcPr>
          <w:p>
            <w:pPr>
              <w:pStyle w:val="TableParagraph"/>
              <w:spacing w:before="1"/>
              <w:rPr>
                <w:rFonts w:ascii="黑体"/>
                <w:sz w:val="15"/>
              </w:rPr>
            </w:pPr>
          </w:p>
          <w:p>
            <w:pPr>
              <w:pStyle w:val="TableParagraph"/>
              <w:spacing w:before="1"/>
              <w:ind w:left="13" w:right="10"/>
              <w:jc w:val="center"/>
              <w:rPr>
                <w:sz w:val="20"/>
              </w:rPr>
            </w:pPr>
            <w:r>
              <w:rPr>
                <w:sz w:val="20"/>
              </w:rPr>
              <w:t>1070 户，面积 5.83 万平方米</w:t>
            </w:r>
          </w:p>
        </w:tc>
        <w:tc>
          <w:tcPr>
            <w:tcW w:w="1058" w:type="dxa"/>
          </w:tcPr>
          <w:p>
            <w:pPr>
              <w:pStyle w:val="TableParagraph"/>
              <w:spacing w:before="1"/>
              <w:rPr>
                <w:rFonts w:ascii="黑体"/>
                <w:sz w:val="15"/>
              </w:rPr>
            </w:pPr>
          </w:p>
          <w:p>
            <w:pPr>
              <w:pStyle w:val="TableParagraph"/>
              <w:spacing w:before="1"/>
              <w:ind w:left="153" w:right="150"/>
              <w:jc w:val="center"/>
              <w:rPr>
                <w:sz w:val="20"/>
              </w:rPr>
            </w:pPr>
            <w:r>
              <w:rPr>
                <w:sz w:val="20"/>
              </w:rPr>
              <w:t>14567</w:t>
            </w:r>
          </w:p>
        </w:tc>
        <w:tc>
          <w:tcPr>
            <w:tcW w:w="1051" w:type="dxa"/>
          </w:tcPr>
          <w:p>
            <w:pPr>
              <w:pStyle w:val="TableParagraph"/>
              <w:spacing w:before="1"/>
              <w:rPr>
                <w:rFonts w:ascii="黑体"/>
                <w:sz w:val="15"/>
              </w:rPr>
            </w:pPr>
          </w:p>
          <w:p>
            <w:pPr>
              <w:pStyle w:val="TableParagraph"/>
              <w:spacing w:before="1"/>
              <w:ind w:left="220"/>
              <w:rPr>
                <w:sz w:val="20"/>
              </w:rPr>
            </w:pPr>
            <w:r>
              <w:rPr>
                <w:sz w:val="20"/>
              </w:rPr>
              <w:t>住建局</w:t>
            </w:r>
          </w:p>
        </w:tc>
      </w:tr>
      <w:tr>
        <w:trPr>
          <w:trHeight w:val="700" w:hRule="atLeast"/>
        </w:trPr>
        <w:tc>
          <w:tcPr>
            <w:tcW w:w="502" w:type="dxa"/>
          </w:tcPr>
          <w:p>
            <w:pPr>
              <w:pStyle w:val="TableParagraph"/>
              <w:spacing w:before="1"/>
              <w:rPr>
                <w:rFonts w:ascii="黑体"/>
                <w:sz w:val="15"/>
              </w:rPr>
            </w:pPr>
          </w:p>
          <w:p>
            <w:pPr>
              <w:pStyle w:val="TableParagraph"/>
              <w:spacing w:before="1"/>
              <w:ind w:left="124" w:right="125"/>
              <w:jc w:val="center"/>
              <w:rPr>
                <w:sz w:val="20"/>
              </w:rPr>
            </w:pPr>
            <w:r>
              <w:rPr>
                <w:sz w:val="20"/>
              </w:rPr>
              <w:t>63</w:t>
            </w:r>
          </w:p>
        </w:tc>
        <w:tc>
          <w:tcPr>
            <w:tcW w:w="2110" w:type="dxa"/>
          </w:tcPr>
          <w:p>
            <w:pPr>
              <w:pStyle w:val="TableParagraph"/>
              <w:spacing w:before="1"/>
              <w:rPr>
                <w:rFonts w:ascii="黑体"/>
                <w:sz w:val="15"/>
              </w:rPr>
            </w:pPr>
          </w:p>
          <w:p>
            <w:pPr>
              <w:pStyle w:val="TableParagraph"/>
              <w:spacing w:before="1"/>
              <w:ind w:left="99" w:right="102"/>
              <w:jc w:val="center"/>
              <w:rPr>
                <w:sz w:val="20"/>
              </w:rPr>
            </w:pPr>
            <w:r>
              <w:rPr>
                <w:sz w:val="20"/>
              </w:rPr>
              <w:t>岷江社区片区棚改</w:t>
            </w:r>
          </w:p>
        </w:tc>
        <w:tc>
          <w:tcPr>
            <w:tcW w:w="1256" w:type="dxa"/>
          </w:tcPr>
          <w:p>
            <w:pPr>
              <w:pStyle w:val="TableParagraph"/>
              <w:spacing w:before="1"/>
              <w:rPr>
                <w:rFonts w:ascii="黑体"/>
                <w:sz w:val="15"/>
              </w:rPr>
            </w:pPr>
          </w:p>
          <w:p>
            <w:pPr>
              <w:pStyle w:val="TableParagraph"/>
              <w:spacing w:before="1"/>
              <w:ind w:left="151" w:right="152"/>
              <w:jc w:val="center"/>
              <w:rPr>
                <w:sz w:val="20"/>
              </w:rPr>
            </w:pPr>
            <w:r>
              <w:rPr>
                <w:sz w:val="20"/>
              </w:rPr>
              <w:t>2016-2018</w:t>
            </w:r>
          </w:p>
        </w:tc>
        <w:tc>
          <w:tcPr>
            <w:tcW w:w="3662" w:type="dxa"/>
          </w:tcPr>
          <w:p>
            <w:pPr>
              <w:pStyle w:val="TableParagraph"/>
              <w:spacing w:before="1"/>
              <w:rPr>
                <w:rFonts w:ascii="黑体"/>
                <w:sz w:val="15"/>
              </w:rPr>
            </w:pPr>
          </w:p>
          <w:p>
            <w:pPr>
              <w:pStyle w:val="TableParagraph"/>
              <w:spacing w:before="1"/>
              <w:ind w:left="13" w:right="14"/>
              <w:jc w:val="center"/>
              <w:rPr>
                <w:sz w:val="20"/>
              </w:rPr>
            </w:pPr>
            <w:r>
              <w:rPr>
                <w:sz w:val="20"/>
              </w:rPr>
              <w:t>669 户，面积 5.36 万平方米</w:t>
            </w:r>
          </w:p>
        </w:tc>
        <w:tc>
          <w:tcPr>
            <w:tcW w:w="1058" w:type="dxa"/>
          </w:tcPr>
          <w:p>
            <w:pPr>
              <w:pStyle w:val="TableParagraph"/>
              <w:spacing w:before="1"/>
              <w:rPr>
                <w:rFonts w:ascii="黑体"/>
                <w:sz w:val="15"/>
              </w:rPr>
            </w:pPr>
          </w:p>
          <w:p>
            <w:pPr>
              <w:pStyle w:val="TableParagraph"/>
              <w:spacing w:before="1"/>
              <w:ind w:left="153" w:right="153"/>
              <w:jc w:val="center"/>
              <w:rPr>
                <w:sz w:val="20"/>
              </w:rPr>
            </w:pPr>
            <w:r>
              <w:rPr>
                <w:sz w:val="20"/>
              </w:rPr>
              <w:t>5625</w:t>
            </w:r>
          </w:p>
        </w:tc>
        <w:tc>
          <w:tcPr>
            <w:tcW w:w="1051" w:type="dxa"/>
          </w:tcPr>
          <w:p>
            <w:pPr>
              <w:pStyle w:val="TableParagraph"/>
              <w:spacing w:before="1"/>
              <w:rPr>
                <w:rFonts w:ascii="黑体"/>
                <w:sz w:val="15"/>
              </w:rPr>
            </w:pPr>
          </w:p>
          <w:p>
            <w:pPr>
              <w:pStyle w:val="TableParagraph"/>
              <w:spacing w:before="1"/>
              <w:ind w:left="219"/>
              <w:rPr>
                <w:sz w:val="20"/>
              </w:rPr>
            </w:pPr>
            <w:r>
              <w:rPr>
                <w:sz w:val="20"/>
              </w:rPr>
              <w:t>住建局</w:t>
            </w:r>
          </w:p>
        </w:tc>
      </w:tr>
      <w:tr>
        <w:trPr>
          <w:trHeight w:val="700" w:hRule="atLeast"/>
        </w:trPr>
        <w:tc>
          <w:tcPr>
            <w:tcW w:w="502" w:type="dxa"/>
          </w:tcPr>
          <w:p>
            <w:pPr>
              <w:pStyle w:val="TableParagraph"/>
              <w:spacing w:before="1"/>
              <w:rPr>
                <w:rFonts w:ascii="黑体"/>
                <w:sz w:val="15"/>
              </w:rPr>
            </w:pPr>
          </w:p>
          <w:p>
            <w:pPr>
              <w:pStyle w:val="TableParagraph"/>
              <w:spacing w:before="1"/>
              <w:ind w:left="124" w:right="125"/>
              <w:jc w:val="center"/>
              <w:rPr>
                <w:sz w:val="20"/>
              </w:rPr>
            </w:pPr>
            <w:r>
              <w:rPr>
                <w:sz w:val="20"/>
              </w:rPr>
              <w:t>64</w:t>
            </w:r>
          </w:p>
        </w:tc>
        <w:tc>
          <w:tcPr>
            <w:tcW w:w="2110" w:type="dxa"/>
          </w:tcPr>
          <w:p>
            <w:pPr>
              <w:pStyle w:val="TableParagraph"/>
              <w:spacing w:before="1"/>
              <w:rPr>
                <w:rFonts w:ascii="黑体"/>
                <w:sz w:val="15"/>
              </w:rPr>
            </w:pPr>
          </w:p>
          <w:p>
            <w:pPr>
              <w:pStyle w:val="TableParagraph"/>
              <w:spacing w:before="1"/>
              <w:ind w:left="99" w:right="100"/>
              <w:jc w:val="center"/>
              <w:rPr>
                <w:sz w:val="20"/>
              </w:rPr>
            </w:pPr>
            <w:r>
              <w:rPr>
                <w:sz w:val="20"/>
              </w:rPr>
              <w:t>原涌江宾馆片区</w:t>
            </w:r>
          </w:p>
        </w:tc>
        <w:tc>
          <w:tcPr>
            <w:tcW w:w="1256" w:type="dxa"/>
          </w:tcPr>
          <w:p>
            <w:pPr>
              <w:pStyle w:val="TableParagraph"/>
              <w:spacing w:before="1"/>
              <w:rPr>
                <w:rFonts w:ascii="黑体"/>
                <w:sz w:val="15"/>
              </w:rPr>
            </w:pPr>
          </w:p>
          <w:p>
            <w:pPr>
              <w:pStyle w:val="TableParagraph"/>
              <w:spacing w:before="1"/>
              <w:ind w:left="152" w:right="152"/>
              <w:jc w:val="center"/>
              <w:rPr>
                <w:sz w:val="20"/>
              </w:rPr>
            </w:pPr>
            <w:r>
              <w:rPr>
                <w:sz w:val="20"/>
              </w:rPr>
              <w:t>2016-2019</w:t>
            </w:r>
          </w:p>
        </w:tc>
        <w:tc>
          <w:tcPr>
            <w:tcW w:w="3662" w:type="dxa"/>
          </w:tcPr>
          <w:p>
            <w:pPr>
              <w:pStyle w:val="TableParagraph"/>
              <w:spacing w:before="1"/>
              <w:rPr>
                <w:rFonts w:ascii="黑体"/>
                <w:sz w:val="15"/>
              </w:rPr>
            </w:pPr>
          </w:p>
          <w:p>
            <w:pPr>
              <w:pStyle w:val="TableParagraph"/>
              <w:spacing w:before="1"/>
              <w:ind w:left="13" w:right="13"/>
              <w:jc w:val="center"/>
              <w:rPr>
                <w:sz w:val="20"/>
              </w:rPr>
            </w:pPr>
            <w:r>
              <w:rPr>
                <w:sz w:val="20"/>
              </w:rPr>
              <w:t>572 户，面积 7.7377 平方米</w:t>
            </w:r>
          </w:p>
        </w:tc>
        <w:tc>
          <w:tcPr>
            <w:tcW w:w="1058" w:type="dxa"/>
          </w:tcPr>
          <w:p>
            <w:pPr>
              <w:pStyle w:val="TableParagraph"/>
              <w:spacing w:before="1"/>
              <w:rPr>
                <w:rFonts w:ascii="黑体"/>
                <w:sz w:val="15"/>
              </w:rPr>
            </w:pPr>
          </w:p>
          <w:p>
            <w:pPr>
              <w:pStyle w:val="TableParagraph"/>
              <w:spacing w:before="1"/>
              <w:ind w:left="153" w:right="153"/>
              <w:jc w:val="center"/>
              <w:rPr>
                <w:sz w:val="20"/>
              </w:rPr>
            </w:pPr>
            <w:r>
              <w:rPr>
                <w:sz w:val="20"/>
              </w:rPr>
              <w:t>29300</w:t>
            </w:r>
          </w:p>
        </w:tc>
        <w:tc>
          <w:tcPr>
            <w:tcW w:w="1051" w:type="dxa"/>
          </w:tcPr>
          <w:p>
            <w:pPr>
              <w:pStyle w:val="TableParagraph"/>
              <w:spacing w:before="1"/>
              <w:rPr>
                <w:rFonts w:ascii="黑体"/>
                <w:sz w:val="15"/>
              </w:rPr>
            </w:pPr>
          </w:p>
          <w:p>
            <w:pPr>
              <w:pStyle w:val="TableParagraph"/>
              <w:spacing w:before="1"/>
              <w:ind w:left="219"/>
              <w:rPr>
                <w:sz w:val="20"/>
              </w:rPr>
            </w:pPr>
            <w:r>
              <w:rPr>
                <w:sz w:val="20"/>
              </w:rPr>
              <w:t>住建局</w:t>
            </w:r>
          </w:p>
        </w:tc>
      </w:tr>
      <w:tr>
        <w:trPr>
          <w:trHeight w:val="720" w:hRule="atLeast"/>
        </w:trPr>
        <w:tc>
          <w:tcPr>
            <w:tcW w:w="502" w:type="dxa"/>
          </w:tcPr>
          <w:p>
            <w:pPr>
              <w:pStyle w:val="TableParagraph"/>
              <w:spacing w:before="1"/>
              <w:rPr>
                <w:rFonts w:ascii="黑体"/>
                <w:sz w:val="15"/>
              </w:rPr>
            </w:pPr>
          </w:p>
          <w:p>
            <w:pPr>
              <w:pStyle w:val="TableParagraph"/>
              <w:spacing w:before="1"/>
              <w:ind w:left="124" w:right="125"/>
              <w:jc w:val="center"/>
              <w:rPr>
                <w:sz w:val="20"/>
              </w:rPr>
            </w:pPr>
            <w:r>
              <w:rPr>
                <w:sz w:val="20"/>
              </w:rPr>
              <w:t>65</w:t>
            </w:r>
          </w:p>
        </w:tc>
        <w:tc>
          <w:tcPr>
            <w:tcW w:w="2110" w:type="dxa"/>
          </w:tcPr>
          <w:p>
            <w:pPr>
              <w:pStyle w:val="TableParagraph"/>
              <w:spacing w:before="1"/>
              <w:rPr>
                <w:rFonts w:ascii="黑体"/>
                <w:sz w:val="15"/>
              </w:rPr>
            </w:pPr>
          </w:p>
          <w:p>
            <w:pPr>
              <w:pStyle w:val="TableParagraph"/>
              <w:spacing w:before="1"/>
              <w:ind w:left="99" w:right="99"/>
              <w:jc w:val="center"/>
              <w:rPr>
                <w:sz w:val="20"/>
              </w:rPr>
            </w:pPr>
            <w:r>
              <w:rPr>
                <w:sz w:val="20"/>
              </w:rPr>
              <w:t>竹根古镇保护区</w:t>
            </w:r>
          </w:p>
        </w:tc>
        <w:tc>
          <w:tcPr>
            <w:tcW w:w="1256" w:type="dxa"/>
          </w:tcPr>
          <w:p>
            <w:pPr>
              <w:pStyle w:val="TableParagraph"/>
              <w:spacing w:before="1"/>
              <w:rPr>
                <w:rFonts w:ascii="黑体"/>
                <w:sz w:val="15"/>
              </w:rPr>
            </w:pPr>
          </w:p>
          <w:p>
            <w:pPr>
              <w:pStyle w:val="TableParagraph"/>
              <w:spacing w:before="1"/>
              <w:ind w:left="152" w:right="152"/>
              <w:jc w:val="center"/>
              <w:rPr>
                <w:sz w:val="20"/>
              </w:rPr>
            </w:pPr>
            <w:r>
              <w:rPr>
                <w:sz w:val="20"/>
              </w:rPr>
              <w:t>2016-2017</w:t>
            </w:r>
          </w:p>
        </w:tc>
        <w:tc>
          <w:tcPr>
            <w:tcW w:w="3662" w:type="dxa"/>
          </w:tcPr>
          <w:p>
            <w:pPr>
              <w:pStyle w:val="TableParagraph"/>
              <w:spacing w:before="1"/>
              <w:rPr>
                <w:rFonts w:ascii="黑体"/>
                <w:sz w:val="15"/>
              </w:rPr>
            </w:pPr>
          </w:p>
          <w:p>
            <w:pPr>
              <w:pStyle w:val="TableParagraph"/>
              <w:spacing w:before="1"/>
              <w:ind w:left="13" w:right="13"/>
              <w:jc w:val="center"/>
              <w:rPr>
                <w:sz w:val="20"/>
              </w:rPr>
            </w:pPr>
            <w:r>
              <w:rPr>
                <w:sz w:val="20"/>
              </w:rPr>
              <w:t>1755 户，面积 14.3698 平方米</w:t>
            </w:r>
          </w:p>
        </w:tc>
        <w:tc>
          <w:tcPr>
            <w:tcW w:w="1058" w:type="dxa"/>
          </w:tcPr>
          <w:p>
            <w:pPr>
              <w:pStyle w:val="TableParagraph"/>
              <w:spacing w:before="1"/>
              <w:rPr>
                <w:rFonts w:ascii="黑体"/>
                <w:sz w:val="15"/>
              </w:rPr>
            </w:pPr>
          </w:p>
          <w:p>
            <w:pPr>
              <w:pStyle w:val="TableParagraph"/>
              <w:spacing w:before="1"/>
              <w:ind w:left="153" w:right="150"/>
              <w:jc w:val="center"/>
              <w:rPr>
                <w:sz w:val="20"/>
              </w:rPr>
            </w:pPr>
            <w:r>
              <w:rPr>
                <w:sz w:val="20"/>
              </w:rPr>
              <w:t>45000</w:t>
            </w:r>
          </w:p>
        </w:tc>
        <w:tc>
          <w:tcPr>
            <w:tcW w:w="1051" w:type="dxa"/>
          </w:tcPr>
          <w:p>
            <w:pPr>
              <w:pStyle w:val="TableParagraph"/>
              <w:spacing w:before="1"/>
              <w:rPr>
                <w:rFonts w:ascii="黑体"/>
                <w:sz w:val="15"/>
              </w:rPr>
            </w:pPr>
          </w:p>
          <w:p>
            <w:pPr>
              <w:pStyle w:val="TableParagraph"/>
              <w:spacing w:before="1"/>
              <w:ind w:left="220"/>
              <w:rPr>
                <w:sz w:val="20"/>
              </w:rPr>
            </w:pPr>
            <w:r>
              <w:rPr>
                <w:sz w:val="20"/>
              </w:rPr>
              <w:t>住建局</w:t>
            </w:r>
          </w:p>
        </w:tc>
      </w:tr>
      <w:tr>
        <w:trPr>
          <w:trHeight w:val="700" w:hRule="atLeast"/>
        </w:trPr>
        <w:tc>
          <w:tcPr>
            <w:tcW w:w="502" w:type="dxa"/>
          </w:tcPr>
          <w:p>
            <w:pPr>
              <w:pStyle w:val="TableParagraph"/>
              <w:spacing w:before="1"/>
              <w:rPr>
                <w:rFonts w:ascii="黑体"/>
                <w:sz w:val="15"/>
              </w:rPr>
            </w:pPr>
          </w:p>
          <w:p>
            <w:pPr>
              <w:pStyle w:val="TableParagraph"/>
              <w:spacing w:before="1"/>
              <w:ind w:left="124" w:right="125"/>
              <w:jc w:val="center"/>
              <w:rPr>
                <w:sz w:val="20"/>
              </w:rPr>
            </w:pPr>
            <w:r>
              <w:rPr>
                <w:sz w:val="20"/>
              </w:rPr>
              <w:t>66</w:t>
            </w:r>
          </w:p>
        </w:tc>
        <w:tc>
          <w:tcPr>
            <w:tcW w:w="2110" w:type="dxa"/>
          </w:tcPr>
          <w:p>
            <w:pPr>
              <w:pStyle w:val="TableParagraph"/>
              <w:spacing w:before="1"/>
              <w:rPr>
                <w:rFonts w:ascii="黑体"/>
                <w:sz w:val="15"/>
              </w:rPr>
            </w:pPr>
          </w:p>
          <w:p>
            <w:pPr>
              <w:pStyle w:val="TableParagraph"/>
              <w:spacing w:before="1"/>
              <w:ind w:left="99" w:right="100"/>
              <w:jc w:val="center"/>
              <w:rPr>
                <w:sz w:val="20"/>
              </w:rPr>
            </w:pPr>
            <w:r>
              <w:rPr>
                <w:sz w:val="20"/>
              </w:rPr>
              <w:t>东风厂棚改一期</w:t>
            </w:r>
          </w:p>
        </w:tc>
        <w:tc>
          <w:tcPr>
            <w:tcW w:w="1256" w:type="dxa"/>
          </w:tcPr>
          <w:p>
            <w:pPr>
              <w:pStyle w:val="TableParagraph"/>
              <w:spacing w:before="1"/>
              <w:rPr>
                <w:rFonts w:ascii="黑体"/>
                <w:sz w:val="15"/>
              </w:rPr>
            </w:pPr>
          </w:p>
          <w:p>
            <w:pPr>
              <w:pStyle w:val="TableParagraph"/>
              <w:spacing w:before="1"/>
              <w:ind w:left="152" w:right="152"/>
              <w:jc w:val="center"/>
              <w:rPr>
                <w:sz w:val="20"/>
              </w:rPr>
            </w:pPr>
            <w:r>
              <w:rPr>
                <w:sz w:val="20"/>
              </w:rPr>
              <w:t>2016-2017</w:t>
            </w:r>
          </w:p>
        </w:tc>
        <w:tc>
          <w:tcPr>
            <w:tcW w:w="3662" w:type="dxa"/>
          </w:tcPr>
          <w:p>
            <w:pPr>
              <w:pStyle w:val="TableParagraph"/>
              <w:spacing w:before="1"/>
              <w:rPr>
                <w:rFonts w:ascii="黑体"/>
                <w:sz w:val="15"/>
              </w:rPr>
            </w:pPr>
          </w:p>
          <w:p>
            <w:pPr>
              <w:pStyle w:val="TableParagraph"/>
              <w:spacing w:before="1"/>
              <w:ind w:left="13" w:right="13"/>
              <w:jc w:val="center"/>
              <w:rPr>
                <w:sz w:val="20"/>
              </w:rPr>
            </w:pPr>
            <w:r>
              <w:rPr>
                <w:sz w:val="20"/>
              </w:rPr>
              <w:t>600 户，面积 2.5 万平方米</w:t>
            </w:r>
          </w:p>
        </w:tc>
        <w:tc>
          <w:tcPr>
            <w:tcW w:w="1058" w:type="dxa"/>
          </w:tcPr>
          <w:p>
            <w:pPr>
              <w:pStyle w:val="TableParagraph"/>
              <w:spacing w:before="1"/>
              <w:rPr>
                <w:rFonts w:ascii="黑体"/>
                <w:sz w:val="15"/>
              </w:rPr>
            </w:pPr>
          </w:p>
          <w:p>
            <w:pPr>
              <w:pStyle w:val="TableParagraph"/>
              <w:spacing w:before="1"/>
              <w:ind w:left="153" w:right="153"/>
              <w:jc w:val="center"/>
              <w:rPr>
                <w:sz w:val="20"/>
              </w:rPr>
            </w:pPr>
            <w:r>
              <w:rPr>
                <w:sz w:val="20"/>
              </w:rPr>
              <w:t>7500</w:t>
            </w:r>
          </w:p>
        </w:tc>
        <w:tc>
          <w:tcPr>
            <w:tcW w:w="1051" w:type="dxa"/>
          </w:tcPr>
          <w:p>
            <w:pPr>
              <w:pStyle w:val="TableParagraph"/>
              <w:spacing w:before="1"/>
              <w:rPr>
                <w:rFonts w:ascii="黑体"/>
                <w:sz w:val="15"/>
              </w:rPr>
            </w:pPr>
          </w:p>
          <w:p>
            <w:pPr>
              <w:pStyle w:val="TableParagraph"/>
              <w:spacing w:before="1"/>
              <w:ind w:left="218"/>
              <w:rPr>
                <w:sz w:val="20"/>
              </w:rPr>
            </w:pPr>
            <w:r>
              <w:rPr>
                <w:sz w:val="20"/>
              </w:rPr>
              <w:t>住建局</w:t>
            </w:r>
          </w:p>
        </w:tc>
      </w:tr>
      <w:tr>
        <w:trPr>
          <w:trHeight w:val="700" w:hRule="atLeast"/>
        </w:trPr>
        <w:tc>
          <w:tcPr>
            <w:tcW w:w="502" w:type="dxa"/>
          </w:tcPr>
          <w:p>
            <w:pPr>
              <w:pStyle w:val="TableParagraph"/>
              <w:spacing w:before="1"/>
              <w:rPr>
                <w:rFonts w:ascii="黑体"/>
                <w:sz w:val="15"/>
              </w:rPr>
            </w:pPr>
          </w:p>
          <w:p>
            <w:pPr>
              <w:pStyle w:val="TableParagraph"/>
              <w:spacing w:before="1"/>
              <w:ind w:left="124" w:right="125"/>
              <w:jc w:val="center"/>
              <w:rPr>
                <w:sz w:val="20"/>
              </w:rPr>
            </w:pPr>
            <w:r>
              <w:rPr>
                <w:sz w:val="20"/>
              </w:rPr>
              <w:t>67</w:t>
            </w:r>
          </w:p>
        </w:tc>
        <w:tc>
          <w:tcPr>
            <w:tcW w:w="2110" w:type="dxa"/>
          </w:tcPr>
          <w:p>
            <w:pPr>
              <w:pStyle w:val="TableParagraph"/>
              <w:spacing w:before="1"/>
              <w:rPr>
                <w:rFonts w:ascii="黑体"/>
                <w:sz w:val="15"/>
              </w:rPr>
            </w:pPr>
          </w:p>
          <w:p>
            <w:pPr>
              <w:pStyle w:val="TableParagraph"/>
              <w:spacing w:before="1"/>
              <w:ind w:left="99" w:right="100"/>
              <w:jc w:val="center"/>
              <w:rPr>
                <w:sz w:val="20"/>
              </w:rPr>
            </w:pPr>
            <w:r>
              <w:rPr>
                <w:sz w:val="20"/>
              </w:rPr>
              <w:t>东风厂棚改二期</w:t>
            </w:r>
          </w:p>
        </w:tc>
        <w:tc>
          <w:tcPr>
            <w:tcW w:w="1256" w:type="dxa"/>
          </w:tcPr>
          <w:p>
            <w:pPr>
              <w:pStyle w:val="TableParagraph"/>
              <w:spacing w:before="1"/>
              <w:rPr>
                <w:rFonts w:ascii="黑体"/>
                <w:sz w:val="15"/>
              </w:rPr>
            </w:pPr>
          </w:p>
          <w:p>
            <w:pPr>
              <w:pStyle w:val="TableParagraph"/>
              <w:spacing w:before="1"/>
              <w:ind w:left="152" w:right="152"/>
              <w:jc w:val="center"/>
              <w:rPr>
                <w:sz w:val="20"/>
              </w:rPr>
            </w:pPr>
            <w:r>
              <w:rPr>
                <w:sz w:val="20"/>
              </w:rPr>
              <w:t>2017-2019</w:t>
            </w:r>
          </w:p>
        </w:tc>
        <w:tc>
          <w:tcPr>
            <w:tcW w:w="3662" w:type="dxa"/>
          </w:tcPr>
          <w:p>
            <w:pPr>
              <w:pStyle w:val="TableParagraph"/>
              <w:spacing w:before="1"/>
              <w:rPr>
                <w:rFonts w:ascii="黑体"/>
                <w:sz w:val="15"/>
              </w:rPr>
            </w:pPr>
          </w:p>
          <w:p>
            <w:pPr>
              <w:pStyle w:val="TableParagraph"/>
              <w:spacing w:before="1"/>
              <w:ind w:left="13" w:right="13"/>
              <w:jc w:val="center"/>
              <w:rPr>
                <w:sz w:val="20"/>
              </w:rPr>
            </w:pPr>
            <w:r>
              <w:rPr>
                <w:sz w:val="20"/>
              </w:rPr>
              <w:t>800 户，面积 4.45 万平方米</w:t>
            </w:r>
          </w:p>
        </w:tc>
        <w:tc>
          <w:tcPr>
            <w:tcW w:w="1058" w:type="dxa"/>
          </w:tcPr>
          <w:p>
            <w:pPr>
              <w:pStyle w:val="TableParagraph"/>
              <w:spacing w:before="1"/>
              <w:rPr>
                <w:rFonts w:ascii="黑体"/>
                <w:sz w:val="15"/>
              </w:rPr>
            </w:pPr>
          </w:p>
          <w:p>
            <w:pPr>
              <w:pStyle w:val="TableParagraph"/>
              <w:spacing w:before="1"/>
              <w:ind w:left="153" w:right="153"/>
              <w:jc w:val="center"/>
              <w:rPr>
                <w:sz w:val="20"/>
              </w:rPr>
            </w:pPr>
            <w:r>
              <w:rPr>
                <w:sz w:val="20"/>
              </w:rPr>
              <w:t>10650</w:t>
            </w:r>
          </w:p>
        </w:tc>
        <w:tc>
          <w:tcPr>
            <w:tcW w:w="1051" w:type="dxa"/>
          </w:tcPr>
          <w:p>
            <w:pPr>
              <w:pStyle w:val="TableParagraph"/>
              <w:spacing w:before="1"/>
              <w:rPr>
                <w:rFonts w:ascii="黑体"/>
                <w:sz w:val="15"/>
              </w:rPr>
            </w:pPr>
          </w:p>
          <w:p>
            <w:pPr>
              <w:pStyle w:val="TableParagraph"/>
              <w:spacing w:before="1"/>
              <w:ind w:left="219"/>
              <w:rPr>
                <w:sz w:val="20"/>
              </w:rPr>
            </w:pPr>
            <w:r>
              <w:rPr>
                <w:sz w:val="20"/>
              </w:rPr>
              <w:t>住建局</w:t>
            </w:r>
          </w:p>
        </w:tc>
      </w:tr>
      <w:tr>
        <w:trPr>
          <w:trHeight w:val="720" w:hRule="atLeast"/>
        </w:trPr>
        <w:tc>
          <w:tcPr>
            <w:tcW w:w="502" w:type="dxa"/>
          </w:tcPr>
          <w:p>
            <w:pPr>
              <w:pStyle w:val="TableParagraph"/>
              <w:spacing w:before="1"/>
              <w:rPr>
                <w:rFonts w:ascii="黑体"/>
                <w:sz w:val="15"/>
              </w:rPr>
            </w:pPr>
          </w:p>
          <w:p>
            <w:pPr>
              <w:pStyle w:val="TableParagraph"/>
              <w:spacing w:before="1"/>
              <w:ind w:left="124" w:right="125"/>
              <w:jc w:val="center"/>
              <w:rPr>
                <w:sz w:val="20"/>
              </w:rPr>
            </w:pPr>
            <w:r>
              <w:rPr>
                <w:sz w:val="20"/>
              </w:rPr>
              <w:t>68</w:t>
            </w:r>
          </w:p>
        </w:tc>
        <w:tc>
          <w:tcPr>
            <w:tcW w:w="2110" w:type="dxa"/>
          </w:tcPr>
          <w:p>
            <w:pPr>
              <w:pStyle w:val="TableParagraph"/>
              <w:spacing w:before="1"/>
              <w:rPr>
                <w:rFonts w:ascii="黑体"/>
                <w:sz w:val="15"/>
              </w:rPr>
            </w:pPr>
          </w:p>
          <w:p>
            <w:pPr>
              <w:pStyle w:val="TableParagraph"/>
              <w:spacing w:before="1"/>
              <w:ind w:left="99" w:right="100"/>
              <w:jc w:val="center"/>
              <w:rPr>
                <w:sz w:val="20"/>
              </w:rPr>
            </w:pPr>
            <w:r>
              <w:rPr>
                <w:sz w:val="20"/>
              </w:rPr>
              <w:t>东风厂棚改三期</w:t>
            </w:r>
          </w:p>
        </w:tc>
        <w:tc>
          <w:tcPr>
            <w:tcW w:w="1256" w:type="dxa"/>
          </w:tcPr>
          <w:p>
            <w:pPr>
              <w:pStyle w:val="TableParagraph"/>
              <w:spacing w:before="1"/>
              <w:rPr>
                <w:rFonts w:ascii="黑体"/>
                <w:sz w:val="15"/>
              </w:rPr>
            </w:pPr>
          </w:p>
          <w:p>
            <w:pPr>
              <w:pStyle w:val="TableParagraph"/>
              <w:spacing w:before="1"/>
              <w:ind w:left="152" w:right="152"/>
              <w:jc w:val="center"/>
              <w:rPr>
                <w:sz w:val="20"/>
              </w:rPr>
            </w:pPr>
            <w:r>
              <w:rPr>
                <w:sz w:val="20"/>
              </w:rPr>
              <w:t>2018-2019</w:t>
            </w:r>
          </w:p>
        </w:tc>
        <w:tc>
          <w:tcPr>
            <w:tcW w:w="3662" w:type="dxa"/>
          </w:tcPr>
          <w:p>
            <w:pPr>
              <w:pStyle w:val="TableParagraph"/>
              <w:spacing w:before="1"/>
              <w:rPr>
                <w:rFonts w:ascii="黑体"/>
                <w:sz w:val="15"/>
              </w:rPr>
            </w:pPr>
          </w:p>
          <w:p>
            <w:pPr>
              <w:pStyle w:val="TableParagraph"/>
              <w:spacing w:before="1"/>
              <w:ind w:left="13" w:right="13"/>
              <w:jc w:val="center"/>
              <w:rPr>
                <w:sz w:val="20"/>
              </w:rPr>
            </w:pPr>
            <w:r>
              <w:rPr>
                <w:sz w:val="20"/>
              </w:rPr>
              <w:t>725 户，面积 4.21 万平方米</w:t>
            </w:r>
          </w:p>
        </w:tc>
        <w:tc>
          <w:tcPr>
            <w:tcW w:w="1058" w:type="dxa"/>
          </w:tcPr>
          <w:p>
            <w:pPr>
              <w:pStyle w:val="TableParagraph"/>
              <w:spacing w:before="1"/>
              <w:rPr>
                <w:rFonts w:ascii="黑体"/>
                <w:sz w:val="15"/>
              </w:rPr>
            </w:pPr>
          </w:p>
          <w:p>
            <w:pPr>
              <w:pStyle w:val="TableParagraph"/>
              <w:spacing w:before="1"/>
              <w:ind w:left="153" w:right="153"/>
              <w:jc w:val="center"/>
              <w:rPr>
                <w:sz w:val="20"/>
              </w:rPr>
            </w:pPr>
            <w:r>
              <w:rPr>
                <w:sz w:val="20"/>
              </w:rPr>
              <w:t>12637</w:t>
            </w:r>
          </w:p>
        </w:tc>
        <w:tc>
          <w:tcPr>
            <w:tcW w:w="1051" w:type="dxa"/>
          </w:tcPr>
          <w:p>
            <w:pPr>
              <w:pStyle w:val="TableParagraph"/>
              <w:spacing w:before="1"/>
              <w:rPr>
                <w:rFonts w:ascii="黑体"/>
                <w:sz w:val="15"/>
              </w:rPr>
            </w:pPr>
          </w:p>
          <w:p>
            <w:pPr>
              <w:pStyle w:val="TableParagraph"/>
              <w:spacing w:before="1"/>
              <w:ind w:left="219"/>
              <w:rPr>
                <w:sz w:val="20"/>
              </w:rPr>
            </w:pPr>
            <w:r>
              <w:rPr>
                <w:sz w:val="20"/>
              </w:rPr>
              <w:t>住建局</w:t>
            </w:r>
          </w:p>
        </w:tc>
      </w:tr>
      <w:tr>
        <w:trPr>
          <w:trHeight w:val="700" w:hRule="atLeast"/>
        </w:trPr>
        <w:tc>
          <w:tcPr>
            <w:tcW w:w="502" w:type="dxa"/>
          </w:tcPr>
          <w:p>
            <w:pPr>
              <w:pStyle w:val="TableParagraph"/>
              <w:spacing w:before="1"/>
              <w:rPr>
                <w:rFonts w:ascii="黑体"/>
                <w:sz w:val="15"/>
              </w:rPr>
            </w:pPr>
          </w:p>
          <w:p>
            <w:pPr>
              <w:pStyle w:val="TableParagraph"/>
              <w:spacing w:before="1"/>
              <w:ind w:left="125" w:right="125"/>
              <w:jc w:val="center"/>
              <w:rPr>
                <w:sz w:val="20"/>
              </w:rPr>
            </w:pPr>
            <w:r>
              <w:rPr>
                <w:sz w:val="20"/>
              </w:rPr>
              <w:t>69</w:t>
            </w:r>
          </w:p>
        </w:tc>
        <w:tc>
          <w:tcPr>
            <w:tcW w:w="2110" w:type="dxa"/>
          </w:tcPr>
          <w:p>
            <w:pPr>
              <w:pStyle w:val="TableParagraph"/>
              <w:spacing w:line="237" w:lineRule="auto" w:before="71"/>
              <w:ind w:left="248" w:right="131" w:hanging="100"/>
              <w:rPr>
                <w:sz w:val="20"/>
              </w:rPr>
            </w:pPr>
            <w:r>
              <w:rPr>
                <w:sz w:val="20"/>
              </w:rPr>
              <w:t>西坝镇大河、翻身、民主、新垣街棚改</w:t>
            </w:r>
          </w:p>
        </w:tc>
        <w:tc>
          <w:tcPr>
            <w:tcW w:w="1256" w:type="dxa"/>
          </w:tcPr>
          <w:p>
            <w:pPr>
              <w:pStyle w:val="TableParagraph"/>
              <w:spacing w:before="1"/>
              <w:rPr>
                <w:rFonts w:ascii="黑体"/>
                <w:sz w:val="15"/>
              </w:rPr>
            </w:pPr>
          </w:p>
          <w:p>
            <w:pPr>
              <w:pStyle w:val="TableParagraph"/>
              <w:spacing w:before="1"/>
              <w:ind w:left="152" w:right="151"/>
              <w:jc w:val="center"/>
              <w:rPr>
                <w:sz w:val="20"/>
              </w:rPr>
            </w:pPr>
            <w:r>
              <w:rPr>
                <w:sz w:val="20"/>
              </w:rPr>
              <w:t>2016</w:t>
            </w:r>
          </w:p>
        </w:tc>
        <w:tc>
          <w:tcPr>
            <w:tcW w:w="3662" w:type="dxa"/>
          </w:tcPr>
          <w:p>
            <w:pPr>
              <w:pStyle w:val="TableParagraph"/>
              <w:spacing w:before="1"/>
              <w:rPr>
                <w:rFonts w:ascii="黑体"/>
                <w:sz w:val="15"/>
              </w:rPr>
            </w:pPr>
          </w:p>
          <w:p>
            <w:pPr>
              <w:pStyle w:val="TableParagraph"/>
              <w:spacing w:before="1"/>
              <w:ind w:left="13" w:right="12"/>
              <w:jc w:val="center"/>
              <w:rPr>
                <w:sz w:val="20"/>
              </w:rPr>
            </w:pPr>
            <w:r>
              <w:rPr>
                <w:sz w:val="20"/>
              </w:rPr>
              <w:t>52 户，面积 0.96 万平方米</w:t>
            </w:r>
          </w:p>
        </w:tc>
        <w:tc>
          <w:tcPr>
            <w:tcW w:w="1058" w:type="dxa"/>
          </w:tcPr>
          <w:p>
            <w:pPr>
              <w:pStyle w:val="TableParagraph"/>
              <w:spacing w:before="1"/>
              <w:rPr>
                <w:rFonts w:ascii="黑体"/>
                <w:sz w:val="15"/>
              </w:rPr>
            </w:pPr>
          </w:p>
          <w:p>
            <w:pPr>
              <w:pStyle w:val="TableParagraph"/>
              <w:spacing w:before="1"/>
              <w:ind w:left="153" w:right="153"/>
              <w:jc w:val="center"/>
              <w:rPr>
                <w:sz w:val="20"/>
              </w:rPr>
            </w:pPr>
            <w:r>
              <w:rPr>
                <w:sz w:val="20"/>
              </w:rPr>
              <w:t>1008</w:t>
            </w:r>
          </w:p>
        </w:tc>
        <w:tc>
          <w:tcPr>
            <w:tcW w:w="1051" w:type="dxa"/>
          </w:tcPr>
          <w:p>
            <w:pPr>
              <w:pStyle w:val="TableParagraph"/>
              <w:spacing w:before="1"/>
              <w:rPr>
                <w:rFonts w:ascii="黑体"/>
                <w:sz w:val="15"/>
              </w:rPr>
            </w:pPr>
          </w:p>
          <w:p>
            <w:pPr>
              <w:pStyle w:val="TableParagraph"/>
              <w:spacing w:before="1"/>
              <w:ind w:left="219"/>
              <w:rPr>
                <w:sz w:val="20"/>
              </w:rPr>
            </w:pPr>
            <w:r>
              <w:rPr>
                <w:sz w:val="20"/>
              </w:rPr>
              <w:t>住建局</w:t>
            </w:r>
          </w:p>
        </w:tc>
      </w:tr>
      <w:tr>
        <w:trPr>
          <w:trHeight w:val="700" w:hRule="atLeast"/>
        </w:trPr>
        <w:tc>
          <w:tcPr>
            <w:tcW w:w="502" w:type="dxa"/>
          </w:tcPr>
          <w:p>
            <w:pPr>
              <w:pStyle w:val="TableParagraph"/>
              <w:spacing w:before="1"/>
              <w:rPr>
                <w:rFonts w:ascii="黑体"/>
                <w:sz w:val="15"/>
              </w:rPr>
            </w:pPr>
          </w:p>
          <w:p>
            <w:pPr>
              <w:pStyle w:val="TableParagraph"/>
              <w:spacing w:before="1"/>
              <w:ind w:left="124" w:right="125"/>
              <w:jc w:val="center"/>
              <w:rPr>
                <w:sz w:val="20"/>
              </w:rPr>
            </w:pPr>
            <w:r>
              <w:rPr>
                <w:sz w:val="20"/>
              </w:rPr>
              <w:t>70</w:t>
            </w:r>
          </w:p>
        </w:tc>
        <w:tc>
          <w:tcPr>
            <w:tcW w:w="2110" w:type="dxa"/>
          </w:tcPr>
          <w:p>
            <w:pPr>
              <w:pStyle w:val="TableParagraph"/>
              <w:spacing w:before="1"/>
              <w:rPr>
                <w:rFonts w:ascii="黑体"/>
                <w:sz w:val="15"/>
              </w:rPr>
            </w:pPr>
          </w:p>
          <w:p>
            <w:pPr>
              <w:pStyle w:val="TableParagraph"/>
              <w:spacing w:before="1"/>
              <w:ind w:left="99" w:right="102"/>
              <w:jc w:val="center"/>
              <w:rPr>
                <w:sz w:val="20"/>
              </w:rPr>
            </w:pPr>
            <w:r>
              <w:rPr>
                <w:sz w:val="20"/>
              </w:rPr>
              <w:t>蔡金镇棚户区改造</w:t>
            </w:r>
          </w:p>
        </w:tc>
        <w:tc>
          <w:tcPr>
            <w:tcW w:w="1256" w:type="dxa"/>
          </w:tcPr>
          <w:p>
            <w:pPr>
              <w:pStyle w:val="TableParagraph"/>
              <w:spacing w:before="1"/>
              <w:rPr>
                <w:rFonts w:ascii="黑体"/>
                <w:sz w:val="15"/>
              </w:rPr>
            </w:pPr>
          </w:p>
          <w:p>
            <w:pPr>
              <w:pStyle w:val="TableParagraph"/>
              <w:spacing w:before="1"/>
              <w:ind w:left="152" w:right="152"/>
              <w:jc w:val="center"/>
              <w:rPr>
                <w:sz w:val="20"/>
              </w:rPr>
            </w:pPr>
            <w:r>
              <w:rPr>
                <w:sz w:val="20"/>
              </w:rPr>
              <w:t>2016</w:t>
            </w:r>
          </w:p>
        </w:tc>
        <w:tc>
          <w:tcPr>
            <w:tcW w:w="3662" w:type="dxa"/>
          </w:tcPr>
          <w:p>
            <w:pPr>
              <w:pStyle w:val="TableParagraph"/>
              <w:spacing w:before="1"/>
              <w:rPr>
                <w:rFonts w:ascii="黑体"/>
                <w:sz w:val="15"/>
              </w:rPr>
            </w:pPr>
          </w:p>
          <w:p>
            <w:pPr>
              <w:pStyle w:val="TableParagraph"/>
              <w:spacing w:before="1"/>
              <w:ind w:left="13" w:right="13"/>
              <w:jc w:val="center"/>
              <w:rPr>
                <w:sz w:val="20"/>
              </w:rPr>
            </w:pPr>
            <w:r>
              <w:rPr>
                <w:sz w:val="20"/>
              </w:rPr>
              <w:t>102 户，面积 1.45 万平方米</w:t>
            </w:r>
          </w:p>
        </w:tc>
        <w:tc>
          <w:tcPr>
            <w:tcW w:w="1058" w:type="dxa"/>
          </w:tcPr>
          <w:p>
            <w:pPr>
              <w:pStyle w:val="TableParagraph"/>
              <w:spacing w:before="1"/>
              <w:rPr>
                <w:rFonts w:ascii="黑体"/>
                <w:sz w:val="15"/>
              </w:rPr>
            </w:pPr>
          </w:p>
          <w:p>
            <w:pPr>
              <w:pStyle w:val="TableParagraph"/>
              <w:spacing w:before="1"/>
              <w:ind w:left="153" w:right="153"/>
              <w:jc w:val="center"/>
              <w:rPr>
                <w:sz w:val="20"/>
              </w:rPr>
            </w:pPr>
            <w:r>
              <w:rPr>
                <w:sz w:val="20"/>
              </w:rPr>
              <w:t>1522</w:t>
            </w:r>
          </w:p>
        </w:tc>
        <w:tc>
          <w:tcPr>
            <w:tcW w:w="1051" w:type="dxa"/>
          </w:tcPr>
          <w:p>
            <w:pPr>
              <w:pStyle w:val="TableParagraph"/>
              <w:spacing w:before="1"/>
              <w:rPr>
                <w:rFonts w:ascii="黑体"/>
                <w:sz w:val="15"/>
              </w:rPr>
            </w:pPr>
          </w:p>
          <w:p>
            <w:pPr>
              <w:pStyle w:val="TableParagraph"/>
              <w:spacing w:before="1"/>
              <w:ind w:left="219"/>
              <w:rPr>
                <w:sz w:val="20"/>
              </w:rPr>
            </w:pPr>
            <w:r>
              <w:rPr>
                <w:sz w:val="20"/>
              </w:rPr>
              <w:t>住建局</w:t>
            </w:r>
          </w:p>
        </w:tc>
      </w:tr>
      <w:tr>
        <w:trPr>
          <w:trHeight w:val="720" w:hRule="atLeast"/>
        </w:trPr>
        <w:tc>
          <w:tcPr>
            <w:tcW w:w="502" w:type="dxa"/>
          </w:tcPr>
          <w:p>
            <w:pPr>
              <w:pStyle w:val="TableParagraph"/>
              <w:spacing w:before="1"/>
              <w:rPr>
                <w:rFonts w:ascii="黑体"/>
                <w:sz w:val="15"/>
              </w:rPr>
            </w:pPr>
          </w:p>
          <w:p>
            <w:pPr>
              <w:pStyle w:val="TableParagraph"/>
              <w:spacing w:before="1"/>
              <w:ind w:left="124" w:right="125"/>
              <w:jc w:val="center"/>
              <w:rPr>
                <w:sz w:val="20"/>
              </w:rPr>
            </w:pPr>
            <w:r>
              <w:rPr>
                <w:sz w:val="20"/>
              </w:rPr>
              <w:t>71</w:t>
            </w:r>
          </w:p>
        </w:tc>
        <w:tc>
          <w:tcPr>
            <w:tcW w:w="2110" w:type="dxa"/>
          </w:tcPr>
          <w:p>
            <w:pPr>
              <w:pStyle w:val="TableParagraph"/>
              <w:spacing w:before="1"/>
              <w:rPr>
                <w:rFonts w:ascii="黑体"/>
                <w:sz w:val="15"/>
              </w:rPr>
            </w:pPr>
          </w:p>
          <w:p>
            <w:pPr>
              <w:pStyle w:val="TableParagraph"/>
              <w:spacing w:before="1"/>
              <w:ind w:left="99" w:right="101"/>
              <w:jc w:val="center"/>
              <w:rPr>
                <w:sz w:val="20"/>
              </w:rPr>
            </w:pPr>
            <w:r>
              <w:rPr>
                <w:sz w:val="20"/>
              </w:rPr>
              <w:t>金粟镇老厂片区一期</w:t>
            </w:r>
          </w:p>
        </w:tc>
        <w:tc>
          <w:tcPr>
            <w:tcW w:w="1256" w:type="dxa"/>
          </w:tcPr>
          <w:p>
            <w:pPr>
              <w:pStyle w:val="TableParagraph"/>
              <w:spacing w:before="1"/>
              <w:rPr>
                <w:rFonts w:ascii="黑体"/>
                <w:sz w:val="15"/>
              </w:rPr>
            </w:pPr>
          </w:p>
          <w:p>
            <w:pPr>
              <w:pStyle w:val="TableParagraph"/>
              <w:spacing w:before="1"/>
              <w:ind w:left="151" w:right="152"/>
              <w:jc w:val="center"/>
              <w:rPr>
                <w:sz w:val="20"/>
              </w:rPr>
            </w:pPr>
            <w:r>
              <w:rPr>
                <w:sz w:val="20"/>
              </w:rPr>
              <w:t>2016-2017</w:t>
            </w:r>
          </w:p>
        </w:tc>
        <w:tc>
          <w:tcPr>
            <w:tcW w:w="3662" w:type="dxa"/>
          </w:tcPr>
          <w:p>
            <w:pPr>
              <w:pStyle w:val="TableParagraph"/>
              <w:spacing w:before="1"/>
              <w:rPr>
                <w:rFonts w:ascii="黑体"/>
                <w:sz w:val="15"/>
              </w:rPr>
            </w:pPr>
          </w:p>
          <w:p>
            <w:pPr>
              <w:pStyle w:val="TableParagraph"/>
              <w:spacing w:before="1"/>
              <w:ind w:left="13" w:right="14"/>
              <w:jc w:val="center"/>
              <w:rPr>
                <w:sz w:val="20"/>
              </w:rPr>
            </w:pPr>
            <w:r>
              <w:rPr>
                <w:sz w:val="20"/>
              </w:rPr>
              <w:t>150 户，面积 2.98 万平方米</w:t>
            </w:r>
          </w:p>
        </w:tc>
        <w:tc>
          <w:tcPr>
            <w:tcW w:w="1058" w:type="dxa"/>
          </w:tcPr>
          <w:p>
            <w:pPr>
              <w:pStyle w:val="TableParagraph"/>
              <w:spacing w:before="1"/>
              <w:rPr>
                <w:rFonts w:ascii="黑体"/>
                <w:sz w:val="15"/>
              </w:rPr>
            </w:pPr>
          </w:p>
          <w:p>
            <w:pPr>
              <w:pStyle w:val="TableParagraph"/>
              <w:spacing w:before="1"/>
              <w:ind w:left="153" w:right="153"/>
              <w:jc w:val="center"/>
              <w:rPr>
                <w:sz w:val="20"/>
              </w:rPr>
            </w:pPr>
            <w:r>
              <w:rPr>
                <w:sz w:val="20"/>
              </w:rPr>
              <w:t>2250</w:t>
            </w:r>
          </w:p>
        </w:tc>
        <w:tc>
          <w:tcPr>
            <w:tcW w:w="1051" w:type="dxa"/>
          </w:tcPr>
          <w:p>
            <w:pPr>
              <w:pStyle w:val="TableParagraph"/>
              <w:spacing w:before="1"/>
              <w:rPr>
                <w:rFonts w:ascii="黑体"/>
                <w:sz w:val="15"/>
              </w:rPr>
            </w:pPr>
          </w:p>
          <w:p>
            <w:pPr>
              <w:pStyle w:val="TableParagraph"/>
              <w:spacing w:before="1"/>
              <w:ind w:left="219"/>
              <w:rPr>
                <w:sz w:val="20"/>
              </w:rPr>
            </w:pPr>
            <w:r>
              <w:rPr>
                <w:sz w:val="20"/>
              </w:rPr>
              <w:t>住建局</w:t>
            </w:r>
          </w:p>
        </w:tc>
      </w:tr>
      <w:tr>
        <w:trPr>
          <w:trHeight w:val="700" w:hRule="atLeast"/>
        </w:trPr>
        <w:tc>
          <w:tcPr>
            <w:tcW w:w="502" w:type="dxa"/>
          </w:tcPr>
          <w:p>
            <w:pPr>
              <w:pStyle w:val="TableParagraph"/>
              <w:spacing w:before="1"/>
              <w:rPr>
                <w:rFonts w:ascii="黑体"/>
                <w:sz w:val="15"/>
              </w:rPr>
            </w:pPr>
          </w:p>
          <w:p>
            <w:pPr>
              <w:pStyle w:val="TableParagraph"/>
              <w:spacing w:before="1"/>
              <w:ind w:left="125" w:right="125"/>
              <w:jc w:val="center"/>
              <w:rPr>
                <w:sz w:val="20"/>
              </w:rPr>
            </w:pPr>
            <w:r>
              <w:rPr>
                <w:sz w:val="20"/>
              </w:rPr>
              <w:t>72</w:t>
            </w:r>
          </w:p>
        </w:tc>
        <w:tc>
          <w:tcPr>
            <w:tcW w:w="2110" w:type="dxa"/>
          </w:tcPr>
          <w:p>
            <w:pPr>
              <w:pStyle w:val="TableParagraph"/>
              <w:spacing w:line="237" w:lineRule="auto" w:before="71"/>
              <w:ind w:left="647" w:right="132" w:hanging="500"/>
              <w:rPr>
                <w:sz w:val="20"/>
              </w:rPr>
            </w:pPr>
            <w:r>
              <w:rPr>
                <w:sz w:val="20"/>
              </w:rPr>
              <w:t>牛华镇二码头同心站片区棚改</w:t>
            </w:r>
          </w:p>
        </w:tc>
        <w:tc>
          <w:tcPr>
            <w:tcW w:w="1256" w:type="dxa"/>
          </w:tcPr>
          <w:p>
            <w:pPr>
              <w:pStyle w:val="TableParagraph"/>
              <w:spacing w:before="1"/>
              <w:rPr>
                <w:rFonts w:ascii="黑体"/>
                <w:sz w:val="15"/>
              </w:rPr>
            </w:pPr>
          </w:p>
          <w:p>
            <w:pPr>
              <w:pStyle w:val="TableParagraph"/>
              <w:spacing w:before="1"/>
              <w:ind w:left="152" w:right="152"/>
              <w:jc w:val="center"/>
              <w:rPr>
                <w:sz w:val="20"/>
              </w:rPr>
            </w:pPr>
            <w:r>
              <w:rPr>
                <w:sz w:val="20"/>
              </w:rPr>
              <w:t>2016-2018</w:t>
            </w:r>
          </w:p>
        </w:tc>
        <w:tc>
          <w:tcPr>
            <w:tcW w:w="3662" w:type="dxa"/>
          </w:tcPr>
          <w:p>
            <w:pPr>
              <w:pStyle w:val="TableParagraph"/>
              <w:spacing w:before="1"/>
              <w:rPr>
                <w:rFonts w:ascii="黑体"/>
                <w:sz w:val="15"/>
              </w:rPr>
            </w:pPr>
          </w:p>
          <w:p>
            <w:pPr>
              <w:pStyle w:val="TableParagraph"/>
              <w:spacing w:before="1"/>
              <w:ind w:left="13" w:right="13"/>
              <w:jc w:val="center"/>
              <w:rPr>
                <w:sz w:val="20"/>
              </w:rPr>
            </w:pPr>
            <w:r>
              <w:rPr>
                <w:sz w:val="20"/>
              </w:rPr>
              <w:t>735 户，面积 5.08 万平方米</w:t>
            </w:r>
          </w:p>
        </w:tc>
        <w:tc>
          <w:tcPr>
            <w:tcW w:w="1058" w:type="dxa"/>
          </w:tcPr>
          <w:p>
            <w:pPr>
              <w:pStyle w:val="TableParagraph"/>
              <w:spacing w:before="1"/>
              <w:rPr>
                <w:rFonts w:ascii="黑体"/>
                <w:sz w:val="15"/>
              </w:rPr>
            </w:pPr>
          </w:p>
          <w:p>
            <w:pPr>
              <w:pStyle w:val="TableParagraph"/>
              <w:spacing w:before="1"/>
              <w:ind w:left="153" w:right="153"/>
              <w:jc w:val="center"/>
              <w:rPr>
                <w:sz w:val="20"/>
              </w:rPr>
            </w:pPr>
            <w:r>
              <w:rPr>
                <w:sz w:val="20"/>
              </w:rPr>
              <w:t>15235</w:t>
            </w:r>
          </w:p>
        </w:tc>
        <w:tc>
          <w:tcPr>
            <w:tcW w:w="1051" w:type="dxa"/>
          </w:tcPr>
          <w:p>
            <w:pPr>
              <w:pStyle w:val="TableParagraph"/>
              <w:spacing w:before="1"/>
              <w:rPr>
                <w:rFonts w:ascii="黑体"/>
                <w:sz w:val="15"/>
              </w:rPr>
            </w:pPr>
          </w:p>
          <w:p>
            <w:pPr>
              <w:pStyle w:val="TableParagraph"/>
              <w:spacing w:before="1"/>
              <w:ind w:left="219"/>
              <w:rPr>
                <w:sz w:val="20"/>
              </w:rPr>
            </w:pPr>
            <w:r>
              <w:rPr>
                <w:sz w:val="20"/>
              </w:rPr>
              <w:t>住建局</w:t>
            </w:r>
          </w:p>
        </w:tc>
      </w:tr>
      <w:tr>
        <w:trPr>
          <w:trHeight w:val="700" w:hRule="atLeast"/>
        </w:trPr>
        <w:tc>
          <w:tcPr>
            <w:tcW w:w="502" w:type="dxa"/>
          </w:tcPr>
          <w:p>
            <w:pPr>
              <w:pStyle w:val="TableParagraph"/>
              <w:spacing w:before="1"/>
              <w:rPr>
                <w:rFonts w:ascii="黑体"/>
                <w:sz w:val="15"/>
              </w:rPr>
            </w:pPr>
          </w:p>
          <w:p>
            <w:pPr>
              <w:pStyle w:val="TableParagraph"/>
              <w:spacing w:before="1"/>
              <w:ind w:left="125" w:right="125"/>
              <w:jc w:val="center"/>
              <w:rPr>
                <w:sz w:val="20"/>
              </w:rPr>
            </w:pPr>
            <w:r>
              <w:rPr>
                <w:sz w:val="20"/>
              </w:rPr>
              <w:t>73</w:t>
            </w:r>
          </w:p>
        </w:tc>
        <w:tc>
          <w:tcPr>
            <w:tcW w:w="2110" w:type="dxa"/>
          </w:tcPr>
          <w:p>
            <w:pPr>
              <w:pStyle w:val="TableParagraph"/>
              <w:spacing w:line="237" w:lineRule="auto" w:before="71"/>
              <w:ind w:left="647" w:right="132" w:hanging="500"/>
              <w:rPr>
                <w:sz w:val="20"/>
              </w:rPr>
            </w:pPr>
            <w:r>
              <w:rPr>
                <w:sz w:val="20"/>
              </w:rPr>
              <w:t>牛华镇半边街三洪井片区棚改</w:t>
            </w:r>
          </w:p>
        </w:tc>
        <w:tc>
          <w:tcPr>
            <w:tcW w:w="1256" w:type="dxa"/>
          </w:tcPr>
          <w:p>
            <w:pPr>
              <w:pStyle w:val="TableParagraph"/>
              <w:spacing w:before="1"/>
              <w:rPr>
                <w:rFonts w:ascii="黑体"/>
                <w:sz w:val="15"/>
              </w:rPr>
            </w:pPr>
          </w:p>
          <w:p>
            <w:pPr>
              <w:pStyle w:val="TableParagraph"/>
              <w:spacing w:before="1"/>
              <w:ind w:left="151" w:right="152"/>
              <w:jc w:val="center"/>
              <w:rPr>
                <w:sz w:val="20"/>
              </w:rPr>
            </w:pPr>
            <w:r>
              <w:rPr>
                <w:sz w:val="20"/>
              </w:rPr>
              <w:t>2016-2017</w:t>
            </w:r>
          </w:p>
        </w:tc>
        <w:tc>
          <w:tcPr>
            <w:tcW w:w="3662" w:type="dxa"/>
          </w:tcPr>
          <w:p>
            <w:pPr>
              <w:pStyle w:val="TableParagraph"/>
              <w:spacing w:before="1"/>
              <w:rPr>
                <w:rFonts w:ascii="黑体"/>
                <w:sz w:val="15"/>
              </w:rPr>
            </w:pPr>
          </w:p>
          <w:p>
            <w:pPr>
              <w:pStyle w:val="TableParagraph"/>
              <w:spacing w:before="1"/>
              <w:ind w:left="13" w:right="14"/>
              <w:jc w:val="center"/>
              <w:rPr>
                <w:sz w:val="20"/>
              </w:rPr>
            </w:pPr>
            <w:r>
              <w:rPr>
                <w:sz w:val="20"/>
              </w:rPr>
              <w:t>219 户，面积 1.47 万平方米</w:t>
            </w:r>
          </w:p>
        </w:tc>
        <w:tc>
          <w:tcPr>
            <w:tcW w:w="1058" w:type="dxa"/>
          </w:tcPr>
          <w:p>
            <w:pPr>
              <w:pStyle w:val="TableParagraph"/>
              <w:spacing w:before="1"/>
              <w:rPr>
                <w:rFonts w:ascii="黑体"/>
                <w:sz w:val="15"/>
              </w:rPr>
            </w:pPr>
          </w:p>
          <w:p>
            <w:pPr>
              <w:pStyle w:val="TableParagraph"/>
              <w:spacing w:before="1"/>
              <w:ind w:left="153" w:right="153"/>
              <w:jc w:val="center"/>
              <w:rPr>
                <w:sz w:val="20"/>
              </w:rPr>
            </w:pPr>
            <w:r>
              <w:rPr>
                <w:sz w:val="20"/>
              </w:rPr>
              <w:t>3668</w:t>
            </w:r>
          </w:p>
        </w:tc>
        <w:tc>
          <w:tcPr>
            <w:tcW w:w="1051" w:type="dxa"/>
          </w:tcPr>
          <w:p>
            <w:pPr>
              <w:pStyle w:val="TableParagraph"/>
              <w:spacing w:before="1"/>
              <w:rPr>
                <w:rFonts w:ascii="黑体"/>
                <w:sz w:val="15"/>
              </w:rPr>
            </w:pPr>
          </w:p>
          <w:p>
            <w:pPr>
              <w:pStyle w:val="TableParagraph"/>
              <w:spacing w:before="1"/>
              <w:ind w:left="219"/>
              <w:rPr>
                <w:sz w:val="20"/>
              </w:rPr>
            </w:pPr>
            <w:r>
              <w:rPr>
                <w:sz w:val="20"/>
              </w:rPr>
              <w:t>住建局</w:t>
            </w:r>
          </w:p>
        </w:tc>
      </w:tr>
      <w:tr>
        <w:trPr>
          <w:trHeight w:val="720" w:hRule="atLeast"/>
        </w:trPr>
        <w:tc>
          <w:tcPr>
            <w:tcW w:w="502" w:type="dxa"/>
          </w:tcPr>
          <w:p>
            <w:pPr>
              <w:pStyle w:val="TableParagraph"/>
              <w:spacing w:before="1"/>
              <w:rPr>
                <w:rFonts w:ascii="黑体"/>
                <w:sz w:val="15"/>
              </w:rPr>
            </w:pPr>
          </w:p>
          <w:p>
            <w:pPr>
              <w:pStyle w:val="TableParagraph"/>
              <w:spacing w:before="1"/>
              <w:ind w:left="125" w:right="125"/>
              <w:jc w:val="center"/>
              <w:rPr>
                <w:sz w:val="20"/>
              </w:rPr>
            </w:pPr>
            <w:r>
              <w:rPr>
                <w:sz w:val="20"/>
              </w:rPr>
              <w:t>74</w:t>
            </w:r>
          </w:p>
        </w:tc>
        <w:tc>
          <w:tcPr>
            <w:tcW w:w="2110" w:type="dxa"/>
          </w:tcPr>
          <w:p>
            <w:pPr>
              <w:pStyle w:val="TableParagraph"/>
              <w:spacing w:line="237" w:lineRule="auto" w:before="71"/>
              <w:ind w:left="647" w:right="132" w:hanging="500"/>
              <w:rPr>
                <w:sz w:val="20"/>
              </w:rPr>
            </w:pPr>
            <w:r>
              <w:rPr>
                <w:sz w:val="20"/>
              </w:rPr>
              <w:t>黄角井社区盐厂厂部片区棚改</w:t>
            </w:r>
          </w:p>
        </w:tc>
        <w:tc>
          <w:tcPr>
            <w:tcW w:w="1256" w:type="dxa"/>
          </w:tcPr>
          <w:p>
            <w:pPr>
              <w:pStyle w:val="TableParagraph"/>
              <w:spacing w:before="1"/>
              <w:rPr>
                <w:rFonts w:ascii="黑体"/>
                <w:sz w:val="15"/>
              </w:rPr>
            </w:pPr>
          </w:p>
          <w:p>
            <w:pPr>
              <w:pStyle w:val="TableParagraph"/>
              <w:spacing w:before="1"/>
              <w:ind w:left="152" w:right="152"/>
              <w:jc w:val="center"/>
              <w:rPr>
                <w:sz w:val="20"/>
              </w:rPr>
            </w:pPr>
            <w:r>
              <w:rPr>
                <w:sz w:val="20"/>
              </w:rPr>
              <w:t>2017-2019</w:t>
            </w:r>
          </w:p>
        </w:tc>
        <w:tc>
          <w:tcPr>
            <w:tcW w:w="3662" w:type="dxa"/>
          </w:tcPr>
          <w:p>
            <w:pPr>
              <w:pStyle w:val="TableParagraph"/>
              <w:spacing w:before="1"/>
              <w:rPr>
                <w:rFonts w:ascii="黑体"/>
                <w:sz w:val="15"/>
              </w:rPr>
            </w:pPr>
          </w:p>
          <w:p>
            <w:pPr>
              <w:pStyle w:val="TableParagraph"/>
              <w:spacing w:before="1"/>
              <w:ind w:left="13" w:right="13"/>
              <w:jc w:val="center"/>
              <w:rPr>
                <w:sz w:val="20"/>
              </w:rPr>
            </w:pPr>
            <w:r>
              <w:rPr>
                <w:sz w:val="20"/>
              </w:rPr>
              <w:t>776 户，面积 5.18 万平方米</w:t>
            </w:r>
          </w:p>
        </w:tc>
        <w:tc>
          <w:tcPr>
            <w:tcW w:w="1058" w:type="dxa"/>
          </w:tcPr>
          <w:p>
            <w:pPr>
              <w:pStyle w:val="TableParagraph"/>
              <w:spacing w:before="1"/>
              <w:rPr>
                <w:rFonts w:ascii="黑体"/>
                <w:sz w:val="15"/>
              </w:rPr>
            </w:pPr>
          </w:p>
          <w:p>
            <w:pPr>
              <w:pStyle w:val="TableParagraph"/>
              <w:spacing w:before="1"/>
              <w:ind w:left="153" w:right="153"/>
              <w:jc w:val="center"/>
              <w:rPr>
                <w:sz w:val="20"/>
              </w:rPr>
            </w:pPr>
            <w:r>
              <w:rPr>
                <w:sz w:val="20"/>
              </w:rPr>
              <w:t>12944</w:t>
            </w:r>
          </w:p>
        </w:tc>
        <w:tc>
          <w:tcPr>
            <w:tcW w:w="1051" w:type="dxa"/>
          </w:tcPr>
          <w:p>
            <w:pPr>
              <w:pStyle w:val="TableParagraph"/>
              <w:spacing w:before="1"/>
              <w:rPr>
                <w:rFonts w:ascii="黑体"/>
                <w:sz w:val="15"/>
              </w:rPr>
            </w:pPr>
          </w:p>
          <w:p>
            <w:pPr>
              <w:pStyle w:val="TableParagraph"/>
              <w:spacing w:before="1"/>
              <w:ind w:left="219"/>
              <w:rPr>
                <w:sz w:val="20"/>
              </w:rPr>
            </w:pPr>
            <w:r>
              <w:rPr>
                <w:sz w:val="20"/>
              </w:rPr>
              <w:t>住建局</w:t>
            </w:r>
          </w:p>
        </w:tc>
      </w:tr>
      <w:tr>
        <w:trPr>
          <w:trHeight w:val="700" w:hRule="atLeast"/>
        </w:trPr>
        <w:tc>
          <w:tcPr>
            <w:tcW w:w="502" w:type="dxa"/>
          </w:tcPr>
          <w:p>
            <w:pPr>
              <w:pStyle w:val="TableParagraph"/>
              <w:spacing w:before="1"/>
              <w:rPr>
                <w:rFonts w:ascii="黑体"/>
                <w:sz w:val="15"/>
              </w:rPr>
            </w:pPr>
          </w:p>
          <w:p>
            <w:pPr>
              <w:pStyle w:val="TableParagraph"/>
              <w:spacing w:before="1"/>
              <w:ind w:left="125" w:right="125"/>
              <w:jc w:val="center"/>
              <w:rPr>
                <w:sz w:val="20"/>
              </w:rPr>
            </w:pPr>
            <w:r>
              <w:rPr>
                <w:sz w:val="20"/>
              </w:rPr>
              <w:t>75</w:t>
            </w:r>
          </w:p>
        </w:tc>
        <w:tc>
          <w:tcPr>
            <w:tcW w:w="2110" w:type="dxa"/>
          </w:tcPr>
          <w:p>
            <w:pPr>
              <w:pStyle w:val="TableParagraph"/>
              <w:spacing w:line="237" w:lineRule="auto" w:before="71"/>
              <w:ind w:left="848" w:right="131" w:hanging="700"/>
              <w:rPr>
                <w:sz w:val="20"/>
              </w:rPr>
            </w:pPr>
            <w:r>
              <w:rPr>
                <w:sz w:val="20"/>
              </w:rPr>
              <w:t>杨柳片区和平街片区棚改</w:t>
            </w:r>
          </w:p>
        </w:tc>
        <w:tc>
          <w:tcPr>
            <w:tcW w:w="1256" w:type="dxa"/>
          </w:tcPr>
          <w:p>
            <w:pPr>
              <w:pStyle w:val="TableParagraph"/>
              <w:spacing w:before="1"/>
              <w:rPr>
                <w:rFonts w:ascii="黑体"/>
                <w:sz w:val="15"/>
              </w:rPr>
            </w:pPr>
          </w:p>
          <w:p>
            <w:pPr>
              <w:pStyle w:val="TableParagraph"/>
              <w:spacing w:before="1"/>
              <w:ind w:left="152" w:right="152"/>
              <w:jc w:val="center"/>
              <w:rPr>
                <w:sz w:val="20"/>
              </w:rPr>
            </w:pPr>
            <w:r>
              <w:rPr>
                <w:sz w:val="20"/>
              </w:rPr>
              <w:t>2017-2018</w:t>
            </w:r>
          </w:p>
        </w:tc>
        <w:tc>
          <w:tcPr>
            <w:tcW w:w="3662" w:type="dxa"/>
          </w:tcPr>
          <w:p>
            <w:pPr>
              <w:pStyle w:val="TableParagraph"/>
              <w:spacing w:before="1"/>
              <w:rPr>
                <w:rFonts w:ascii="黑体"/>
                <w:sz w:val="15"/>
              </w:rPr>
            </w:pPr>
          </w:p>
          <w:p>
            <w:pPr>
              <w:pStyle w:val="TableParagraph"/>
              <w:spacing w:before="1"/>
              <w:ind w:left="13" w:right="11"/>
              <w:jc w:val="center"/>
              <w:rPr>
                <w:sz w:val="20"/>
              </w:rPr>
            </w:pPr>
            <w:r>
              <w:rPr>
                <w:sz w:val="20"/>
              </w:rPr>
              <w:t>56 户，面积 0.79 万平方米</w:t>
            </w:r>
          </w:p>
        </w:tc>
        <w:tc>
          <w:tcPr>
            <w:tcW w:w="1058" w:type="dxa"/>
          </w:tcPr>
          <w:p>
            <w:pPr>
              <w:pStyle w:val="TableParagraph"/>
              <w:spacing w:before="1"/>
              <w:rPr>
                <w:rFonts w:ascii="黑体"/>
                <w:sz w:val="15"/>
              </w:rPr>
            </w:pPr>
          </w:p>
          <w:p>
            <w:pPr>
              <w:pStyle w:val="TableParagraph"/>
              <w:spacing w:before="1"/>
              <w:ind w:left="153" w:right="153"/>
              <w:jc w:val="center"/>
              <w:rPr>
                <w:sz w:val="20"/>
              </w:rPr>
            </w:pPr>
            <w:r>
              <w:rPr>
                <w:sz w:val="20"/>
              </w:rPr>
              <w:t>835</w:t>
            </w:r>
          </w:p>
        </w:tc>
        <w:tc>
          <w:tcPr>
            <w:tcW w:w="1051" w:type="dxa"/>
          </w:tcPr>
          <w:p>
            <w:pPr>
              <w:pStyle w:val="TableParagraph"/>
              <w:spacing w:before="1"/>
              <w:rPr>
                <w:rFonts w:ascii="黑体"/>
                <w:sz w:val="15"/>
              </w:rPr>
            </w:pPr>
          </w:p>
          <w:p>
            <w:pPr>
              <w:pStyle w:val="TableParagraph"/>
              <w:spacing w:before="1"/>
              <w:ind w:left="219"/>
              <w:rPr>
                <w:sz w:val="20"/>
              </w:rPr>
            </w:pPr>
            <w:r>
              <w:rPr>
                <w:sz w:val="20"/>
              </w:rPr>
              <w:t>住建局</w:t>
            </w:r>
          </w:p>
        </w:tc>
      </w:tr>
      <w:tr>
        <w:trPr>
          <w:trHeight w:val="700" w:hRule="atLeast"/>
        </w:trPr>
        <w:tc>
          <w:tcPr>
            <w:tcW w:w="502" w:type="dxa"/>
          </w:tcPr>
          <w:p>
            <w:pPr>
              <w:pStyle w:val="TableParagraph"/>
              <w:spacing w:before="1"/>
              <w:rPr>
                <w:rFonts w:ascii="黑体"/>
                <w:sz w:val="15"/>
              </w:rPr>
            </w:pPr>
          </w:p>
          <w:p>
            <w:pPr>
              <w:pStyle w:val="TableParagraph"/>
              <w:spacing w:before="1"/>
              <w:ind w:left="125" w:right="125"/>
              <w:jc w:val="center"/>
              <w:rPr>
                <w:sz w:val="20"/>
              </w:rPr>
            </w:pPr>
            <w:r>
              <w:rPr>
                <w:sz w:val="20"/>
              </w:rPr>
              <w:t>76</w:t>
            </w:r>
          </w:p>
        </w:tc>
        <w:tc>
          <w:tcPr>
            <w:tcW w:w="2110" w:type="dxa"/>
          </w:tcPr>
          <w:p>
            <w:pPr>
              <w:pStyle w:val="TableParagraph"/>
              <w:spacing w:before="1"/>
              <w:rPr>
                <w:rFonts w:ascii="黑体"/>
                <w:sz w:val="15"/>
              </w:rPr>
            </w:pPr>
          </w:p>
          <w:p>
            <w:pPr>
              <w:pStyle w:val="TableParagraph"/>
              <w:spacing w:before="1"/>
              <w:jc w:val="center"/>
              <w:rPr>
                <w:sz w:val="20"/>
              </w:rPr>
            </w:pPr>
            <w:r>
              <w:rPr>
                <w:sz w:val="20"/>
              </w:rPr>
              <w:t>杨柳镇前进街片区棚改</w:t>
            </w:r>
          </w:p>
        </w:tc>
        <w:tc>
          <w:tcPr>
            <w:tcW w:w="1256" w:type="dxa"/>
          </w:tcPr>
          <w:p>
            <w:pPr>
              <w:pStyle w:val="TableParagraph"/>
              <w:spacing w:before="1"/>
              <w:rPr>
                <w:rFonts w:ascii="黑体"/>
                <w:sz w:val="15"/>
              </w:rPr>
            </w:pPr>
          </w:p>
          <w:p>
            <w:pPr>
              <w:pStyle w:val="TableParagraph"/>
              <w:spacing w:before="1"/>
              <w:ind w:left="152" w:right="152"/>
              <w:jc w:val="center"/>
              <w:rPr>
                <w:sz w:val="20"/>
              </w:rPr>
            </w:pPr>
            <w:r>
              <w:rPr>
                <w:sz w:val="20"/>
              </w:rPr>
              <w:t>2017-2018</w:t>
            </w:r>
          </w:p>
        </w:tc>
        <w:tc>
          <w:tcPr>
            <w:tcW w:w="3662" w:type="dxa"/>
          </w:tcPr>
          <w:p>
            <w:pPr>
              <w:pStyle w:val="TableParagraph"/>
              <w:spacing w:before="1"/>
              <w:rPr>
                <w:rFonts w:ascii="黑体"/>
                <w:sz w:val="15"/>
              </w:rPr>
            </w:pPr>
          </w:p>
          <w:p>
            <w:pPr>
              <w:pStyle w:val="TableParagraph"/>
              <w:spacing w:before="1"/>
              <w:ind w:left="13" w:right="13"/>
              <w:jc w:val="center"/>
              <w:rPr>
                <w:sz w:val="20"/>
              </w:rPr>
            </w:pPr>
            <w:r>
              <w:rPr>
                <w:sz w:val="20"/>
              </w:rPr>
              <w:t>170 户，面积 1.84 万平方米</w:t>
            </w:r>
          </w:p>
        </w:tc>
        <w:tc>
          <w:tcPr>
            <w:tcW w:w="1058" w:type="dxa"/>
          </w:tcPr>
          <w:p>
            <w:pPr>
              <w:pStyle w:val="TableParagraph"/>
              <w:spacing w:before="1"/>
              <w:rPr>
                <w:rFonts w:ascii="黑体"/>
                <w:sz w:val="15"/>
              </w:rPr>
            </w:pPr>
          </w:p>
          <w:p>
            <w:pPr>
              <w:pStyle w:val="TableParagraph"/>
              <w:spacing w:before="1"/>
              <w:ind w:left="153" w:right="153"/>
              <w:jc w:val="center"/>
              <w:rPr>
                <w:sz w:val="20"/>
              </w:rPr>
            </w:pPr>
            <w:r>
              <w:rPr>
                <w:sz w:val="20"/>
              </w:rPr>
              <w:t>1930</w:t>
            </w:r>
          </w:p>
        </w:tc>
        <w:tc>
          <w:tcPr>
            <w:tcW w:w="1051" w:type="dxa"/>
          </w:tcPr>
          <w:p>
            <w:pPr>
              <w:pStyle w:val="TableParagraph"/>
              <w:spacing w:before="1"/>
              <w:rPr>
                <w:rFonts w:ascii="黑体"/>
                <w:sz w:val="15"/>
              </w:rPr>
            </w:pPr>
          </w:p>
          <w:p>
            <w:pPr>
              <w:pStyle w:val="TableParagraph"/>
              <w:spacing w:before="1"/>
              <w:ind w:left="219"/>
              <w:rPr>
                <w:sz w:val="20"/>
              </w:rPr>
            </w:pPr>
            <w:r>
              <w:rPr>
                <w:sz w:val="20"/>
              </w:rPr>
              <w:t>住建局</w:t>
            </w:r>
          </w:p>
        </w:tc>
      </w:tr>
      <w:tr>
        <w:trPr>
          <w:trHeight w:val="1160" w:hRule="atLeast"/>
        </w:trPr>
        <w:tc>
          <w:tcPr>
            <w:tcW w:w="502" w:type="dxa"/>
          </w:tcPr>
          <w:p>
            <w:pPr>
              <w:pStyle w:val="TableParagraph"/>
              <w:rPr>
                <w:rFonts w:ascii="黑体"/>
                <w:sz w:val="20"/>
              </w:rPr>
            </w:pPr>
          </w:p>
          <w:p>
            <w:pPr>
              <w:pStyle w:val="TableParagraph"/>
              <w:spacing w:before="157"/>
              <w:ind w:left="125" w:right="125"/>
              <w:jc w:val="center"/>
              <w:rPr>
                <w:sz w:val="20"/>
              </w:rPr>
            </w:pPr>
            <w:r>
              <w:rPr>
                <w:sz w:val="20"/>
              </w:rPr>
              <w:t>77</w:t>
            </w:r>
          </w:p>
        </w:tc>
        <w:tc>
          <w:tcPr>
            <w:tcW w:w="2110" w:type="dxa"/>
          </w:tcPr>
          <w:p>
            <w:pPr>
              <w:pStyle w:val="TableParagraph"/>
              <w:spacing w:before="4"/>
              <w:rPr>
                <w:rFonts w:ascii="黑体"/>
                <w:sz w:val="22"/>
              </w:rPr>
            </w:pPr>
          </w:p>
          <w:p>
            <w:pPr>
              <w:pStyle w:val="TableParagraph"/>
              <w:spacing w:line="237" w:lineRule="auto"/>
              <w:ind w:left="848" w:right="131" w:hanging="700"/>
              <w:rPr>
                <w:sz w:val="20"/>
              </w:rPr>
            </w:pPr>
            <w:r>
              <w:rPr>
                <w:sz w:val="20"/>
              </w:rPr>
              <w:t>城镇棚户区基础设施改造</w:t>
            </w:r>
          </w:p>
        </w:tc>
        <w:tc>
          <w:tcPr>
            <w:tcW w:w="1256" w:type="dxa"/>
          </w:tcPr>
          <w:p>
            <w:pPr>
              <w:pStyle w:val="TableParagraph"/>
              <w:rPr>
                <w:rFonts w:ascii="黑体"/>
                <w:sz w:val="20"/>
              </w:rPr>
            </w:pPr>
          </w:p>
          <w:p>
            <w:pPr>
              <w:pStyle w:val="TableParagraph"/>
              <w:spacing w:before="157"/>
              <w:ind w:left="151" w:right="152"/>
              <w:jc w:val="center"/>
              <w:rPr>
                <w:sz w:val="20"/>
              </w:rPr>
            </w:pPr>
            <w:r>
              <w:rPr>
                <w:sz w:val="20"/>
              </w:rPr>
              <w:t>2016-2018</w:t>
            </w:r>
          </w:p>
        </w:tc>
        <w:tc>
          <w:tcPr>
            <w:tcW w:w="3662" w:type="dxa"/>
          </w:tcPr>
          <w:p>
            <w:pPr>
              <w:pStyle w:val="TableParagraph"/>
              <w:spacing w:line="237" w:lineRule="auto" w:before="162"/>
              <w:ind w:left="125" w:right="123"/>
              <w:jc w:val="center"/>
              <w:rPr>
                <w:sz w:val="20"/>
              </w:rPr>
            </w:pPr>
            <w:r>
              <w:rPr>
                <w:spacing w:val="-18"/>
                <w:sz w:val="20"/>
              </w:rPr>
              <w:t>新建 </w:t>
            </w:r>
            <w:r>
              <w:rPr>
                <w:sz w:val="20"/>
              </w:rPr>
              <w:t>4996</w:t>
            </w:r>
            <w:r>
              <w:rPr>
                <w:spacing w:val="-19"/>
                <w:sz w:val="20"/>
              </w:rPr>
              <w:t> 户，面积 </w:t>
            </w:r>
            <w:r>
              <w:rPr>
                <w:sz w:val="20"/>
              </w:rPr>
              <w:t>47.8</w:t>
            </w:r>
            <w:r>
              <w:rPr>
                <w:spacing w:val="-9"/>
                <w:sz w:val="20"/>
              </w:rPr>
              <w:t> 万平方米的棚</w:t>
            </w:r>
            <w:r>
              <w:rPr>
                <w:spacing w:val="-1"/>
                <w:sz w:val="20"/>
              </w:rPr>
              <w:t>户区配套基础设施，包括道路、绿化、管网等</w:t>
            </w:r>
          </w:p>
        </w:tc>
        <w:tc>
          <w:tcPr>
            <w:tcW w:w="1058" w:type="dxa"/>
          </w:tcPr>
          <w:p>
            <w:pPr>
              <w:pStyle w:val="TableParagraph"/>
              <w:rPr>
                <w:rFonts w:ascii="黑体"/>
                <w:sz w:val="20"/>
              </w:rPr>
            </w:pPr>
          </w:p>
          <w:p>
            <w:pPr>
              <w:pStyle w:val="TableParagraph"/>
              <w:spacing w:before="157"/>
              <w:ind w:left="153" w:right="153"/>
              <w:jc w:val="center"/>
              <w:rPr>
                <w:sz w:val="20"/>
              </w:rPr>
            </w:pPr>
            <w:r>
              <w:rPr>
                <w:sz w:val="20"/>
              </w:rPr>
              <w:t>9992</w:t>
            </w:r>
          </w:p>
        </w:tc>
        <w:tc>
          <w:tcPr>
            <w:tcW w:w="1051" w:type="dxa"/>
          </w:tcPr>
          <w:p>
            <w:pPr>
              <w:pStyle w:val="TableParagraph"/>
              <w:rPr>
                <w:rFonts w:ascii="黑体"/>
                <w:sz w:val="20"/>
              </w:rPr>
            </w:pPr>
          </w:p>
          <w:p>
            <w:pPr>
              <w:pStyle w:val="TableParagraph"/>
              <w:spacing w:before="157"/>
              <w:ind w:left="219"/>
              <w:rPr>
                <w:sz w:val="20"/>
              </w:rPr>
            </w:pPr>
            <w:r>
              <w:rPr>
                <w:sz w:val="20"/>
              </w:rPr>
              <w:t>住建局</w:t>
            </w:r>
          </w:p>
        </w:tc>
      </w:tr>
      <w:tr>
        <w:trPr>
          <w:trHeight w:val="1020" w:hRule="atLeast"/>
        </w:trPr>
        <w:tc>
          <w:tcPr>
            <w:tcW w:w="502" w:type="dxa"/>
          </w:tcPr>
          <w:p>
            <w:pPr>
              <w:pStyle w:val="TableParagraph"/>
              <w:spacing w:before="12"/>
              <w:rPr>
                <w:rFonts w:ascii="黑体"/>
                <w:sz w:val="26"/>
              </w:rPr>
            </w:pPr>
          </w:p>
          <w:p>
            <w:pPr>
              <w:pStyle w:val="TableParagraph"/>
              <w:ind w:left="125" w:right="125"/>
              <w:jc w:val="center"/>
              <w:rPr>
                <w:sz w:val="20"/>
              </w:rPr>
            </w:pPr>
            <w:r>
              <w:rPr>
                <w:sz w:val="20"/>
              </w:rPr>
              <w:t>78</w:t>
            </w:r>
          </w:p>
        </w:tc>
        <w:tc>
          <w:tcPr>
            <w:tcW w:w="2110" w:type="dxa"/>
          </w:tcPr>
          <w:p>
            <w:pPr>
              <w:pStyle w:val="TableParagraph"/>
              <w:spacing w:before="12"/>
              <w:rPr>
                <w:rFonts w:ascii="黑体"/>
                <w:sz w:val="26"/>
              </w:rPr>
            </w:pPr>
          </w:p>
          <w:p>
            <w:pPr>
              <w:pStyle w:val="TableParagraph"/>
              <w:jc w:val="center"/>
              <w:rPr>
                <w:sz w:val="20"/>
              </w:rPr>
            </w:pPr>
            <w:r>
              <w:rPr>
                <w:sz w:val="20"/>
              </w:rPr>
              <w:t>政务中心地块商业开发</w:t>
            </w:r>
          </w:p>
        </w:tc>
        <w:tc>
          <w:tcPr>
            <w:tcW w:w="1256" w:type="dxa"/>
          </w:tcPr>
          <w:p>
            <w:pPr>
              <w:pStyle w:val="TableParagraph"/>
              <w:spacing w:before="12"/>
              <w:rPr>
                <w:rFonts w:ascii="黑体"/>
                <w:sz w:val="26"/>
              </w:rPr>
            </w:pPr>
          </w:p>
          <w:p>
            <w:pPr>
              <w:pStyle w:val="TableParagraph"/>
              <w:ind w:left="152" w:right="152"/>
              <w:jc w:val="center"/>
              <w:rPr>
                <w:sz w:val="20"/>
              </w:rPr>
            </w:pPr>
            <w:r>
              <w:rPr>
                <w:sz w:val="20"/>
              </w:rPr>
              <w:t>2018-2019</w:t>
            </w:r>
          </w:p>
        </w:tc>
        <w:tc>
          <w:tcPr>
            <w:tcW w:w="3662" w:type="dxa"/>
          </w:tcPr>
          <w:p>
            <w:pPr>
              <w:pStyle w:val="TableParagraph"/>
              <w:spacing w:before="12"/>
              <w:rPr>
                <w:rFonts w:ascii="黑体"/>
                <w:sz w:val="26"/>
              </w:rPr>
            </w:pPr>
          </w:p>
          <w:p>
            <w:pPr>
              <w:pStyle w:val="TableParagraph"/>
              <w:ind w:right="43"/>
              <w:jc w:val="center"/>
              <w:rPr>
                <w:sz w:val="20"/>
              </w:rPr>
            </w:pPr>
            <w:r>
              <w:rPr>
                <w:sz w:val="20"/>
              </w:rPr>
              <w:t>占地 57 亩，建筑面积约 13.3 万平方米</w:t>
            </w:r>
          </w:p>
        </w:tc>
        <w:tc>
          <w:tcPr>
            <w:tcW w:w="1058" w:type="dxa"/>
          </w:tcPr>
          <w:p>
            <w:pPr>
              <w:pStyle w:val="TableParagraph"/>
              <w:spacing w:before="12"/>
              <w:rPr>
                <w:rFonts w:ascii="黑体"/>
                <w:sz w:val="26"/>
              </w:rPr>
            </w:pPr>
          </w:p>
          <w:p>
            <w:pPr>
              <w:pStyle w:val="TableParagraph"/>
              <w:ind w:left="153" w:right="153"/>
              <w:jc w:val="center"/>
              <w:rPr>
                <w:sz w:val="20"/>
              </w:rPr>
            </w:pPr>
            <w:r>
              <w:rPr>
                <w:sz w:val="20"/>
              </w:rPr>
              <w:t>32000</w:t>
            </w:r>
          </w:p>
        </w:tc>
        <w:tc>
          <w:tcPr>
            <w:tcW w:w="1051" w:type="dxa"/>
          </w:tcPr>
          <w:p>
            <w:pPr>
              <w:pStyle w:val="TableParagraph"/>
              <w:spacing w:before="12"/>
              <w:rPr>
                <w:rFonts w:ascii="黑体"/>
                <w:sz w:val="26"/>
              </w:rPr>
            </w:pPr>
          </w:p>
          <w:p>
            <w:pPr>
              <w:pStyle w:val="TableParagraph"/>
              <w:ind w:left="219"/>
              <w:rPr>
                <w:sz w:val="20"/>
              </w:rPr>
            </w:pPr>
            <w:r>
              <w:rPr>
                <w:sz w:val="20"/>
              </w:rPr>
              <w:t>住建局</w:t>
            </w:r>
          </w:p>
        </w:tc>
      </w:tr>
    </w:tbl>
    <w:p>
      <w:pPr>
        <w:spacing w:after="0"/>
        <w:rPr>
          <w:sz w:val="20"/>
        </w:rPr>
        <w:sectPr>
          <w:pgSz w:w="11910" w:h="16840"/>
          <w:pgMar w:header="0" w:footer="998" w:top="1440" w:bottom="1120" w:left="880" w:right="1160"/>
        </w:sectPr>
      </w:pPr>
    </w:p>
    <w:tbl>
      <w:tblPr>
        <w:tblW w:w="0" w:type="auto"/>
        <w:jc w:val="left"/>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02"/>
        <w:gridCol w:w="2110"/>
        <w:gridCol w:w="1256"/>
        <w:gridCol w:w="3662"/>
        <w:gridCol w:w="1058"/>
        <w:gridCol w:w="1051"/>
      </w:tblGrid>
      <w:tr>
        <w:trPr>
          <w:trHeight w:val="920" w:hRule="atLeast"/>
        </w:trPr>
        <w:tc>
          <w:tcPr>
            <w:tcW w:w="502" w:type="dxa"/>
          </w:tcPr>
          <w:p>
            <w:pPr>
              <w:pStyle w:val="TableParagraph"/>
              <w:rPr>
                <w:rFonts w:ascii="黑体"/>
                <w:sz w:val="23"/>
              </w:rPr>
            </w:pPr>
          </w:p>
          <w:p>
            <w:pPr>
              <w:pStyle w:val="TableParagraph"/>
              <w:ind w:left="124" w:right="125"/>
              <w:jc w:val="center"/>
              <w:rPr>
                <w:sz w:val="20"/>
              </w:rPr>
            </w:pPr>
            <w:r>
              <w:rPr>
                <w:sz w:val="20"/>
              </w:rPr>
              <w:t>79</w:t>
            </w:r>
          </w:p>
        </w:tc>
        <w:tc>
          <w:tcPr>
            <w:tcW w:w="2110" w:type="dxa"/>
          </w:tcPr>
          <w:p>
            <w:pPr>
              <w:pStyle w:val="TableParagraph"/>
              <w:rPr>
                <w:rFonts w:ascii="黑体"/>
                <w:sz w:val="23"/>
              </w:rPr>
            </w:pPr>
          </w:p>
          <w:p>
            <w:pPr>
              <w:pStyle w:val="TableParagraph"/>
              <w:ind w:left="99" w:right="100"/>
              <w:jc w:val="center"/>
              <w:rPr>
                <w:sz w:val="20"/>
              </w:rPr>
            </w:pPr>
            <w:r>
              <w:rPr>
                <w:sz w:val="20"/>
              </w:rPr>
              <w:t>夜坝村一组商业开发</w:t>
            </w:r>
          </w:p>
        </w:tc>
        <w:tc>
          <w:tcPr>
            <w:tcW w:w="1256" w:type="dxa"/>
          </w:tcPr>
          <w:p>
            <w:pPr>
              <w:pStyle w:val="TableParagraph"/>
              <w:rPr>
                <w:rFonts w:ascii="黑体"/>
                <w:sz w:val="23"/>
              </w:rPr>
            </w:pPr>
          </w:p>
          <w:p>
            <w:pPr>
              <w:pStyle w:val="TableParagraph"/>
              <w:ind w:left="151" w:right="152"/>
              <w:jc w:val="center"/>
              <w:rPr>
                <w:sz w:val="20"/>
              </w:rPr>
            </w:pPr>
            <w:r>
              <w:rPr>
                <w:sz w:val="20"/>
              </w:rPr>
              <w:t>2018-2019</w:t>
            </w:r>
          </w:p>
        </w:tc>
        <w:tc>
          <w:tcPr>
            <w:tcW w:w="3662" w:type="dxa"/>
          </w:tcPr>
          <w:p>
            <w:pPr>
              <w:pStyle w:val="TableParagraph"/>
              <w:rPr>
                <w:rFonts w:ascii="黑体"/>
                <w:sz w:val="23"/>
              </w:rPr>
            </w:pPr>
          </w:p>
          <w:p>
            <w:pPr>
              <w:pStyle w:val="TableParagraph"/>
              <w:ind w:left="102"/>
              <w:rPr>
                <w:sz w:val="20"/>
              </w:rPr>
            </w:pPr>
            <w:r>
              <w:rPr>
                <w:sz w:val="20"/>
              </w:rPr>
              <w:t>占地 40 亩，建筑面积约 9.3 万平方米</w:t>
            </w:r>
          </w:p>
        </w:tc>
        <w:tc>
          <w:tcPr>
            <w:tcW w:w="1058" w:type="dxa"/>
          </w:tcPr>
          <w:p>
            <w:pPr>
              <w:pStyle w:val="TableParagraph"/>
              <w:rPr>
                <w:rFonts w:ascii="黑体"/>
                <w:sz w:val="23"/>
              </w:rPr>
            </w:pPr>
          </w:p>
          <w:p>
            <w:pPr>
              <w:pStyle w:val="TableParagraph"/>
              <w:ind w:left="153" w:right="152"/>
              <w:jc w:val="center"/>
              <w:rPr>
                <w:sz w:val="20"/>
              </w:rPr>
            </w:pPr>
            <w:r>
              <w:rPr>
                <w:sz w:val="20"/>
              </w:rPr>
              <w:t>22000</w:t>
            </w:r>
          </w:p>
        </w:tc>
        <w:tc>
          <w:tcPr>
            <w:tcW w:w="1051" w:type="dxa"/>
          </w:tcPr>
          <w:p>
            <w:pPr>
              <w:pStyle w:val="TableParagraph"/>
              <w:rPr>
                <w:rFonts w:ascii="黑体"/>
                <w:sz w:val="23"/>
              </w:rPr>
            </w:pPr>
          </w:p>
          <w:p>
            <w:pPr>
              <w:pStyle w:val="TableParagraph"/>
              <w:ind w:left="219"/>
              <w:rPr>
                <w:sz w:val="20"/>
              </w:rPr>
            </w:pPr>
            <w:r>
              <w:rPr>
                <w:sz w:val="20"/>
              </w:rPr>
              <w:t>住建局</w:t>
            </w:r>
          </w:p>
        </w:tc>
      </w:tr>
      <w:tr>
        <w:trPr>
          <w:trHeight w:val="940" w:hRule="atLeast"/>
        </w:trPr>
        <w:tc>
          <w:tcPr>
            <w:tcW w:w="502" w:type="dxa"/>
          </w:tcPr>
          <w:p>
            <w:pPr>
              <w:pStyle w:val="TableParagraph"/>
              <w:rPr>
                <w:rFonts w:ascii="黑体"/>
                <w:sz w:val="24"/>
              </w:rPr>
            </w:pPr>
          </w:p>
          <w:p>
            <w:pPr>
              <w:pStyle w:val="TableParagraph"/>
              <w:ind w:left="124" w:right="125"/>
              <w:jc w:val="center"/>
              <w:rPr>
                <w:sz w:val="20"/>
              </w:rPr>
            </w:pPr>
            <w:r>
              <w:rPr>
                <w:sz w:val="20"/>
              </w:rPr>
              <w:t>80</w:t>
            </w:r>
          </w:p>
        </w:tc>
        <w:tc>
          <w:tcPr>
            <w:tcW w:w="2110" w:type="dxa"/>
          </w:tcPr>
          <w:p>
            <w:pPr>
              <w:pStyle w:val="TableParagraph"/>
              <w:rPr>
                <w:rFonts w:ascii="黑体"/>
                <w:sz w:val="24"/>
              </w:rPr>
            </w:pPr>
          </w:p>
          <w:p>
            <w:pPr>
              <w:pStyle w:val="TableParagraph"/>
              <w:ind w:left="99" w:right="100"/>
              <w:jc w:val="center"/>
              <w:rPr>
                <w:sz w:val="20"/>
              </w:rPr>
            </w:pPr>
            <w:r>
              <w:rPr>
                <w:sz w:val="20"/>
              </w:rPr>
              <w:t>王爷庙商业开发</w:t>
            </w:r>
          </w:p>
        </w:tc>
        <w:tc>
          <w:tcPr>
            <w:tcW w:w="1256" w:type="dxa"/>
          </w:tcPr>
          <w:p>
            <w:pPr>
              <w:pStyle w:val="TableParagraph"/>
              <w:rPr>
                <w:rFonts w:ascii="黑体"/>
                <w:sz w:val="24"/>
              </w:rPr>
            </w:pPr>
          </w:p>
          <w:p>
            <w:pPr>
              <w:pStyle w:val="TableParagraph"/>
              <w:ind w:left="152" w:right="152"/>
              <w:jc w:val="center"/>
              <w:rPr>
                <w:sz w:val="20"/>
              </w:rPr>
            </w:pPr>
            <w:r>
              <w:rPr>
                <w:sz w:val="20"/>
              </w:rPr>
              <w:t>2019-2020</w:t>
            </w:r>
          </w:p>
        </w:tc>
        <w:tc>
          <w:tcPr>
            <w:tcW w:w="3662" w:type="dxa"/>
          </w:tcPr>
          <w:p>
            <w:pPr>
              <w:pStyle w:val="TableParagraph"/>
              <w:rPr>
                <w:rFonts w:ascii="黑体"/>
                <w:sz w:val="24"/>
              </w:rPr>
            </w:pPr>
          </w:p>
          <w:p>
            <w:pPr>
              <w:pStyle w:val="TableParagraph"/>
              <w:ind w:left="103"/>
              <w:rPr>
                <w:sz w:val="20"/>
              </w:rPr>
            </w:pPr>
            <w:r>
              <w:rPr>
                <w:sz w:val="20"/>
              </w:rPr>
              <w:t>占地 60 亩，建筑面积约 14 万平方米</w:t>
            </w:r>
          </w:p>
        </w:tc>
        <w:tc>
          <w:tcPr>
            <w:tcW w:w="1058" w:type="dxa"/>
          </w:tcPr>
          <w:p>
            <w:pPr>
              <w:pStyle w:val="TableParagraph"/>
              <w:rPr>
                <w:rFonts w:ascii="黑体"/>
                <w:sz w:val="24"/>
              </w:rPr>
            </w:pPr>
          </w:p>
          <w:p>
            <w:pPr>
              <w:pStyle w:val="TableParagraph"/>
              <w:ind w:left="153" w:right="152"/>
              <w:jc w:val="center"/>
              <w:rPr>
                <w:sz w:val="20"/>
              </w:rPr>
            </w:pPr>
            <w:r>
              <w:rPr>
                <w:sz w:val="20"/>
              </w:rPr>
              <w:t>35000</w:t>
            </w:r>
          </w:p>
        </w:tc>
        <w:tc>
          <w:tcPr>
            <w:tcW w:w="1051" w:type="dxa"/>
          </w:tcPr>
          <w:p>
            <w:pPr>
              <w:pStyle w:val="TableParagraph"/>
              <w:rPr>
                <w:rFonts w:ascii="黑体"/>
                <w:sz w:val="24"/>
              </w:rPr>
            </w:pPr>
          </w:p>
          <w:p>
            <w:pPr>
              <w:pStyle w:val="TableParagraph"/>
              <w:ind w:left="219"/>
              <w:rPr>
                <w:sz w:val="20"/>
              </w:rPr>
            </w:pPr>
            <w:r>
              <w:rPr>
                <w:sz w:val="20"/>
              </w:rPr>
              <w:t>住建局</w:t>
            </w:r>
          </w:p>
        </w:tc>
      </w:tr>
      <w:tr>
        <w:trPr>
          <w:trHeight w:val="720" w:hRule="atLeast"/>
        </w:trPr>
        <w:tc>
          <w:tcPr>
            <w:tcW w:w="502" w:type="dxa"/>
          </w:tcPr>
          <w:p>
            <w:pPr>
              <w:pStyle w:val="TableParagraph"/>
              <w:spacing w:before="1"/>
              <w:rPr>
                <w:rFonts w:ascii="黑体"/>
                <w:sz w:val="15"/>
              </w:rPr>
            </w:pPr>
          </w:p>
          <w:p>
            <w:pPr>
              <w:pStyle w:val="TableParagraph"/>
              <w:spacing w:before="1"/>
              <w:ind w:left="125" w:right="125"/>
              <w:jc w:val="center"/>
              <w:rPr>
                <w:sz w:val="20"/>
              </w:rPr>
            </w:pPr>
            <w:r>
              <w:rPr>
                <w:sz w:val="20"/>
              </w:rPr>
              <w:t>81</w:t>
            </w:r>
          </w:p>
        </w:tc>
        <w:tc>
          <w:tcPr>
            <w:tcW w:w="2110" w:type="dxa"/>
          </w:tcPr>
          <w:p>
            <w:pPr>
              <w:pStyle w:val="TableParagraph"/>
              <w:spacing w:before="1"/>
              <w:rPr>
                <w:rFonts w:ascii="黑体"/>
                <w:sz w:val="15"/>
              </w:rPr>
            </w:pPr>
          </w:p>
          <w:p>
            <w:pPr>
              <w:pStyle w:val="TableParagraph"/>
              <w:spacing w:before="1"/>
              <w:ind w:left="99" w:right="100"/>
              <w:jc w:val="center"/>
              <w:rPr>
                <w:sz w:val="20"/>
              </w:rPr>
            </w:pPr>
            <w:r>
              <w:rPr>
                <w:sz w:val="20"/>
              </w:rPr>
              <w:t>麻</w:t>
            </w:r>
            <w:r>
              <w:rPr>
                <w:spacing w:val="-100"/>
                <w:sz w:val="20"/>
              </w:rPr>
              <w:t> </w:t>
            </w:r>
            <w:r>
              <w:rPr>
                <w:spacing w:val="-2"/>
                <w:w w:val="100"/>
                <w:sz w:val="20"/>
              </w:rPr>
              <w:drawing>
                <wp:inline distT="0" distB="0" distL="0" distR="0">
                  <wp:extent cx="121853" cy="115824"/>
                  <wp:effectExtent l="0" t="0" r="0" b="0"/>
                  <wp:docPr id="33" name="image17.png" descr=""/>
                  <wp:cNvGraphicFramePr>
                    <a:graphicFrameLocks noChangeAspect="1"/>
                  </wp:cNvGraphicFramePr>
                  <a:graphic>
                    <a:graphicData uri="http://schemas.openxmlformats.org/drawingml/2006/picture">
                      <pic:pic>
                        <pic:nvPicPr>
                          <pic:cNvPr id="34" name="image17.png"/>
                          <pic:cNvPicPr/>
                        </pic:nvPicPr>
                        <pic:blipFill>
                          <a:blip r:embed="rId30" cstate="print"/>
                          <a:stretch>
                            <a:fillRect/>
                          </a:stretch>
                        </pic:blipFill>
                        <pic:spPr>
                          <a:xfrm>
                            <a:off x="0" y="0"/>
                            <a:ext cx="121853" cy="115824"/>
                          </a:xfrm>
                          <a:prstGeom prst="rect">
                            <a:avLst/>
                          </a:prstGeom>
                        </pic:spPr>
                      </pic:pic>
                    </a:graphicData>
                  </a:graphic>
                </wp:inline>
              </w:drawing>
            </w:r>
            <w:r>
              <w:rPr>
                <w:spacing w:val="-2"/>
                <w:w w:val="100"/>
                <w:sz w:val="20"/>
              </w:rPr>
            </w:r>
            <w:r>
              <w:rPr>
                <w:sz w:val="20"/>
              </w:rPr>
              <w:t>商业开发</w:t>
            </w:r>
          </w:p>
        </w:tc>
        <w:tc>
          <w:tcPr>
            <w:tcW w:w="1256" w:type="dxa"/>
          </w:tcPr>
          <w:p>
            <w:pPr>
              <w:pStyle w:val="TableParagraph"/>
              <w:spacing w:before="1"/>
              <w:rPr>
                <w:rFonts w:ascii="黑体"/>
                <w:sz w:val="15"/>
              </w:rPr>
            </w:pPr>
          </w:p>
          <w:p>
            <w:pPr>
              <w:pStyle w:val="TableParagraph"/>
              <w:spacing w:before="1"/>
              <w:ind w:left="152" w:right="151"/>
              <w:jc w:val="center"/>
              <w:rPr>
                <w:sz w:val="20"/>
              </w:rPr>
            </w:pPr>
            <w:r>
              <w:rPr>
                <w:sz w:val="20"/>
              </w:rPr>
              <w:t>2018-2019</w:t>
            </w:r>
          </w:p>
        </w:tc>
        <w:tc>
          <w:tcPr>
            <w:tcW w:w="3662" w:type="dxa"/>
          </w:tcPr>
          <w:p>
            <w:pPr>
              <w:pStyle w:val="TableParagraph"/>
              <w:spacing w:before="1"/>
              <w:rPr>
                <w:rFonts w:ascii="黑体"/>
                <w:sz w:val="15"/>
              </w:rPr>
            </w:pPr>
          </w:p>
          <w:p>
            <w:pPr>
              <w:pStyle w:val="TableParagraph"/>
              <w:spacing w:before="1"/>
              <w:ind w:left="104"/>
              <w:rPr>
                <w:sz w:val="20"/>
              </w:rPr>
            </w:pPr>
            <w:r>
              <w:rPr>
                <w:sz w:val="20"/>
              </w:rPr>
              <w:t>占地 60 亩，建筑面积约 14 万平方米</w:t>
            </w:r>
          </w:p>
        </w:tc>
        <w:tc>
          <w:tcPr>
            <w:tcW w:w="1058" w:type="dxa"/>
          </w:tcPr>
          <w:p>
            <w:pPr>
              <w:pStyle w:val="TableParagraph"/>
              <w:spacing w:before="1"/>
              <w:rPr>
                <w:rFonts w:ascii="黑体"/>
                <w:sz w:val="15"/>
              </w:rPr>
            </w:pPr>
          </w:p>
          <w:p>
            <w:pPr>
              <w:pStyle w:val="TableParagraph"/>
              <w:spacing w:before="1"/>
              <w:ind w:left="153" w:right="152"/>
              <w:jc w:val="center"/>
              <w:rPr>
                <w:sz w:val="20"/>
              </w:rPr>
            </w:pPr>
            <w:r>
              <w:rPr>
                <w:sz w:val="20"/>
              </w:rPr>
              <w:t>35000</w:t>
            </w:r>
          </w:p>
        </w:tc>
        <w:tc>
          <w:tcPr>
            <w:tcW w:w="1051" w:type="dxa"/>
          </w:tcPr>
          <w:p>
            <w:pPr>
              <w:pStyle w:val="TableParagraph"/>
              <w:spacing w:before="1"/>
              <w:rPr>
                <w:rFonts w:ascii="黑体"/>
                <w:sz w:val="15"/>
              </w:rPr>
            </w:pPr>
          </w:p>
          <w:p>
            <w:pPr>
              <w:pStyle w:val="TableParagraph"/>
              <w:spacing w:before="1"/>
              <w:ind w:left="219"/>
              <w:rPr>
                <w:sz w:val="20"/>
              </w:rPr>
            </w:pPr>
            <w:r>
              <w:rPr>
                <w:sz w:val="20"/>
              </w:rPr>
              <w:t>住建局</w:t>
            </w:r>
          </w:p>
        </w:tc>
      </w:tr>
      <w:tr>
        <w:trPr>
          <w:trHeight w:val="700" w:hRule="atLeast"/>
        </w:trPr>
        <w:tc>
          <w:tcPr>
            <w:tcW w:w="502" w:type="dxa"/>
          </w:tcPr>
          <w:p>
            <w:pPr>
              <w:pStyle w:val="TableParagraph"/>
              <w:spacing w:before="1"/>
              <w:rPr>
                <w:rFonts w:ascii="黑体"/>
                <w:sz w:val="15"/>
              </w:rPr>
            </w:pPr>
          </w:p>
          <w:p>
            <w:pPr>
              <w:pStyle w:val="TableParagraph"/>
              <w:spacing w:before="1"/>
              <w:ind w:left="124" w:right="125"/>
              <w:jc w:val="center"/>
              <w:rPr>
                <w:sz w:val="20"/>
              </w:rPr>
            </w:pPr>
            <w:r>
              <w:rPr>
                <w:sz w:val="20"/>
              </w:rPr>
              <w:t>82</w:t>
            </w:r>
          </w:p>
        </w:tc>
        <w:tc>
          <w:tcPr>
            <w:tcW w:w="2110" w:type="dxa"/>
          </w:tcPr>
          <w:p>
            <w:pPr>
              <w:pStyle w:val="TableParagraph"/>
              <w:spacing w:before="1"/>
              <w:rPr>
                <w:rFonts w:ascii="黑体"/>
                <w:sz w:val="15"/>
              </w:rPr>
            </w:pPr>
          </w:p>
          <w:p>
            <w:pPr>
              <w:pStyle w:val="TableParagraph"/>
              <w:spacing w:before="1"/>
              <w:ind w:left="99" w:right="101"/>
              <w:jc w:val="center"/>
              <w:rPr>
                <w:sz w:val="20"/>
              </w:rPr>
            </w:pPr>
            <w:r>
              <w:rPr>
                <w:sz w:val="20"/>
              </w:rPr>
              <w:t>城南路</w:t>
            </w:r>
          </w:p>
        </w:tc>
        <w:tc>
          <w:tcPr>
            <w:tcW w:w="1256" w:type="dxa"/>
          </w:tcPr>
          <w:p>
            <w:pPr>
              <w:pStyle w:val="TableParagraph"/>
              <w:spacing w:before="1"/>
              <w:rPr>
                <w:rFonts w:ascii="黑体"/>
                <w:sz w:val="15"/>
              </w:rPr>
            </w:pPr>
          </w:p>
          <w:p>
            <w:pPr>
              <w:pStyle w:val="TableParagraph"/>
              <w:spacing w:before="1"/>
              <w:ind w:left="152" w:right="152"/>
              <w:jc w:val="center"/>
              <w:rPr>
                <w:sz w:val="20"/>
              </w:rPr>
            </w:pPr>
            <w:r>
              <w:rPr>
                <w:sz w:val="20"/>
              </w:rPr>
              <w:t>2015-2016</w:t>
            </w:r>
          </w:p>
        </w:tc>
        <w:tc>
          <w:tcPr>
            <w:tcW w:w="3662" w:type="dxa"/>
          </w:tcPr>
          <w:p>
            <w:pPr>
              <w:pStyle w:val="TableParagraph"/>
              <w:spacing w:before="1"/>
              <w:rPr>
                <w:rFonts w:ascii="黑体"/>
                <w:sz w:val="15"/>
              </w:rPr>
            </w:pPr>
          </w:p>
          <w:p>
            <w:pPr>
              <w:pStyle w:val="TableParagraph"/>
              <w:spacing w:before="1"/>
              <w:ind w:left="673"/>
              <w:rPr>
                <w:sz w:val="20"/>
              </w:rPr>
            </w:pPr>
            <w:r>
              <w:rPr>
                <w:sz w:val="20"/>
              </w:rPr>
              <w:t>道路全长 770 米，宽 24 米</w:t>
            </w:r>
          </w:p>
        </w:tc>
        <w:tc>
          <w:tcPr>
            <w:tcW w:w="1058" w:type="dxa"/>
          </w:tcPr>
          <w:p>
            <w:pPr>
              <w:pStyle w:val="TableParagraph"/>
              <w:spacing w:before="1"/>
              <w:rPr>
                <w:rFonts w:ascii="黑体"/>
                <w:sz w:val="15"/>
              </w:rPr>
            </w:pPr>
          </w:p>
          <w:p>
            <w:pPr>
              <w:pStyle w:val="TableParagraph"/>
              <w:spacing w:before="1"/>
              <w:ind w:left="153" w:right="153"/>
              <w:jc w:val="center"/>
              <w:rPr>
                <w:sz w:val="20"/>
              </w:rPr>
            </w:pPr>
            <w:r>
              <w:rPr>
                <w:sz w:val="20"/>
              </w:rPr>
              <w:t>2212</w:t>
            </w:r>
          </w:p>
        </w:tc>
        <w:tc>
          <w:tcPr>
            <w:tcW w:w="1051" w:type="dxa"/>
          </w:tcPr>
          <w:p>
            <w:pPr>
              <w:pStyle w:val="TableParagraph"/>
              <w:spacing w:before="1"/>
              <w:rPr>
                <w:rFonts w:ascii="黑体"/>
                <w:sz w:val="15"/>
              </w:rPr>
            </w:pPr>
          </w:p>
          <w:p>
            <w:pPr>
              <w:pStyle w:val="TableParagraph"/>
              <w:spacing w:before="1"/>
              <w:ind w:left="219"/>
              <w:rPr>
                <w:sz w:val="20"/>
              </w:rPr>
            </w:pPr>
            <w:r>
              <w:rPr>
                <w:sz w:val="20"/>
              </w:rPr>
              <w:t>住建局</w:t>
            </w:r>
          </w:p>
        </w:tc>
      </w:tr>
      <w:tr>
        <w:trPr>
          <w:trHeight w:val="1220" w:hRule="atLeast"/>
        </w:trPr>
        <w:tc>
          <w:tcPr>
            <w:tcW w:w="502" w:type="dxa"/>
          </w:tcPr>
          <w:p>
            <w:pPr>
              <w:pStyle w:val="TableParagraph"/>
              <w:rPr>
                <w:rFonts w:ascii="黑体"/>
                <w:sz w:val="20"/>
              </w:rPr>
            </w:pPr>
          </w:p>
          <w:p>
            <w:pPr>
              <w:pStyle w:val="TableParagraph"/>
              <w:spacing w:before="5"/>
              <w:rPr>
                <w:rFonts w:ascii="黑体"/>
                <w:sz w:val="14"/>
              </w:rPr>
            </w:pPr>
          </w:p>
          <w:p>
            <w:pPr>
              <w:pStyle w:val="TableParagraph"/>
              <w:ind w:left="124" w:right="125"/>
              <w:jc w:val="center"/>
              <w:rPr>
                <w:sz w:val="20"/>
              </w:rPr>
            </w:pPr>
            <w:r>
              <w:rPr>
                <w:sz w:val="20"/>
              </w:rPr>
              <w:t>83</w:t>
            </w:r>
          </w:p>
        </w:tc>
        <w:tc>
          <w:tcPr>
            <w:tcW w:w="2110" w:type="dxa"/>
          </w:tcPr>
          <w:p>
            <w:pPr>
              <w:pStyle w:val="TableParagraph"/>
              <w:rPr>
                <w:rFonts w:ascii="黑体"/>
                <w:sz w:val="20"/>
              </w:rPr>
            </w:pPr>
          </w:p>
          <w:p>
            <w:pPr>
              <w:pStyle w:val="TableParagraph"/>
              <w:spacing w:before="5"/>
              <w:rPr>
                <w:rFonts w:ascii="黑体"/>
                <w:sz w:val="14"/>
              </w:rPr>
            </w:pPr>
          </w:p>
          <w:p>
            <w:pPr>
              <w:pStyle w:val="TableParagraph"/>
              <w:ind w:left="99" w:right="101"/>
              <w:jc w:val="center"/>
              <w:rPr>
                <w:sz w:val="20"/>
              </w:rPr>
            </w:pPr>
            <w:r>
              <w:rPr>
                <w:sz w:val="20"/>
              </w:rPr>
              <w:t>魅力港城</w:t>
            </w:r>
          </w:p>
        </w:tc>
        <w:tc>
          <w:tcPr>
            <w:tcW w:w="1256" w:type="dxa"/>
          </w:tcPr>
          <w:p>
            <w:pPr>
              <w:pStyle w:val="TableParagraph"/>
              <w:rPr>
                <w:rFonts w:ascii="黑体"/>
                <w:sz w:val="20"/>
              </w:rPr>
            </w:pPr>
          </w:p>
          <w:p>
            <w:pPr>
              <w:pStyle w:val="TableParagraph"/>
              <w:spacing w:before="5"/>
              <w:rPr>
                <w:rFonts w:ascii="黑体"/>
                <w:sz w:val="14"/>
              </w:rPr>
            </w:pPr>
          </w:p>
          <w:p>
            <w:pPr>
              <w:pStyle w:val="TableParagraph"/>
              <w:ind w:left="152" w:right="152"/>
              <w:jc w:val="center"/>
              <w:rPr>
                <w:sz w:val="20"/>
              </w:rPr>
            </w:pPr>
            <w:r>
              <w:rPr>
                <w:sz w:val="20"/>
              </w:rPr>
              <w:t>2015-2017</w:t>
            </w:r>
          </w:p>
        </w:tc>
        <w:tc>
          <w:tcPr>
            <w:tcW w:w="3662" w:type="dxa"/>
          </w:tcPr>
          <w:p>
            <w:pPr>
              <w:pStyle w:val="TableParagraph"/>
              <w:spacing w:before="9"/>
              <w:rPr>
                <w:rFonts w:ascii="黑体"/>
                <w:sz w:val="24"/>
              </w:rPr>
            </w:pPr>
          </w:p>
          <w:p>
            <w:pPr>
              <w:pStyle w:val="TableParagraph"/>
              <w:spacing w:line="237" w:lineRule="auto"/>
              <w:ind w:left="626" w:right="107" w:hanging="501"/>
              <w:rPr>
                <w:sz w:val="20"/>
              </w:rPr>
            </w:pPr>
            <w:r>
              <w:rPr>
                <w:sz w:val="20"/>
              </w:rPr>
              <w:t>建设住宅用房、商业用房、车库等，总建筑面积 127328.73 平方米</w:t>
            </w:r>
          </w:p>
        </w:tc>
        <w:tc>
          <w:tcPr>
            <w:tcW w:w="1058" w:type="dxa"/>
          </w:tcPr>
          <w:p>
            <w:pPr>
              <w:pStyle w:val="TableParagraph"/>
              <w:rPr>
                <w:rFonts w:ascii="黑体"/>
                <w:sz w:val="20"/>
              </w:rPr>
            </w:pPr>
          </w:p>
          <w:p>
            <w:pPr>
              <w:pStyle w:val="TableParagraph"/>
              <w:spacing w:before="5"/>
              <w:rPr>
                <w:rFonts w:ascii="黑体"/>
                <w:sz w:val="14"/>
              </w:rPr>
            </w:pPr>
          </w:p>
          <w:p>
            <w:pPr>
              <w:pStyle w:val="TableParagraph"/>
              <w:ind w:left="153" w:right="153"/>
              <w:jc w:val="center"/>
              <w:rPr>
                <w:sz w:val="20"/>
              </w:rPr>
            </w:pPr>
            <w:r>
              <w:rPr>
                <w:sz w:val="20"/>
              </w:rPr>
              <w:t>24000</w:t>
            </w:r>
          </w:p>
        </w:tc>
        <w:tc>
          <w:tcPr>
            <w:tcW w:w="1051" w:type="dxa"/>
          </w:tcPr>
          <w:p>
            <w:pPr>
              <w:pStyle w:val="TableParagraph"/>
              <w:rPr>
                <w:rFonts w:ascii="黑体"/>
                <w:sz w:val="20"/>
              </w:rPr>
            </w:pPr>
          </w:p>
          <w:p>
            <w:pPr>
              <w:pStyle w:val="TableParagraph"/>
              <w:spacing w:before="5"/>
              <w:rPr>
                <w:rFonts w:ascii="黑体"/>
                <w:sz w:val="14"/>
              </w:rPr>
            </w:pPr>
          </w:p>
          <w:p>
            <w:pPr>
              <w:pStyle w:val="TableParagraph"/>
              <w:ind w:left="219"/>
              <w:rPr>
                <w:sz w:val="20"/>
              </w:rPr>
            </w:pPr>
            <w:r>
              <w:rPr>
                <w:sz w:val="20"/>
              </w:rPr>
              <w:t>住建局</w:t>
            </w:r>
          </w:p>
        </w:tc>
      </w:tr>
      <w:tr>
        <w:trPr>
          <w:trHeight w:val="1380" w:hRule="atLeast"/>
        </w:trPr>
        <w:tc>
          <w:tcPr>
            <w:tcW w:w="502" w:type="dxa"/>
          </w:tcPr>
          <w:p>
            <w:pPr>
              <w:pStyle w:val="TableParagraph"/>
              <w:rPr>
                <w:rFonts w:ascii="黑体"/>
                <w:sz w:val="20"/>
              </w:rPr>
            </w:pPr>
          </w:p>
          <w:p>
            <w:pPr>
              <w:pStyle w:val="TableParagraph"/>
              <w:spacing w:before="5"/>
              <w:rPr>
                <w:rFonts w:ascii="黑体"/>
                <w:sz w:val="20"/>
              </w:rPr>
            </w:pPr>
          </w:p>
          <w:p>
            <w:pPr>
              <w:pStyle w:val="TableParagraph"/>
              <w:spacing w:before="1"/>
              <w:ind w:left="125" w:right="125"/>
              <w:jc w:val="center"/>
              <w:rPr>
                <w:sz w:val="20"/>
              </w:rPr>
            </w:pPr>
            <w:r>
              <w:rPr>
                <w:sz w:val="20"/>
              </w:rPr>
              <w:t>84</w:t>
            </w:r>
          </w:p>
        </w:tc>
        <w:tc>
          <w:tcPr>
            <w:tcW w:w="2110" w:type="dxa"/>
          </w:tcPr>
          <w:p>
            <w:pPr>
              <w:pStyle w:val="TableParagraph"/>
              <w:spacing w:line="237" w:lineRule="auto" w:before="143"/>
              <w:ind w:left="103" w:right="100" w:hanging="2"/>
              <w:jc w:val="center"/>
              <w:rPr>
                <w:sz w:val="20"/>
              </w:rPr>
            </w:pPr>
            <w:r>
              <w:rPr>
                <w:sz w:val="20"/>
              </w:rPr>
              <w:t>岷江现代农产品综合交易市场及配套商住</w:t>
            </w:r>
            <w:r>
              <w:rPr>
                <w:spacing w:val="-12"/>
                <w:sz w:val="20"/>
              </w:rPr>
              <w:t>楼开发项目</w:t>
            </w:r>
            <w:r>
              <w:rPr>
                <w:sz w:val="20"/>
              </w:rPr>
              <w:t>（万宸</w:t>
            </w:r>
            <w:r>
              <w:rPr>
                <w:spacing w:val="-54"/>
                <w:sz w:val="20"/>
              </w:rPr>
              <w:t>·</w:t>
            </w:r>
            <w:r>
              <w:rPr>
                <w:sz w:val="20"/>
              </w:rPr>
              <w:t>阅湖郡）</w:t>
            </w:r>
          </w:p>
        </w:tc>
        <w:tc>
          <w:tcPr>
            <w:tcW w:w="1256" w:type="dxa"/>
          </w:tcPr>
          <w:p>
            <w:pPr>
              <w:pStyle w:val="TableParagraph"/>
              <w:rPr>
                <w:rFonts w:ascii="黑体"/>
                <w:sz w:val="20"/>
              </w:rPr>
            </w:pPr>
          </w:p>
          <w:p>
            <w:pPr>
              <w:pStyle w:val="TableParagraph"/>
              <w:spacing w:before="5"/>
              <w:rPr>
                <w:rFonts w:ascii="黑体"/>
                <w:sz w:val="20"/>
              </w:rPr>
            </w:pPr>
          </w:p>
          <w:p>
            <w:pPr>
              <w:pStyle w:val="TableParagraph"/>
              <w:spacing w:before="1"/>
              <w:ind w:left="152" w:right="152"/>
              <w:jc w:val="center"/>
              <w:rPr>
                <w:sz w:val="20"/>
              </w:rPr>
            </w:pPr>
            <w:r>
              <w:rPr>
                <w:sz w:val="20"/>
              </w:rPr>
              <w:t>2014-2018</w:t>
            </w:r>
          </w:p>
        </w:tc>
        <w:tc>
          <w:tcPr>
            <w:tcW w:w="3662" w:type="dxa"/>
          </w:tcPr>
          <w:p>
            <w:pPr>
              <w:pStyle w:val="TableParagraph"/>
              <w:rPr>
                <w:rFonts w:ascii="黑体"/>
                <w:sz w:val="20"/>
              </w:rPr>
            </w:pPr>
          </w:p>
          <w:p>
            <w:pPr>
              <w:pStyle w:val="TableParagraph"/>
              <w:spacing w:before="5"/>
              <w:rPr>
                <w:rFonts w:ascii="黑体"/>
                <w:sz w:val="20"/>
              </w:rPr>
            </w:pPr>
          </w:p>
          <w:p>
            <w:pPr>
              <w:pStyle w:val="TableParagraph"/>
              <w:spacing w:before="1"/>
              <w:ind w:left="226"/>
              <w:rPr>
                <w:sz w:val="20"/>
              </w:rPr>
            </w:pPr>
            <w:r>
              <w:rPr>
                <w:sz w:val="20"/>
              </w:rPr>
              <w:t>占地 94 亩，总建筑面积 26 万平方米</w:t>
            </w:r>
          </w:p>
        </w:tc>
        <w:tc>
          <w:tcPr>
            <w:tcW w:w="1058" w:type="dxa"/>
          </w:tcPr>
          <w:p>
            <w:pPr>
              <w:pStyle w:val="TableParagraph"/>
              <w:rPr>
                <w:rFonts w:ascii="黑体"/>
                <w:sz w:val="20"/>
              </w:rPr>
            </w:pPr>
          </w:p>
          <w:p>
            <w:pPr>
              <w:pStyle w:val="TableParagraph"/>
              <w:spacing w:before="5"/>
              <w:rPr>
                <w:rFonts w:ascii="黑体"/>
                <w:sz w:val="20"/>
              </w:rPr>
            </w:pPr>
          </w:p>
          <w:p>
            <w:pPr>
              <w:pStyle w:val="TableParagraph"/>
              <w:spacing w:before="1"/>
              <w:ind w:left="153" w:right="152"/>
              <w:jc w:val="center"/>
              <w:rPr>
                <w:sz w:val="20"/>
              </w:rPr>
            </w:pPr>
            <w:r>
              <w:rPr>
                <w:sz w:val="20"/>
              </w:rPr>
              <w:t>90000</w:t>
            </w:r>
          </w:p>
        </w:tc>
        <w:tc>
          <w:tcPr>
            <w:tcW w:w="1051" w:type="dxa"/>
          </w:tcPr>
          <w:p>
            <w:pPr>
              <w:pStyle w:val="TableParagraph"/>
              <w:rPr>
                <w:rFonts w:ascii="黑体"/>
                <w:sz w:val="20"/>
              </w:rPr>
            </w:pPr>
          </w:p>
          <w:p>
            <w:pPr>
              <w:pStyle w:val="TableParagraph"/>
              <w:spacing w:before="5"/>
              <w:rPr>
                <w:rFonts w:ascii="黑体"/>
                <w:sz w:val="20"/>
              </w:rPr>
            </w:pPr>
          </w:p>
          <w:p>
            <w:pPr>
              <w:pStyle w:val="TableParagraph"/>
              <w:spacing w:before="1"/>
              <w:ind w:left="219"/>
              <w:rPr>
                <w:sz w:val="20"/>
              </w:rPr>
            </w:pPr>
            <w:r>
              <w:rPr>
                <w:sz w:val="20"/>
              </w:rPr>
              <w:t>住建局</w:t>
            </w:r>
          </w:p>
        </w:tc>
      </w:tr>
      <w:tr>
        <w:trPr>
          <w:trHeight w:val="700" w:hRule="atLeast"/>
        </w:trPr>
        <w:tc>
          <w:tcPr>
            <w:tcW w:w="502" w:type="dxa"/>
          </w:tcPr>
          <w:p>
            <w:pPr>
              <w:pStyle w:val="TableParagraph"/>
              <w:spacing w:before="1"/>
              <w:rPr>
                <w:rFonts w:ascii="黑体"/>
                <w:sz w:val="15"/>
              </w:rPr>
            </w:pPr>
          </w:p>
          <w:p>
            <w:pPr>
              <w:pStyle w:val="TableParagraph"/>
              <w:spacing w:before="1"/>
              <w:ind w:left="124" w:right="125"/>
              <w:jc w:val="center"/>
              <w:rPr>
                <w:sz w:val="20"/>
              </w:rPr>
            </w:pPr>
            <w:r>
              <w:rPr>
                <w:sz w:val="20"/>
              </w:rPr>
              <w:t>85</w:t>
            </w:r>
          </w:p>
        </w:tc>
        <w:tc>
          <w:tcPr>
            <w:tcW w:w="2110" w:type="dxa"/>
          </w:tcPr>
          <w:p>
            <w:pPr>
              <w:pStyle w:val="TableParagraph"/>
              <w:spacing w:before="1"/>
              <w:rPr>
                <w:rFonts w:ascii="黑体"/>
                <w:sz w:val="15"/>
              </w:rPr>
            </w:pPr>
          </w:p>
          <w:p>
            <w:pPr>
              <w:pStyle w:val="TableParagraph"/>
              <w:spacing w:before="1"/>
              <w:ind w:left="99" w:right="101"/>
              <w:jc w:val="center"/>
              <w:rPr>
                <w:sz w:val="20"/>
              </w:rPr>
            </w:pPr>
            <w:r>
              <w:rPr>
                <w:sz w:val="20"/>
              </w:rPr>
              <w:t>弱电管网建设工程</w:t>
            </w:r>
          </w:p>
        </w:tc>
        <w:tc>
          <w:tcPr>
            <w:tcW w:w="1256" w:type="dxa"/>
          </w:tcPr>
          <w:p>
            <w:pPr>
              <w:pStyle w:val="TableParagraph"/>
              <w:spacing w:before="1"/>
              <w:rPr>
                <w:rFonts w:ascii="黑体"/>
                <w:sz w:val="15"/>
              </w:rPr>
            </w:pPr>
          </w:p>
          <w:p>
            <w:pPr>
              <w:pStyle w:val="TableParagraph"/>
              <w:spacing w:before="1"/>
              <w:ind w:left="152" w:right="152"/>
              <w:jc w:val="center"/>
              <w:rPr>
                <w:sz w:val="20"/>
              </w:rPr>
            </w:pPr>
            <w:r>
              <w:rPr>
                <w:sz w:val="20"/>
              </w:rPr>
              <w:t>2014-2017</w:t>
            </w:r>
          </w:p>
        </w:tc>
        <w:tc>
          <w:tcPr>
            <w:tcW w:w="3662" w:type="dxa"/>
          </w:tcPr>
          <w:p>
            <w:pPr>
              <w:pStyle w:val="TableParagraph"/>
              <w:spacing w:line="237" w:lineRule="auto" w:before="71"/>
              <w:ind w:left="1425" w:right="107" w:hanging="1300"/>
              <w:rPr>
                <w:sz w:val="20"/>
              </w:rPr>
            </w:pPr>
            <w:r>
              <w:rPr>
                <w:sz w:val="20"/>
              </w:rPr>
              <w:t>竹根镇、杨柳镇、冠英临港工业园、各镇乡集镇</w:t>
            </w:r>
          </w:p>
        </w:tc>
        <w:tc>
          <w:tcPr>
            <w:tcW w:w="1058" w:type="dxa"/>
          </w:tcPr>
          <w:p>
            <w:pPr>
              <w:pStyle w:val="TableParagraph"/>
              <w:spacing w:before="1"/>
              <w:rPr>
                <w:rFonts w:ascii="黑体"/>
                <w:sz w:val="15"/>
              </w:rPr>
            </w:pPr>
          </w:p>
          <w:p>
            <w:pPr>
              <w:pStyle w:val="TableParagraph"/>
              <w:spacing w:before="1"/>
              <w:ind w:left="153" w:right="153"/>
              <w:jc w:val="center"/>
              <w:rPr>
                <w:sz w:val="20"/>
              </w:rPr>
            </w:pPr>
            <w:r>
              <w:rPr>
                <w:sz w:val="20"/>
              </w:rPr>
              <w:t>8000</w:t>
            </w:r>
          </w:p>
        </w:tc>
        <w:tc>
          <w:tcPr>
            <w:tcW w:w="1051" w:type="dxa"/>
          </w:tcPr>
          <w:p>
            <w:pPr>
              <w:pStyle w:val="TableParagraph"/>
              <w:spacing w:before="1"/>
              <w:rPr>
                <w:rFonts w:ascii="黑体"/>
                <w:sz w:val="15"/>
              </w:rPr>
            </w:pPr>
          </w:p>
          <w:p>
            <w:pPr>
              <w:pStyle w:val="TableParagraph"/>
              <w:spacing w:before="1"/>
              <w:ind w:left="219"/>
              <w:rPr>
                <w:sz w:val="20"/>
              </w:rPr>
            </w:pPr>
            <w:r>
              <w:rPr>
                <w:sz w:val="20"/>
              </w:rPr>
              <w:t>住建局</w:t>
            </w:r>
          </w:p>
        </w:tc>
      </w:tr>
      <w:tr>
        <w:trPr>
          <w:trHeight w:val="960" w:hRule="atLeast"/>
        </w:trPr>
        <w:tc>
          <w:tcPr>
            <w:tcW w:w="502" w:type="dxa"/>
          </w:tcPr>
          <w:p>
            <w:pPr>
              <w:pStyle w:val="TableParagraph"/>
              <w:spacing w:before="10"/>
              <w:rPr>
                <w:rFonts w:ascii="黑体"/>
                <w:sz w:val="24"/>
              </w:rPr>
            </w:pPr>
          </w:p>
          <w:p>
            <w:pPr>
              <w:pStyle w:val="TableParagraph"/>
              <w:ind w:left="124" w:right="125"/>
              <w:jc w:val="center"/>
              <w:rPr>
                <w:sz w:val="20"/>
              </w:rPr>
            </w:pPr>
            <w:r>
              <w:rPr>
                <w:sz w:val="20"/>
              </w:rPr>
              <w:t>86</w:t>
            </w:r>
          </w:p>
        </w:tc>
        <w:tc>
          <w:tcPr>
            <w:tcW w:w="2110" w:type="dxa"/>
          </w:tcPr>
          <w:p>
            <w:pPr>
              <w:pStyle w:val="TableParagraph"/>
              <w:spacing w:before="10"/>
              <w:rPr>
                <w:rFonts w:ascii="黑体"/>
                <w:sz w:val="24"/>
              </w:rPr>
            </w:pPr>
          </w:p>
          <w:p>
            <w:pPr>
              <w:pStyle w:val="TableParagraph"/>
              <w:ind w:left="99" w:right="100"/>
              <w:jc w:val="center"/>
              <w:rPr>
                <w:sz w:val="20"/>
              </w:rPr>
            </w:pPr>
            <w:r>
              <w:rPr>
                <w:sz w:val="20"/>
              </w:rPr>
              <w:t>涌江路南段加宽</w:t>
            </w:r>
          </w:p>
        </w:tc>
        <w:tc>
          <w:tcPr>
            <w:tcW w:w="1256" w:type="dxa"/>
          </w:tcPr>
          <w:p>
            <w:pPr>
              <w:pStyle w:val="TableParagraph"/>
              <w:spacing w:before="10"/>
              <w:rPr>
                <w:rFonts w:ascii="黑体"/>
                <w:sz w:val="24"/>
              </w:rPr>
            </w:pPr>
          </w:p>
          <w:p>
            <w:pPr>
              <w:pStyle w:val="TableParagraph"/>
              <w:ind w:left="152" w:right="152"/>
              <w:jc w:val="center"/>
              <w:rPr>
                <w:sz w:val="20"/>
              </w:rPr>
            </w:pPr>
            <w:r>
              <w:rPr>
                <w:sz w:val="20"/>
              </w:rPr>
              <w:t>2015-2016</w:t>
            </w:r>
          </w:p>
        </w:tc>
        <w:tc>
          <w:tcPr>
            <w:tcW w:w="3662" w:type="dxa"/>
          </w:tcPr>
          <w:p>
            <w:pPr>
              <w:pStyle w:val="TableParagraph"/>
              <w:spacing w:before="11"/>
              <w:rPr>
                <w:rFonts w:ascii="黑体"/>
                <w:sz w:val="14"/>
              </w:rPr>
            </w:pPr>
          </w:p>
          <w:p>
            <w:pPr>
              <w:pStyle w:val="TableParagraph"/>
              <w:spacing w:line="260" w:lineRule="exact"/>
              <w:ind w:left="13" w:right="13"/>
              <w:jc w:val="center"/>
              <w:rPr>
                <w:sz w:val="20"/>
              </w:rPr>
            </w:pPr>
            <w:r>
              <w:rPr>
                <w:spacing w:val="-26"/>
                <w:sz w:val="20"/>
              </w:rPr>
              <w:t>长 </w:t>
            </w:r>
            <w:r>
              <w:rPr>
                <w:sz w:val="20"/>
              </w:rPr>
              <w:t>750</w:t>
            </w:r>
            <w:r>
              <w:rPr>
                <w:spacing w:val="-21"/>
                <w:sz w:val="20"/>
              </w:rPr>
              <w:t> 米、宽 </w:t>
            </w:r>
            <w:r>
              <w:rPr>
                <w:sz w:val="20"/>
              </w:rPr>
              <w:t>9</w:t>
            </w:r>
            <w:r>
              <w:rPr>
                <w:spacing w:val="-25"/>
                <w:sz w:val="20"/>
              </w:rPr>
              <w:t> 米</w:t>
            </w:r>
            <w:r>
              <w:rPr>
                <w:sz w:val="20"/>
              </w:rPr>
              <w:t>（</w:t>
            </w:r>
            <w:r>
              <w:rPr>
                <w:spacing w:val="-9"/>
                <w:sz w:val="20"/>
              </w:rPr>
              <w:t>在原有路面 </w:t>
            </w:r>
            <w:r>
              <w:rPr>
                <w:sz w:val="20"/>
              </w:rPr>
              <w:t>9</w:t>
            </w:r>
            <w:r>
              <w:rPr>
                <w:spacing w:val="-18"/>
                <w:sz w:val="20"/>
              </w:rPr>
              <w:t> 米宽</w:t>
            </w:r>
          </w:p>
          <w:p>
            <w:pPr>
              <w:pStyle w:val="TableParagraph"/>
              <w:spacing w:line="260" w:lineRule="exact"/>
              <w:ind w:left="13" w:right="14"/>
              <w:jc w:val="center"/>
              <w:rPr>
                <w:sz w:val="20"/>
              </w:rPr>
            </w:pPr>
            <w:r>
              <w:rPr>
                <w:sz w:val="20"/>
              </w:rPr>
              <w:t>的基础上加宽 9 米）</w:t>
            </w:r>
          </w:p>
        </w:tc>
        <w:tc>
          <w:tcPr>
            <w:tcW w:w="1058" w:type="dxa"/>
          </w:tcPr>
          <w:p>
            <w:pPr>
              <w:pStyle w:val="TableParagraph"/>
              <w:spacing w:before="10"/>
              <w:rPr>
                <w:rFonts w:ascii="黑体"/>
                <w:sz w:val="24"/>
              </w:rPr>
            </w:pPr>
          </w:p>
          <w:p>
            <w:pPr>
              <w:pStyle w:val="TableParagraph"/>
              <w:ind w:left="153" w:right="154"/>
              <w:jc w:val="center"/>
              <w:rPr>
                <w:sz w:val="20"/>
              </w:rPr>
            </w:pPr>
            <w:r>
              <w:rPr>
                <w:sz w:val="20"/>
              </w:rPr>
              <w:t>400</w:t>
            </w:r>
          </w:p>
        </w:tc>
        <w:tc>
          <w:tcPr>
            <w:tcW w:w="1051" w:type="dxa"/>
          </w:tcPr>
          <w:p>
            <w:pPr>
              <w:pStyle w:val="TableParagraph"/>
              <w:spacing w:before="10"/>
              <w:rPr>
                <w:rFonts w:ascii="黑体"/>
                <w:sz w:val="24"/>
              </w:rPr>
            </w:pPr>
          </w:p>
          <w:p>
            <w:pPr>
              <w:pStyle w:val="TableParagraph"/>
              <w:ind w:left="219"/>
              <w:rPr>
                <w:sz w:val="20"/>
              </w:rPr>
            </w:pPr>
            <w:r>
              <w:rPr>
                <w:sz w:val="20"/>
              </w:rPr>
              <w:t>住建局</w:t>
            </w:r>
          </w:p>
        </w:tc>
      </w:tr>
      <w:tr>
        <w:trPr>
          <w:trHeight w:val="1020" w:hRule="atLeast"/>
        </w:trPr>
        <w:tc>
          <w:tcPr>
            <w:tcW w:w="502" w:type="dxa"/>
          </w:tcPr>
          <w:p>
            <w:pPr>
              <w:pStyle w:val="TableParagraph"/>
              <w:spacing w:before="4"/>
              <w:rPr>
                <w:rFonts w:ascii="黑体"/>
                <w:sz w:val="27"/>
              </w:rPr>
            </w:pPr>
          </w:p>
          <w:p>
            <w:pPr>
              <w:pStyle w:val="TableParagraph"/>
              <w:ind w:left="125" w:right="125"/>
              <w:jc w:val="center"/>
              <w:rPr>
                <w:sz w:val="20"/>
              </w:rPr>
            </w:pPr>
            <w:r>
              <w:rPr>
                <w:sz w:val="20"/>
              </w:rPr>
              <w:t>87</w:t>
            </w:r>
          </w:p>
        </w:tc>
        <w:tc>
          <w:tcPr>
            <w:tcW w:w="2110" w:type="dxa"/>
          </w:tcPr>
          <w:p>
            <w:pPr>
              <w:pStyle w:val="TableParagraph"/>
              <w:spacing w:line="237" w:lineRule="auto" w:before="101"/>
              <w:ind w:left="99" w:right="98"/>
              <w:jc w:val="center"/>
              <w:rPr>
                <w:sz w:val="20"/>
              </w:rPr>
            </w:pPr>
            <w:r>
              <w:rPr>
                <w:sz w:val="20"/>
              </w:rPr>
              <w:t>牛华镇置邦·花溪印象棚户区（还迁房） 改造工程</w:t>
            </w:r>
          </w:p>
        </w:tc>
        <w:tc>
          <w:tcPr>
            <w:tcW w:w="1256" w:type="dxa"/>
          </w:tcPr>
          <w:p>
            <w:pPr>
              <w:pStyle w:val="TableParagraph"/>
              <w:spacing w:before="4"/>
              <w:rPr>
                <w:rFonts w:ascii="黑体"/>
                <w:sz w:val="27"/>
              </w:rPr>
            </w:pPr>
          </w:p>
          <w:p>
            <w:pPr>
              <w:pStyle w:val="TableParagraph"/>
              <w:ind w:left="151" w:right="152"/>
              <w:jc w:val="center"/>
              <w:rPr>
                <w:sz w:val="20"/>
              </w:rPr>
            </w:pPr>
            <w:r>
              <w:rPr>
                <w:sz w:val="20"/>
              </w:rPr>
              <w:t>2014-2017</w:t>
            </w:r>
          </w:p>
        </w:tc>
        <w:tc>
          <w:tcPr>
            <w:tcW w:w="3662" w:type="dxa"/>
          </w:tcPr>
          <w:p>
            <w:pPr>
              <w:pStyle w:val="TableParagraph"/>
              <w:spacing w:before="5"/>
              <w:rPr>
                <w:rFonts w:ascii="黑体"/>
                <w:sz w:val="17"/>
              </w:rPr>
            </w:pPr>
          </w:p>
          <w:p>
            <w:pPr>
              <w:pStyle w:val="TableParagraph"/>
              <w:spacing w:line="260" w:lineRule="exact"/>
              <w:ind w:left="225"/>
              <w:rPr>
                <w:sz w:val="20"/>
              </w:rPr>
            </w:pPr>
            <w:r>
              <w:rPr>
                <w:sz w:val="20"/>
              </w:rPr>
              <w:t>新建还迁安置房 465 套，建筑占地约</w:t>
            </w:r>
          </w:p>
          <w:p>
            <w:pPr>
              <w:pStyle w:val="TableParagraph"/>
              <w:spacing w:line="260" w:lineRule="exact"/>
              <w:ind w:left="300"/>
              <w:rPr>
                <w:sz w:val="20"/>
              </w:rPr>
            </w:pPr>
            <w:r>
              <w:rPr>
                <w:sz w:val="20"/>
              </w:rPr>
              <w:t>37.2 亩，建筑面积约 45502 平方米</w:t>
            </w:r>
          </w:p>
        </w:tc>
        <w:tc>
          <w:tcPr>
            <w:tcW w:w="1058" w:type="dxa"/>
          </w:tcPr>
          <w:p>
            <w:pPr>
              <w:pStyle w:val="TableParagraph"/>
              <w:spacing w:before="4"/>
              <w:rPr>
                <w:rFonts w:ascii="黑体"/>
                <w:sz w:val="27"/>
              </w:rPr>
            </w:pPr>
          </w:p>
          <w:p>
            <w:pPr>
              <w:pStyle w:val="TableParagraph"/>
              <w:ind w:left="153" w:right="153"/>
              <w:jc w:val="center"/>
              <w:rPr>
                <w:sz w:val="20"/>
              </w:rPr>
            </w:pPr>
            <w:r>
              <w:rPr>
                <w:sz w:val="20"/>
              </w:rPr>
              <w:t>9800</w:t>
            </w:r>
          </w:p>
        </w:tc>
        <w:tc>
          <w:tcPr>
            <w:tcW w:w="1051" w:type="dxa"/>
          </w:tcPr>
          <w:p>
            <w:pPr>
              <w:pStyle w:val="TableParagraph"/>
              <w:spacing w:before="4"/>
              <w:rPr>
                <w:rFonts w:ascii="黑体"/>
                <w:sz w:val="27"/>
              </w:rPr>
            </w:pPr>
          </w:p>
          <w:p>
            <w:pPr>
              <w:pStyle w:val="TableParagraph"/>
              <w:ind w:left="219"/>
              <w:rPr>
                <w:sz w:val="20"/>
              </w:rPr>
            </w:pPr>
            <w:r>
              <w:rPr>
                <w:sz w:val="20"/>
              </w:rPr>
              <w:t>住建局</w:t>
            </w:r>
          </w:p>
        </w:tc>
      </w:tr>
      <w:tr>
        <w:trPr>
          <w:trHeight w:val="720" w:hRule="atLeast"/>
        </w:trPr>
        <w:tc>
          <w:tcPr>
            <w:tcW w:w="502" w:type="dxa"/>
          </w:tcPr>
          <w:p>
            <w:pPr>
              <w:pStyle w:val="TableParagraph"/>
              <w:spacing w:before="11"/>
              <w:rPr>
                <w:rFonts w:ascii="黑体"/>
                <w:sz w:val="15"/>
              </w:rPr>
            </w:pPr>
          </w:p>
          <w:p>
            <w:pPr>
              <w:pStyle w:val="TableParagraph"/>
              <w:ind w:left="124" w:right="125"/>
              <w:jc w:val="center"/>
              <w:rPr>
                <w:sz w:val="20"/>
              </w:rPr>
            </w:pPr>
            <w:r>
              <w:rPr>
                <w:sz w:val="20"/>
              </w:rPr>
              <w:t>88</w:t>
            </w:r>
          </w:p>
        </w:tc>
        <w:tc>
          <w:tcPr>
            <w:tcW w:w="2110" w:type="dxa"/>
          </w:tcPr>
          <w:p>
            <w:pPr>
              <w:pStyle w:val="TableParagraph"/>
              <w:spacing w:before="11"/>
              <w:rPr>
                <w:rFonts w:ascii="黑体"/>
                <w:sz w:val="15"/>
              </w:rPr>
            </w:pPr>
          </w:p>
          <w:p>
            <w:pPr>
              <w:pStyle w:val="TableParagraph"/>
              <w:ind w:left="99" w:right="101"/>
              <w:jc w:val="center"/>
              <w:rPr>
                <w:sz w:val="20"/>
              </w:rPr>
            </w:pPr>
            <w:r>
              <w:rPr>
                <w:sz w:val="20"/>
              </w:rPr>
              <w:t>金山压缩式转运站</w:t>
            </w:r>
          </w:p>
        </w:tc>
        <w:tc>
          <w:tcPr>
            <w:tcW w:w="1256" w:type="dxa"/>
          </w:tcPr>
          <w:p>
            <w:pPr>
              <w:pStyle w:val="TableParagraph"/>
              <w:spacing w:before="11"/>
              <w:rPr>
                <w:rFonts w:ascii="黑体"/>
                <w:sz w:val="15"/>
              </w:rPr>
            </w:pPr>
          </w:p>
          <w:p>
            <w:pPr>
              <w:pStyle w:val="TableParagraph"/>
              <w:ind w:left="152" w:right="152"/>
              <w:jc w:val="center"/>
              <w:rPr>
                <w:sz w:val="20"/>
              </w:rPr>
            </w:pPr>
            <w:r>
              <w:rPr>
                <w:sz w:val="20"/>
              </w:rPr>
              <w:t>2016-2017</w:t>
            </w:r>
          </w:p>
        </w:tc>
        <w:tc>
          <w:tcPr>
            <w:tcW w:w="3662" w:type="dxa"/>
          </w:tcPr>
          <w:p>
            <w:pPr>
              <w:pStyle w:val="TableParagraph"/>
              <w:spacing w:before="11"/>
              <w:rPr>
                <w:rFonts w:ascii="黑体"/>
                <w:sz w:val="15"/>
              </w:rPr>
            </w:pPr>
          </w:p>
          <w:p>
            <w:pPr>
              <w:pStyle w:val="TableParagraph"/>
              <w:ind w:left="975"/>
              <w:rPr>
                <w:sz w:val="20"/>
              </w:rPr>
            </w:pPr>
            <w:r>
              <w:rPr>
                <w:sz w:val="20"/>
              </w:rPr>
              <w:t>转运能力 100 吨/日</w:t>
            </w:r>
          </w:p>
        </w:tc>
        <w:tc>
          <w:tcPr>
            <w:tcW w:w="1058" w:type="dxa"/>
          </w:tcPr>
          <w:p>
            <w:pPr>
              <w:pStyle w:val="TableParagraph"/>
              <w:spacing w:before="11"/>
              <w:rPr>
                <w:rFonts w:ascii="黑体"/>
                <w:sz w:val="15"/>
              </w:rPr>
            </w:pPr>
          </w:p>
          <w:p>
            <w:pPr>
              <w:pStyle w:val="TableParagraph"/>
              <w:ind w:left="153" w:right="153"/>
              <w:jc w:val="center"/>
              <w:rPr>
                <w:sz w:val="20"/>
              </w:rPr>
            </w:pPr>
            <w:r>
              <w:rPr>
                <w:sz w:val="20"/>
              </w:rPr>
              <w:t>260</w:t>
            </w:r>
          </w:p>
        </w:tc>
        <w:tc>
          <w:tcPr>
            <w:tcW w:w="1051" w:type="dxa"/>
          </w:tcPr>
          <w:p>
            <w:pPr>
              <w:pStyle w:val="TableParagraph"/>
              <w:spacing w:before="11"/>
              <w:rPr>
                <w:rFonts w:ascii="黑体"/>
                <w:sz w:val="15"/>
              </w:rPr>
            </w:pPr>
          </w:p>
          <w:p>
            <w:pPr>
              <w:pStyle w:val="TableParagraph"/>
              <w:ind w:left="219"/>
              <w:rPr>
                <w:sz w:val="20"/>
              </w:rPr>
            </w:pPr>
            <w:r>
              <w:rPr>
                <w:sz w:val="20"/>
              </w:rPr>
              <w:t>住建局</w:t>
            </w:r>
          </w:p>
        </w:tc>
      </w:tr>
      <w:tr>
        <w:trPr>
          <w:trHeight w:val="1640" w:hRule="atLeast"/>
        </w:trPr>
        <w:tc>
          <w:tcPr>
            <w:tcW w:w="502" w:type="dxa"/>
          </w:tcPr>
          <w:p>
            <w:pPr>
              <w:pStyle w:val="TableParagraph"/>
              <w:rPr>
                <w:rFonts w:ascii="黑体"/>
                <w:sz w:val="20"/>
              </w:rPr>
            </w:pPr>
          </w:p>
          <w:p>
            <w:pPr>
              <w:pStyle w:val="TableParagraph"/>
              <w:rPr>
                <w:rFonts w:ascii="黑体"/>
                <w:sz w:val="20"/>
              </w:rPr>
            </w:pPr>
          </w:p>
          <w:p>
            <w:pPr>
              <w:pStyle w:val="TableParagraph"/>
              <w:spacing w:before="140"/>
              <w:ind w:left="125" w:right="125"/>
              <w:jc w:val="center"/>
              <w:rPr>
                <w:sz w:val="20"/>
              </w:rPr>
            </w:pPr>
            <w:r>
              <w:rPr>
                <w:sz w:val="20"/>
              </w:rPr>
              <w:t>89</w:t>
            </w:r>
          </w:p>
        </w:tc>
        <w:tc>
          <w:tcPr>
            <w:tcW w:w="2110" w:type="dxa"/>
          </w:tcPr>
          <w:p>
            <w:pPr>
              <w:pStyle w:val="TableParagraph"/>
              <w:spacing w:before="1"/>
              <w:rPr>
                <w:rFonts w:ascii="黑体"/>
                <w:sz w:val="21"/>
              </w:rPr>
            </w:pPr>
          </w:p>
          <w:p>
            <w:pPr>
              <w:pStyle w:val="TableParagraph"/>
              <w:spacing w:line="237" w:lineRule="auto"/>
              <w:ind w:left="99" w:right="98"/>
              <w:jc w:val="center"/>
              <w:rPr>
                <w:sz w:val="20"/>
              </w:rPr>
            </w:pPr>
            <w:r>
              <w:rPr>
                <w:sz w:val="20"/>
              </w:rPr>
              <w:t>乐山市五通桥区疾病预防控制中心业务用房和卫生监督执法大队建设项目</w:t>
            </w:r>
          </w:p>
        </w:tc>
        <w:tc>
          <w:tcPr>
            <w:tcW w:w="1256" w:type="dxa"/>
          </w:tcPr>
          <w:p>
            <w:pPr>
              <w:pStyle w:val="TableParagraph"/>
              <w:rPr>
                <w:rFonts w:ascii="黑体"/>
                <w:sz w:val="20"/>
              </w:rPr>
            </w:pPr>
          </w:p>
          <w:p>
            <w:pPr>
              <w:pStyle w:val="TableParagraph"/>
              <w:rPr>
                <w:rFonts w:ascii="黑体"/>
                <w:sz w:val="20"/>
              </w:rPr>
            </w:pPr>
          </w:p>
          <w:p>
            <w:pPr>
              <w:pStyle w:val="TableParagraph"/>
              <w:spacing w:before="140"/>
              <w:ind w:left="151" w:right="152"/>
              <w:jc w:val="center"/>
              <w:rPr>
                <w:sz w:val="20"/>
              </w:rPr>
            </w:pPr>
            <w:r>
              <w:rPr>
                <w:sz w:val="20"/>
              </w:rPr>
              <w:t>2014-2017</w:t>
            </w:r>
          </w:p>
        </w:tc>
        <w:tc>
          <w:tcPr>
            <w:tcW w:w="3662" w:type="dxa"/>
          </w:tcPr>
          <w:p>
            <w:pPr>
              <w:pStyle w:val="TableParagraph"/>
              <w:rPr>
                <w:rFonts w:ascii="黑体"/>
                <w:sz w:val="20"/>
              </w:rPr>
            </w:pPr>
          </w:p>
          <w:p>
            <w:pPr>
              <w:pStyle w:val="TableParagraph"/>
              <w:spacing w:line="237" w:lineRule="auto" w:before="145"/>
              <w:ind w:left="102" w:firstLine="22"/>
              <w:rPr>
                <w:sz w:val="20"/>
              </w:rPr>
            </w:pPr>
            <w:r>
              <w:rPr>
                <w:sz w:val="20"/>
              </w:rPr>
              <w:t>新建实验用房和业务用房，主要建筑物</w:t>
            </w:r>
            <w:r>
              <w:rPr>
                <w:spacing w:val="-11"/>
                <w:sz w:val="20"/>
              </w:rPr>
              <w:t>建筑面积 </w:t>
            </w:r>
            <w:r>
              <w:rPr>
                <w:sz w:val="20"/>
              </w:rPr>
              <w:t>3300</w:t>
            </w:r>
            <w:r>
              <w:rPr>
                <w:spacing w:val="-40"/>
                <w:sz w:val="20"/>
              </w:rPr>
              <w:t> 平方米</w:t>
            </w:r>
            <w:r>
              <w:rPr>
                <w:sz w:val="20"/>
              </w:rPr>
              <w:t>（</w:t>
            </w:r>
            <w:r>
              <w:rPr>
                <w:spacing w:val="-10"/>
                <w:sz w:val="20"/>
              </w:rPr>
              <w:t>区疾控中心 </w:t>
            </w:r>
            <w:r>
              <w:rPr>
                <w:sz w:val="20"/>
              </w:rPr>
              <w:t>2450</w:t>
            </w:r>
          </w:p>
          <w:p>
            <w:pPr>
              <w:pStyle w:val="TableParagraph"/>
              <w:spacing w:line="259" w:lineRule="exact"/>
              <w:ind w:left="102"/>
              <w:rPr>
                <w:sz w:val="20"/>
              </w:rPr>
            </w:pPr>
            <w:r>
              <w:rPr>
                <w:spacing w:val="-12"/>
                <w:sz w:val="20"/>
              </w:rPr>
              <w:t>平方米，卫生监督执法大队 </w:t>
            </w:r>
            <w:r>
              <w:rPr>
                <w:sz w:val="20"/>
              </w:rPr>
              <w:t>850</w:t>
            </w:r>
            <w:r>
              <w:rPr>
                <w:spacing w:val="-14"/>
                <w:sz w:val="20"/>
              </w:rPr>
              <w:t> 平方米</w:t>
            </w:r>
            <w:r>
              <w:rPr>
                <w:sz w:val="20"/>
              </w:rPr>
              <w:t>）</w:t>
            </w:r>
          </w:p>
        </w:tc>
        <w:tc>
          <w:tcPr>
            <w:tcW w:w="1058" w:type="dxa"/>
          </w:tcPr>
          <w:p>
            <w:pPr>
              <w:pStyle w:val="TableParagraph"/>
              <w:rPr>
                <w:rFonts w:ascii="黑体"/>
                <w:sz w:val="20"/>
              </w:rPr>
            </w:pPr>
          </w:p>
          <w:p>
            <w:pPr>
              <w:pStyle w:val="TableParagraph"/>
              <w:rPr>
                <w:rFonts w:ascii="黑体"/>
                <w:sz w:val="20"/>
              </w:rPr>
            </w:pPr>
          </w:p>
          <w:p>
            <w:pPr>
              <w:pStyle w:val="TableParagraph"/>
              <w:spacing w:before="140"/>
              <w:ind w:left="153" w:right="154"/>
              <w:jc w:val="center"/>
              <w:rPr>
                <w:sz w:val="20"/>
              </w:rPr>
            </w:pPr>
            <w:r>
              <w:rPr>
                <w:sz w:val="20"/>
              </w:rPr>
              <w:t>948</w:t>
            </w:r>
          </w:p>
        </w:tc>
        <w:tc>
          <w:tcPr>
            <w:tcW w:w="1051" w:type="dxa"/>
          </w:tcPr>
          <w:p>
            <w:pPr>
              <w:pStyle w:val="TableParagraph"/>
              <w:rPr>
                <w:rFonts w:ascii="黑体"/>
                <w:sz w:val="20"/>
              </w:rPr>
            </w:pPr>
          </w:p>
          <w:p>
            <w:pPr>
              <w:pStyle w:val="TableParagraph"/>
              <w:rPr>
                <w:rFonts w:ascii="黑体"/>
                <w:sz w:val="20"/>
              </w:rPr>
            </w:pPr>
          </w:p>
          <w:p>
            <w:pPr>
              <w:pStyle w:val="TableParagraph"/>
              <w:spacing w:before="140"/>
              <w:ind w:left="219"/>
              <w:rPr>
                <w:sz w:val="20"/>
              </w:rPr>
            </w:pPr>
            <w:r>
              <w:rPr>
                <w:sz w:val="20"/>
              </w:rPr>
              <w:t>卫计局</w:t>
            </w:r>
          </w:p>
        </w:tc>
      </w:tr>
      <w:tr>
        <w:trPr>
          <w:trHeight w:val="900" w:hRule="atLeast"/>
        </w:trPr>
        <w:tc>
          <w:tcPr>
            <w:tcW w:w="502" w:type="dxa"/>
          </w:tcPr>
          <w:p>
            <w:pPr>
              <w:pStyle w:val="TableParagraph"/>
              <w:spacing w:before="8"/>
              <w:rPr>
                <w:rFonts w:ascii="黑体"/>
                <w:sz w:val="22"/>
              </w:rPr>
            </w:pPr>
          </w:p>
          <w:p>
            <w:pPr>
              <w:pStyle w:val="TableParagraph"/>
              <w:ind w:left="125" w:right="125"/>
              <w:jc w:val="center"/>
              <w:rPr>
                <w:sz w:val="20"/>
              </w:rPr>
            </w:pPr>
            <w:r>
              <w:rPr>
                <w:sz w:val="20"/>
              </w:rPr>
              <w:t>90</w:t>
            </w:r>
          </w:p>
        </w:tc>
        <w:tc>
          <w:tcPr>
            <w:tcW w:w="2110" w:type="dxa"/>
          </w:tcPr>
          <w:p>
            <w:pPr>
              <w:pStyle w:val="TableParagraph"/>
              <w:spacing w:before="8"/>
              <w:rPr>
                <w:rFonts w:ascii="黑体"/>
                <w:sz w:val="22"/>
              </w:rPr>
            </w:pPr>
          </w:p>
          <w:p>
            <w:pPr>
              <w:pStyle w:val="TableParagraph"/>
              <w:ind w:left="99" w:right="99"/>
              <w:jc w:val="center"/>
              <w:rPr>
                <w:sz w:val="20"/>
              </w:rPr>
            </w:pPr>
            <w:r>
              <w:rPr>
                <w:sz w:val="20"/>
              </w:rPr>
              <w:t>城市数字影院</w:t>
            </w:r>
          </w:p>
        </w:tc>
        <w:tc>
          <w:tcPr>
            <w:tcW w:w="1256" w:type="dxa"/>
          </w:tcPr>
          <w:p>
            <w:pPr>
              <w:pStyle w:val="TableParagraph"/>
              <w:spacing w:before="8"/>
              <w:rPr>
                <w:rFonts w:ascii="黑体"/>
                <w:sz w:val="22"/>
              </w:rPr>
            </w:pPr>
          </w:p>
          <w:p>
            <w:pPr>
              <w:pStyle w:val="TableParagraph"/>
              <w:ind w:left="152" w:right="152"/>
              <w:jc w:val="center"/>
              <w:rPr>
                <w:sz w:val="20"/>
              </w:rPr>
            </w:pPr>
            <w:r>
              <w:rPr>
                <w:sz w:val="20"/>
              </w:rPr>
              <w:t>2016</w:t>
            </w:r>
          </w:p>
        </w:tc>
        <w:tc>
          <w:tcPr>
            <w:tcW w:w="3662" w:type="dxa"/>
          </w:tcPr>
          <w:p>
            <w:pPr>
              <w:pStyle w:val="TableParagraph"/>
              <w:spacing w:line="237" w:lineRule="auto" w:before="169"/>
              <w:ind w:left="1325" w:right="107" w:hanging="1200"/>
              <w:rPr>
                <w:sz w:val="20"/>
              </w:rPr>
            </w:pPr>
            <w:r>
              <w:rPr>
                <w:sz w:val="20"/>
              </w:rPr>
              <w:t>改造室内座位等基础设施，添置院线电影设备系统</w:t>
            </w:r>
          </w:p>
        </w:tc>
        <w:tc>
          <w:tcPr>
            <w:tcW w:w="1058" w:type="dxa"/>
          </w:tcPr>
          <w:p>
            <w:pPr>
              <w:pStyle w:val="TableParagraph"/>
              <w:spacing w:before="8"/>
              <w:rPr>
                <w:rFonts w:ascii="黑体"/>
                <w:sz w:val="22"/>
              </w:rPr>
            </w:pPr>
          </w:p>
          <w:p>
            <w:pPr>
              <w:pStyle w:val="TableParagraph"/>
              <w:ind w:left="153" w:right="153"/>
              <w:jc w:val="center"/>
              <w:rPr>
                <w:sz w:val="20"/>
              </w:rPr>
            </w:pPr>
            <w:r>
              <w:rPr>
                <w:sz w:val="20"/>
              </w:rPr>
              <w:t>1000</w:t>
            </w:r>
          </w:p>
        </w:tc>
        <w:tc>
          <w:tcPr>
            <w:tcW w:w="1051" w:type="dxa"/>
          </w:tcPr>
          <w:p>
            <w:pPr>
              <w:pStyle w:val="TableParagraph"/>
              <w:spacing w:before="8"/>
              <w:rPr>
                <w:rFonts w:ascii="黑体"/>
                <w:sz w:val="22"/>
              </w:rPr>
            </w:pPr>
          </w:p>
          <w:p>
            <w:pPr>
              <w:pStyle w:val="TableParagraph"/>
              <w:ind w:left="219"/>
              <w:rPr>
                <w:sz w:val="20"/>
              </w:rPr>
            </w:pPr>
            <w:r>
              <w:rPr>
                <w:sz w:val="20"/>
              </w:rPr>
              <w:t>广电局</w:t>
            </w:r>
          </w:p>
        </w:tc>
      </w:tr>
      <w:tr>
        <w:trPr>
          <w:trHeight w:val="900" w:hRule="atLeast"/>
        </w:trPr>
        <w:tc>
          <w:tcPr>
            <w:tcW w:w="502" w:type="dxa"/>
          </w:tcPr>
          <w:p>
            <w:pPr>
              <w:pStyle w:val="TableParagraph"/>
              <w:spacing w:before="8"/>
              <w:rPr>
                <w:rFonts w:ascii="黑体"/>
                <w:sz w:val="22"/>
              </w:rPr>
            </w:pPr>
          </w:p>
          <w:p>
            <w:pPr>
              <w:pStyle w:val="TableParagraph"/>
              <w:ind w:left="125" w:right="125"/>
              <w:jc w:val="center"/>
              <w:rPr>
                <w:sz w:val="20"/>
              </w:rPr>
            </w:pPr>
            <w:r>
              <w:rPr>
                <w:sz w:val="20"/>
              </w:rPr>
              <w:t>91</w:t>
            </w:r>
          </w:p>
        </w:tc>
        <w:tc>
          <w:tcPr>
            <w:tcW w:w="2110" w:type="dxa"/>
          </w:tcPr>
          <w:p>
            <w:pPr>
              <w:pStyle w:val="TableParagraph"/>
              <w:spacing w:line="237" w:lineRule="auto" w:before="169"/>
              <w:ind w:left="647" w:right="132" w:hanging="500"/>
              <w:rPr>
                <w:sz w:val="20"/>
              </w:rPr>
            </w:pPr>
            <w:r>
              <w:rPr>
                <w:sz w:val="20"/>
              </w:rPr>
              <w:t>五通桥区综合档案馆建设项目</w:t>
            </w:r>
          </w:p>
        </w:tc>
        <w:tc>
          <w:tcPr>
            <w:tcW w:w="1256" w:type="dxa"/>
          </w:tcPr>
          <w:p>
            <w:pPr>
              <w:pStyle w:val="TableParagraph"/>
              <w:spacing w:before="8"/>
              <w:rPr>
                <w:rFonts w:ascii="黑体"/>
                <w:sz w:val="22"/>
              </w:rPr>
            </w:pPr>
          </w:p>
          <w:p>
            <w:pPr>
              <w:pStyle w:val="TableParagraph"/>
              <w:ind w:left="151" w:right="152"/>
              <w:jc w:val="center"/>
              <w:rPr>
                <w:sz w:val="20"/>
              </w:rPr>
            </w:pPr>
            <w:r>
              <w:rPr>
                <w:sz w:val="20"/>
              </w:rPr>
              <w:t>2015-2016</w:t>
            </w:r>
          </w:p>
        </w:tc>
        <w:tc>
          <w:tcPr>
            <w:tcW w:w="3662" w:type="dxa"/>
          </w:tcPr>
          <w:p>
            <w:pPr>
              <w:pStyle w:val="TableParagraph"/>
              <w:spacing w:line="237" w:lineRule="auto" w:before="169"/>
              <w:ind w:left="725" w:right="107" w:hanging="600"/>
              <w:rPr>
                <w:sz w:val="20"/>
              </w:rPr>
            </w:pPr>
            <w:r>
              <w:rPr>
                <w:sz w:val="20"/>
              </w:rPr>
              <w:t>新建五楼一底综合档案馆及附属设施， 建筑面积 2997.64 平方米</w:t>
            </w:r>
          </w:p>
        </w:tc>
        <w:tc>
          <w:tcPr>
            <w:tcW w:w="1058" w:type="dxa"/>
          </w:tcPr>
          <w:p>
            <w:pPr>
              <w:pStyle w:val="TableParagraph"/>
              <w:spacing w:before="8"/>
              <w:rPr>
                <w:rFonts w:ascii="黑体"/>
                <w:sz w:val="22"/>
              </w:rPr>
            </w:pPr>
          </w:p>
          <w:p>
            <w:pPr>
              <w:pStyle w:val="TableParagraph"/>
              <w:ind w:left="153" w:right="154"/>
              <w:jc w:val="center"/>
              <w:rPr>
                <w:sz w:val="20"/>
              </w:rPr>
            </w:pPr>
            <w:r>
              <w:rPr>
                <w:sz w:val="20"/>
              </w:rPr>
              <w:t>676</w:t>
            </w:r>
          </w:p>
        </w:tc>
        <w:tc>
          <w:tcPr>
            <w:tcW w:w="1051" w:type="dxa"/>
          </w:tcPr>
          <w:p>
            <w:pPr>
              <w:pStyle w:val="TableParagraph"/>
              <w:spacing w:before="8"/>
              <w:rPr>
                <w:rFonts w:ascii="黑体"/>
                <w:sz w:val="22"/>
              </w:rPr>
            </w:pPr>
          </w:p>
          <w:p>
            <w:pPr>
              <w:pStyle w:val="TableParagraph"/>
              <w:ind w:left="219"/>
              <w:rPr>
                <w:sz w:val="20"/>
              </w:rPr>
            </w:pPr>
            <w:r>
              <w:rPr>
                <w:sz w:val="20"/>
              </w:rPr>
              <w:t>档案局</w:t>
            </w:r>
          </w:p>
        </w:tc>
      </w:tr>
      <w:tr>
        <w:trPr>
          <w:trHeight w:val="620" w:hRule="atLeast"/>
        </w:trPr>
        <w:tc>
          <w:tcPr>
            <w:tcW w:w="502" w:type="dxa"/>
          </w:tcPr>
          <w:p>
            <w:pPr>
              <w:pStyle w:val="TableParagraph"/>
              <w:rPr>
                <w:rFonts w:ascii="Times New Roman"/>
                <w:sz w:val="20"/>
              </w:rPr>
            </w:pPr>
          </w:p>
        </w:tc>
        <w:tc>
          <w:tcPr>
            <w:tcW w:w="2110" w:type="dxa"/>
          </w:tcPr>
          <w:p>
            <w:pPr>
              <w:pStyle w:val="TableParagraph"/>
              <w:spacing w:before="155"/>
              <w:ind w:left="99" w:right="100"/>
              <w:jc w:val="center"/>
              <w:rPr>
                <w:sz w:val="20"/>
              </w:rPr>
            </w:pPr>
            <w:r>
              <w:rPr>
                <w:sz w:val="20"/>
              </w:rPr>
              <w:t>小计</w:t>
            </w:r>
          </w:p>
        </w:tc>
        <w:tc>
          <w:tcPr>
            <w:tcW w:w="1256" w:type="dxa"/>
          </w:tcPr>
          <w:p>
            <w:pPr>
              <w:pStyle w:val="TableParagraph"/>
              <w:rPr>
                <w:rFonts w:ascii="Times New Roman"/>
                <w:sz w:val="20"/>
              </w:rPr>
            </w:pPr>
          </w:p>
        </w:tc>
        <w:tc>
          <w:tcPr>
            <w:tcW w:w="3662" w:type="dxa"/>
          </w:tcPr>
          <w:p>
            <w:pPr>
              <w:pStyle w:val="TableParagraph"/>
              <w:rPr>
                <w:rFonts w:ascii="Times New Roman"/>
                <w:sz w:val="20"/>
              </w:rPr>
            </w:pPr>
          </w:p>
        </w:tc>
        <w:tc>
          <w:tcPr>
            <w:tcW w:w="1058" w:type="dxa"/>
          </w:tcPr>
          <w:p>
            <w:pPr>
              <w:pStyle w:val="TableParagraph"/>
              <w:spacing w:before="155"/>
              <w:ind w:left="153" w:right="154"/>
              <w:jc w:val="center"/>
              <w:rPr>
                <w:sz w:val="20"/>
              </w:rPr>
            </w:pPr>
            <w:r>
              <w:rPr>
                <w:sz w:val="20"/>
              </w:rPr>
              <w:t>1512915</w:t>
            </w:r>
          </w:p>
        </w:tc>
        <w:tc>
          <w:tcPr>
            <w:tcW w:w="1051" w:type="dxa"/>
          </w:tcPr>
          <w:p>
            <w:pPr>
              <w:pStyle w:val="TableParagraph"/>
              <w:rPr>
                <w:rFonts w:ascii="Times New Roman"/>
                <w:sz w:val="20"/>
              </w:rPr>
            </w:pPr>
          </w:p>
        </w:tc>
      </w:tr>
    </w:tbl>
    <w:p>
      <w:pPr>
        <w:spacing w:after="0"/>
        <w:rPr>
          <w:rFonts w:ascii="Times New Roman"/>
          <w:sz w:val="20"/>
        </w:rPr>
        <w:sectPr>
          <w:pgSz w:w="11910" w:h="16840"/>
          <w:pgMar w:header="0" w:footer="938" w:top="1440" w:bottom="1120" w:left="880" w:right="1160"/>
        </w:sectPr>
      </w:pPr>
    </w:p>
    <w:p>
      <w:pPr>
        <w:pStyle w:val="BodyText"/>
        <w:tabs>
          <w:tab w:pos="3132" w:val="left" w:leader="none"/>
        </w:tabs>
        <w:spacing w:line="405" w:lineRule="exact" w:after="50"/>
        <w:ind w:left="1852"/>
        <w:rPr>
          <w:rFonts w:ascii="黑体" w:hAnsi="黑体" w:eastAsia="黑体" w:hint="eastAsia"/>
        </w:rPr>
      </w:pPr>
      <w:r>
        <w:rPr>
          <w:rFonts w:ascii="黑体" w:hAnsi="黑体" w:eastAsia="黑体" w:hint="eastAsia"/>
        </w:rPr>
        <w:t>附表五</w:t>
        <w:tab/>
      </w:r>
      <w:r>
        <w:rPr>
          <w:rFonts w:ascii="黑体" w:hAnsi="黑体" w:eastAsia="黑体" w:hint="eastAsia"/>
          <w:spacing w:val="-1"/>
        </w:rPr>
        <w:t>五通桥区“十三五”交通项目规划表</w:t>
      </w:r>
    </w:p>
    <w:tbl>
      <w:tblPr>
        <w:tblW w:w="0" w:type="auto"/>
        <w:jc w:val="left"/>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09"/>
        <w:gridCol w:w="2160"/>
        <w:gridCol w:w="1260"/>
        <w:gridCol w:w="3240"/>
        <w:gridCol w:w="1440"/>
        <w:gridCol w:w="1253"/>
      </w:tblGrid>
      <w:tr>
        <w:trPr>
          <w:trHeight w:val="560" w:hRule="atLeast"/>
        </w:trPr>
        <w:tc>
          <w:tcPr>
            <w:tcW w:w="509" w:type="dxa"/>
          </w:tcPr>
          <w:p>
            <w:pPr>
              <w:pStyle w:val="TableParagraph"/>
              <w:rPr>
                <w:rFonts w:ascii="Times New Roman"/>
                <w:sz w:val="20"/>
              </w:rPr>
            </w:pPr>
          </w:p>
        </w:tc>
        <w:tc>
          <w:tcPr>
            <w:tcW w:w="2160" w:type="dxa"/>
          </w:tcPr>
          <w:p>
            <w:pPr>
              <w:pStyle w:val="TableParagraph"/>
              <w:spacing w:before="127"/>
              <w:ind w:left="43" w:right="43"/>
              <w:jc w:val="center"/>
              <w:rPr>
                <w:sz w:val="20"/>
              </w:rPr>
            </w:pPr>
            <w:r>
              <w:rPr>
                <w:sz w:val="20"/>
              </w:rPr>
              <w:t>项目名称</w:t>
            </w:r>
          </w:p>
        </w:tc>
        <w:tc>
          <w:tcPr>
            <w:tcW w:w="1260" w:type="dxa"/>
          </w:tcPr>
          <w:p>
            <w:pPr>
              <w:pStyle w:val="TableParagraph"/>
              <w:spacing w:before="127"/>
              <w:ind w:right="222"/>
              <w:jc w:val="right"/>
              <w:rPr>
                <w:sz w:val="20"/>
              </w:rPr>
            </w:pPr>
            <w:r>
              <w:rPr>
                <w:sz w:val="20"/>
              </w:rPr>
              <w:t>建设年限</w:t>
            </w:r>
          </w:p>
        </w:tc>
        <w:tc>
          <w:tcPr>
            <w:tcW w:w="3240" w:type="dxa"/>
          </w:tcPr>
          <w:p>
            <w:pPr>
              <w:pStyle w:val="TableParagraph"/>
              <w:spacing w:before="127"/>
              <w:ind w:left="44" w:right="44"/>
              <w:jc w:val="center"/>
              <w:rPr>
                <w:sz w:val="20"/>
              </w:rPr>
            </w:pPr>
            <w:r>
              <w:rPr>
                <w:sz w:val="20"/>
              </w:rPr>
              <w:t>建设规模</w:t>
            </w:r>
          </w:p>
        </w:tc>
        <w:tc>
          <w:tcPr>
            <w:tcW w:w="1440" w:type="dxa"/>
          </w:tcPr>
          <w:p>
            <w:pPr>
              <w:pStyle w:val="TableParagraph"/>
              <w:spacing w:line="258" w:lineRule="exact"/>
              <w:ind w:left="413"/>
              <w:rPr>
                <w:sz w:val="20"/>
              </w:rPr>
            </w:pPr>
            <w:r>
              <w:rPr>
                <w:sz w:val="20"/>
              </w:rPr>
              <w:t>总投资</w:t>
            </w:r>
          </w:p>
          <w:p>
            <w:pPr>
              <w:pStyle w:val="TableParagraph"/>
              <w:spacing w:line="260" w:lineRule="exact"/>
              <w:ind w:left="314"/>
              <w:rPr>
                <w:sz w:val="20"/>
              </w:rPr>
            </w:pPr>
            <w:r>
              <w:rPr>
                <w:sz w:val="20"/>
              </w:rPr>
              <w:t>（万元）</w:t>
            </w:r>
          </w:p>
        </w:tc>
        <w:tc>
          <w:tcPr>
            <w:tcW w:w="1253" w:type="dxa"/>
          </w:tcPr>
          <w:p>
            <w:pPr>
              <w:pStyle w:val="TableParagraph"/>
              <w:spacing w:before="127"/>
              <w:ind w:left="101" w:right="101"/>
              <w:jc w:val="center"/>
              <w:rPr>
                <w:sz w:val="20"/>
              </w:rPr>
            </w:pPr>
            <w:r>
              <w:rPr>
                <w:sz w:val="20"/>
              </w:rPr>
              <w:t>责任单位</w:t>
            </w:r>
          </w:p>
        </w:tc>
      </w:tr>
      <w:tr>
        <w:trPr>
          <w:trHeight w:val="560" w:hRule="atLeast"/>
        </w:trPr>
        <w:tc>
          <w:tcPr>
            <w:tcW w:w="509" w:type="dxa"/>
          </w:tcPr>
          <w:p>
            <w:pPr>
              <w:pStyle w:val="TableParagraph"/>
              <w:spacing w:before="118"/>
              <w:jc w:val="center"/>
              <w:rPr>
                <w:sz w:val="21"/>
              </w:rPr>
            </w:pPr>
            <w:r>
              <w:rPr>
                <w:sz w:val="21"/>
              </w:rPr>
              <w:t>1</w:t>
            </w:r>
          </w:p>
        </w:tc>
        <w:tc>
          <w:tcPr>
            <w:tcW w:w="2160" w:type="dxa"/>
          </w:tcPr>
          <w:p>
            <w:pPr>
              <w:pStyle w:val="TableParagraph"/>
              <w:spacing w:before="127"/>
              <w:ind w:left="43" w:right="43"/>
              <w:jc w:val="center"/>
              <w:rPr>
                <w:sz w:val="20"/>
              </w:rPr>
            </w:pPr>
            <w:r>
              <w:rPr>
                <w:sz w:val="20"/>
              </w:rPr>
              <w:t>乐山机场</w:t>
            </w:r>
          </w:p>
        </w:tc>
        <w:tc>
          <w:tcPr>
            <w:tcW w:w="1260" w:type="dxa"/>
          </w:tcPr>
          <w:p>
            <w:pPr>
              <w:pStyle w:val="TableParagraph"/>
              <w:spacing w:before="127"/>
              <w:ind w:right="172"/>
              <w:jc w:val="right"/>
              <w:rPr>
                <w:sz w:val="20"/>
              </w:rPr>
            </w:pPr>
            <w:r>
              <w:rPr>
                <w:sz w:val="20"/>
              </w:rPr>
              <w:t>2016-2020</w:t>
            </w:r>
          </w:p>
        </w:tc>
        <w:tc>
          <w:tcPr>
            <w:tcW w:w="3240" w:type="dxa"/>
          </w:tcPr>
          <w:p>
            <w:pPr>
              <w:pStyle w:val="TableParagraph"/>
              <w:spacing w:before="127"/>
              <w:ind w:left="44" w:right="44"/>
              <w:jc w:val="center"/>
              <w:rPr>
                <w:sz w:val="20"/>
              </w:rPr>
            </w:pPr>
            <w:r>
              <w:rPr>
                <w:sz w:val="20"/>
              </w:rPr>
              <w:t>新建军民两用机场</w:t>
            </w:r>
          </w:p>
        </w:tc>
        <w:tc>
          <w:tcPr>
            <w:tcW w:w="1440" w:type="dxa"/>
          </w:tcPr>
          <w:p>
            <w:pPr>
              <w:pStyle w:val="TableParagraph"/>
              <w:spacing w:before="127"/>
              <w:ind w:left="413"/>
              <w:rPr>
                <w:sz w:val="20"/>
              </w:rPr>
            </w:pPr>
            <w:r>
              <w:rPr>
                <w:sz w:val="20"/>
              </w:rPr>
              <w:t>430000</w:t>
            </w:r>
          </w:p>
        </w:tc>
        <w:tc>
          <w:tcPr>
            <w:tcW w:w="1253" w:type="dxa"/>
          </w:tcPr>
          <w:p>
            <w:pPr>
              <w:pStyle w:val="TableParagraph"/>
              <w:spacing w:before="127"/>
              <w:ind w:left="100" w:right="101"/>
              <w:jc w:val="center"/>
              <w:rPr>
                <w:sz w:val="20"/>
              </w:rPr>
            </w:pPr>
            <w:r>
              <w:rPr>
                <w:sz w:val="20"/>
              </w:rPr>
              <w:t>发改局</w:t>
            </w:r>
          </w:p>
        </w:tc>
      </w:tr>
      <w:tr>
        <w:trPr>
          <w:trHeight w:val="1020" w:hRule="atLeast"/>
        </w:trPr>
        <w:tc>
          <w:tcPr>
            <w:tcW w:w="509" w:type="dxa"/>
          </w:tcPr>
          <w:p>
            <w:pPr>
              <w:pStyle w:val="TableParagraph"/>
              <w:spacing w:before="10"/>
              <w:rPr>
                <w:rFonts w:ascii="黑体"/>
                <w:sz w:val="25"/>
              </w:rPr>
            </w:pPr>
          </w:p>
          <w:p>
            <w:pPr>
              <w:pStyle w:val="TableParagraph"/>
              <w:jc w:val="center"/>
              <w:rPr>
                <w:sz w:val="21"/>
              </w:rPr>
            </w:pPr>
            <w:r>
              <w:rPr>
                <w:sz w:val="21"/>
              </w:rPr>
              <w:t>2</w:t>
            </w:r>
          </w:p>
        </w:tc>
        <w:tc>
          <w:tcPr>
            <w:tcW w:w="2160" w:type="dxa"/>
          </w:tcPr>
          <w:p>
            <w:pPr>
              <w:pStyle w:val="TableParagraph"/>
              <w:spacing w:line="237" w:lineRule="auto" w:before="91"/>
              <w:ind w:left="102" w:right="100"/>
              <w:jc w:val="center"/>
              <w:rPr>
                <w:sz w:val="20"/>
              </w:rPr>
            </w:pPr>
            <w:r>
              <w:rPr>
                <w:spacing w:val="-18"/>
                <w:sz w:val="20"/>
              </w:rPr>
              <w:t>国道 </w:t>
            </w:r>
            <w:r>
              <w:rPr>
                <w:sz w:val="20"/>
              </w:rPr>
              <w:t>213</w:t>
            </w:r>
            <w:r>
              <w:rPr>
                <w:spacing w:val="-19"/>
                <w:sz w:val="20"/>
              </w:rPr>
              <w:t> 线、省道 </w:t>
            </w:r>
            <w:r>
              <w:rPr>
                <w:sz w:val="20"/>
              </w:rPr>
              <w:t>104 线五通桥城区过境公路工程</w:t>
            </w:r>
          </w:p>
        </w:tc>
        <w:tc>
          <w:tcPr>
            <w:tcW w:w="1260" w:type="dxa"/>
          </w:tcPr>
          <w:p>
            <w:pPr>
              <w:pStyle w:val="TableParagraph"/>
              <w:spacing w:before="7"/>
              <w:rPr>
                <w:rFonts w:ascii="黑体"/>
                <w:sz w:val="26"/>
              </w:rPr>
            </w:pPr>
          </w:p>
          <w:p>
            <w:pPr>
              <w:pStyle w:val="TableParagraph"/>
              <w:spacing w:before="1"/>
              <w:ind w:right="174"/>
              <w:jc w:val="right"/>
              <w:rPr>
                <w:sz w:val="20"/>
              </w:rPr>
            </w:pPr>
            <w:r>
              <w:rPr>
                <w:sz w:val="20"/>
              </w:rPr>
              <w:t>2014-2016</w:t>
            </w:r>
          </w:p>
        </w:tc>
        <w:tc>
          <w:tcPr>
            <w:tcW w:w="3240" w:type="dxa"/>
          </w:tcPr>
          <w:p>
            <w:pPr>
              <w:pStyle w:val="TableParagraph"/>
              <w:spacing w:before="9"/>
              <w:rPr>
                <w:rFonts w:ascii="黑体"/>
                <w:sz w:val="16"/>
              </w:rPr>
            </w:pPr>
          </w:p>
          <w:p>
            <w:pPr>
              <w:pStyle w:val="TableParagraph"/>
              <w:spacing w:line="261" w:lineRule="exact"/>
              <w:ind w:left="103"/>
              <w:rPr>
                <w:sz w:val="20"/>
              </w:rPr>
            </w:pPr>
            <w:r>
              <w:rPr>
                <w:spacing w:val="-7"/>
                <w:sz w:val="20"/>
              </w:rPr>
              <w:t>沥青混凝土路面 </w:t>
            </w:r>
            <w:r>
              <w:rPr>
                <w:sz w:val="20"/>
              </w:rPr>
              <w:t>12.8</w:t>
            </w:r>
            <w:r>
              <w:rPr>
                <w:spacing w:val="-20"/>
                <w:sz w:val="20"/>
              </w:rPr>
              <w:t> 公里，路面宽</w:t>
            </w:r>
          </w:p>
          <w:p>
            <w:pPr>
              <w:pStyle w:val="TableParagraph"/>
              <w:spacing w:line="261" w:lineRule="exact"/>
              <w:ind w:left="539"/>
              <w:rPr>
                <w:sz w:val="20"/>
              </w:rPr>
            </w:pPr>
            <w:r>
              <w:rPr>
                <w:sz w:val="20"/>
              </w:rPr>
              <w:t>24.5 米，路基宽 24.5 米</w:t>
            </w:r>
          </w:p>
        </w:tc>
        <w:tc>
          <w:tcPr>
            <w:tcW w:w="1440" w:type="dxa"/>
          </w:tcPr>
          <w:p>
            <w:pPr>
              <w:pStyle w:val="TableParagraph"/>
              <w:spacing w:before="7"/>
              <w:rPr>
                <w:rFonts w:ascii="黑体"/>
                <w:sz w:val="26"/>
              </w:rPr>
            </w:pPr>
          </w:p>
          <w:p>
            <w:pPr>
              <w:pStyle w:val="TableParagraph"/>
              <w:spacing w:before="1"/>
              <w:ind w:left="464"/>
              <w:rPr>
                <w:sz w:val="20"/>
              </w:rPr>
            </w:pPr>
            <w:r>
              <w:rPr>
                <w:sz w:val="20"/>
              </w:rPr>
              <w:t>75600</w:t>
            </w:r>
          </w:p>
        </w:tc>
        <w:tc>
          <w:tcPr>
            <w:tcW w:w="1253" w:type="dxa"/>
          </w:tcPr>
          <w:p>
            <w:pPr>
              <w:pStyle w:val="TableParagraph"/>
              <w:spacing w:before="7"/>
              <w:rPr>
                <w:rFonts w:ascii="黑体"/>
                <w:sz w:val="26"/>
              </w:rPr>
            </w:pPr>
          </w:p>
          <w:p>
            <w:pPr>
              <w:pStyle w:val="TableParagraph"/>
              <w:spacing w:before="1"/>
              <w:ind w:left="101" w:right="101"/>
              <w:jc w:val="center"/>
              <w:rPr>
                <w:sz w:val="20"/>
              </w:rPr>
            </w:pPr>
            <w:r>
              <w:rPr>
                <w:sz w:val="20"/>
              </w:rPr>
              <w:t>交通运输局</w:t>
            </w:r>
          </w:p>
        </w:tc>
      </w:tr>
      <w:tr>
        <w:trPr>
          <w:trHeight w:val="1000" w:hRule="atLeast"/>
        </w:trPr>
        <w:tc>
          <w:tcPr>
            <w:tcW w:w="509" w:type="dxa"/>
          </w:tcPr>
          <w:p>
            <w:pPr>
              <w:pStyle w:val="TableParagraph"/>
              <w:spacing w:before="10"/>
              <w:rPr>
                <w:rFonts w:ascii="黑体"/>
                <w:sz w:val="25"/>
              </w:rPr>
            </w:pPr>
          </w:p>
          <w:p>
            <w:pPr>
              <w:pStyle w:val="TableParagraph"/>
              <w:jc w:val="center"/>
              <w:rPr>
                <w:sz w:val="21"/>
              </w:rPr>
            </w:pPr>
            <w:r>
              <w:rPr>
                <w:sz w:val="21"/>
              </w:rPr>
              <w:t>3</w:t>
            </w:r>
          </w:p>
        </w:tc>
        <w:tc>
          <w:tcPr>
            <w:tcW w:w="2160" w:type="dxa"/>
          </w:tcPr>
          <w:p>
            <w:pPr>
              <w:pStyle w:val="TableParagraph"/>
              <w:spacing w:line="237" w:lineRule="auto" w:before="91"/>
              <w:ind w:left="69" w:right="10"/>
              <w:jc w:val="center"/>
              <w:rPr>
                <w:sz w:val="20"/>
              </w:rPr>
            </w:pPr>
            <w:r>
              <w:rPr>
                <w:spacing w:val="-17"/>
                <w:sz w:val="20"/>
              </w:rPr>
              <w:t>国道 </w:t>
            </w:r>
            <w:r>
              <w:rPr>
                <w:sz w:val="20"/>
              </w:rPr>
              <w:t>213</w:t>
            </w:r>
            <w:r>
              <w:rPr>
                <w:spacing w:val="-18"/>
                <w:sz w:val="20"/>
              </w:rPr>
              <w:t> 五通</w:t>
            </w:r>
            <w:r>
              <w:rPr>
                <w:sz w:val="20"/>
              </w:rPr>
              <w:t>（西坝） </w:t>
            </w:r>
            <w:r>
              <w:rPr>
                <w:spacing w:val="-10"/>
                <w:sz w:val="20"/>
              </w:rPr>
              <w:t>至沐川</w:t>
            </w:r>
            <w:r>
              <w:rPr>
                <w:sz w:val="20"/>
              </w:rPr>
              <w:t>（建和</w:t>
            </w:r>
            <w:r>
              <w:rPr>
                <w:spacing w:val="-28"/>
                <w:sz w:val="20"/>
              </w:rPr>
              <w:t>）</w:t>
            </w:r>
            <w:r>
              <w:rPr>
                <w:sz w:val="20"/>
              </w:rPr>
              <w:t>段联网公路工程</w:t>
            </w:r>
          </w:p>
        </w:tc>
        <w:tc>
          <w:tcPr>
            <w:tcW w:w="1260" w:type="dxa"/>
          </w:tcPr>
          <w:p>
            <w:pPr>
              <w:pStyle w:val="TableParagraph"/>
              <w:spacing w:before="7"/>
              <w:rPr>
                <w:rFonts w:ascii="黑体"/>
                <w:sz w:val="26"/>
              </w:rPr>
            </w:pPr>
          </w:p>
          <w:p>
            <w:pPr>
              <w:pStyle w:val="TableParagraph"/>
              <w:spacing w:before="1"/>
              <w:ind w:right="174"/>
              <w:jc w:val="right"/>
              <w:rPr>
                <w:sz w:val="20"/>
              </w:rPr>
            </w:pPr>
            <w:r>
              <w:rPr>
                <w:sz w:val="20"/>
              </w:rPr>
              <w:t>2016-2019</w:t>
            </w:r>
          </w:p>
        </w:tc>
        <w:tc>
          <w:tcPr>
            <w:tcW w:w="3240" w:type="dxa"/>
          </w:tcPr>
          <w:p>
            <w:pPr>
              <w:pStyle w:val="TableParagraph"/>
              <w:spacing w:before="11"/>
              <w:rPr>
                <w:rFonts w:ascii="黑体"/>
                <w:sz w:val="16"/>
              </w:rPr>
            </w:pPr>
          </w:p>
          <w:p>
            <w:pPr>
              <w:pStyle w:val="TableParagraph"/>
              <w:spacing w:line="237" w:lineRule="auto" w:before="1"/>
              <w:ind w:left="1214" w:hanging="1112"/>
              <w:rPr>
                <w:sz w:val="20"/>
              </w:rPr>
            </w:pPr>
            <w:r>
              <w:rPr>
                <w:spacing w:val="-9"/>
                <w:sz w:val="20"/>
              </w:rPr>
              <w:t>五通境内长 </w:t>
            </w:r>
            <w:r>
              <w:rPr>
                <w:sz w:val="20"/>
              </w:rPr>
              <w:t>19.4</w:t>
            </w:r>
            <w:r>
              <w:rPr>
                <w:spacing w:val="-16"/>
                <w:sz w:val="20"/>
              </w:rPr>
              <w:t> 公里，按一级公路标准建设</w:t>
            </w:r>
          </w:p>
        </w:tc>
        <w:tc>
          <w:tcPr>
            <w:tcW w:w="1440" w:type="dxa"/>
          </w:tcPr>
          <w:p>
            <w:pPr>
              <w:pStyle w:val="TableParagraph"/>
              <w:spacing w:before="7"/>
              <w:rPr>
                <w:rFonts w:ascii="黑体"/>
                <w:sz w:val="26"/>
              </w:rPr>
            </w:pPr>
          </w:p>
          <w:p>
            <w:pPr>
              <w:pStyle w:val="TableParagraph"/>
              <w:spacing w:before="1"/>
              <w:ind w:left="413"/>
              <w:rPr>
                <w:sz w:val="20"/>
              </w:rPr>
            </w:pPr>
            <w:r>
              <w:rPr>
                <w:sz w:val="20"/>
              </w:rPr>
              <w:t>116400</w:t>
            </w:r>
          </w:p>
        </w:tc>
        <w:tc>
          <w:tcPr>
            <w:tcW w:w="1253" w:type="dxa"/>
          </w:tcPr>
          <w:p>
            <w:pPr>
              <w:pStyle w:val="TableParagraph"/>
              <w:spacing w:before="7"/>
              <w:rPr>
                <w:rFonts w:ascii="黑体"/>
                <w:sz w:val="26"/>
              </w:rPr>
            </w:pPr>
          </w:p>
          <w:p>
            <w:pPr>
              <w:pStyle w:val="TableParagraph"/>
              <w:spacing w:before="1"/>
              <w:ind w:left="101" w:right="101"/>
              <w:jc w:val="center"/>
              <w:rPr>
                <w:sz w:val="20"/>
              </w:rPr>
            </w:pPr>
            <w:r>
              <w:rPr>
                <w:sz w:val="20"/>
              </w:rPr>
              <w:t>交通运输局</w:t>
            </w:r>
          </w:p>
        </w:tc>
      </w:tr>
      <w:tr>
        <w:trPr>
          <w:trHeight w:val="1000" w:hRule="atLeast"/>
        </w:trPr>
        <w:tc>
          <w:tcPr>
            <w:tcW w:w="509" w:type="dxa"/>
          </w:tcPr>
          <w:p>
            <w:pPr>
              <w:pStyle w:val="TableParagraph"/>
              <w:spacing w:before="10"/>
              <w:rPr>
                <w:rFonts w:ascii="黑体"/>
                <w:sz w:val="25"/>
              </w:rPr>
            </w:pPr>
          </w:p>
          <w:p>
            <w:pPr>
              <w:pStyle w:val="TableParagraph"/>
              <w:jc w:val="center"/>
              <w:rPr>
                <w:sz w:val="21"/>
              </w:rPr>
            </w:pPr>
            <w:r>
              <w:rPr>
                <w:sz w:val="21"/>
              </w:rPr>
              <w:t>4</w:t>
            </w:r>
          </w:p>
        </w:tc>
        <w:tc>
          <w:tcPr>
            <w:tcW w:w="2160" w:type="dxa"/>
          </w:tcPr>
          <w:p>
            <w:pPr>
              <w:pStyle w:val="TableParagraph"/>
              <w:spacing w:before="9"/>
              <w:rPr>
                <w:rFonts w:ascii="黑体"/>
                <w:sz w:val="16"/>
              </w:rPr>
            </w:pPr>
          </w:p>
          <w:p>
            <w:pPr>
              <w:pStyle w:val="TableParagraph"/>
              <w:spacing w:line="260" w:lineRule="exact"/>
              <w:ind w:left="44" w:right="43"/>
              <w:jc w:val="center"/>
              <w:rPr>
                <w:sz w:val="20"/>
              </w:rPr>
            </w:pPr>
            <w:r>
              <w:rPr>
                <w:sz w:val="20"/>
              </w:rPr>
              <w:t>进港大道延伸线工程</w:t>
            </w:r>
          </w:p>
          <w:p>
            <w:pPr>
              <w:pStyle w:val="TableParagraph"/>
              <w:spacing w:line="260" w:lineRule="exact"/>
              <w:ind w:left="43" w:right="43"/>
              <w:jc w:val="center"/>
              <w:rPr>
                <w:sz w:val="20"/>
              </w:rPr>
            </w:pPr>
            <w:r>
              <w:rPr>
                <w:sz w:val="20"/>
              </w:rPr>
              <w:t>（一期）</w:t>
            </w:r>
          </w:p>
        </w:tc>
        <w:tc>
          <w:tcPr>
            <w:tcW w:w="1260" w:type="dxa"/>
          </w:tcPr>
          <w:p>
            <w:pPr>
              <w:pStyle w:val="TableParagraph"/>
              <w:spacing w:before="7"/>
              <w:rPr>
                <w:rFonts w:ascii="黑体"/>
                <w:sz w:val="26"/>
              </w:rPr>
            </w:pPr>
          </w:p>
          <w:p>
            <w:pPr>
              <w:pStyle w:val="TableParagraph"/>
              <w:spacing w:before="1"/>
              <w:ind w:right="174"/>
              <w:jc w:val="right"/>
              <w:rPr>
                <w:sz w:val="20"/>
              </w:rPr>
            </w:pPr>
            <w:r>
              <w:rPr>
                <w:sz w:val="20"/>
              </w:rPr>
              <w:t>2019-2020</w:t>
            </w:r>
          </w:p>
        </w:tc>
        <w:tc>
          <w:tcPr>
            <w:tcW w:w="3240" w:type="dxa"/>
          </w:tcPr>
          <w:p>
            <w:pPr>
              <w:pStyle w:val="TableParagraph"/>
              <w:spacing w:before="9"/>
              <w:rPr>
                <w:rFonts w:ascii="黑体"/>
                <w:sz w:val="16"/>
              </w:rPr>
            </w:pPr>
          </w:p>
          <w:p>
            <w:pPr>
              <w:pStyle w:val="TableParagraph"/>
              <w:spacing w:line="260" w:lineRule="exact"/>
              <w:ind w:left="44" w:right="44"/>
              <w:jc w:val="center"/>
              <w:rPr>
                <w:sz w:val="20"/>
              </w:rPr>
            </w:pPr>
            <w:r>
              <w:rPr>
                <w:sz w:val="20"/>
              </w:rPr>
              <w:t>沥青混凝土路面 3.5 公里，路面宽</w:t>
            </w:r>
          </w:p>
          <w:p>
            <w:pPr>
              <w:pStyle w:val="TableParagraph"/>
              <w:spacing w:line="260" w:lineRule="exact"/>
              <w:ind w:left="43" w:right="44"/>
              <w:jc w:val="center"/>
              <w:rPr>
                <w:sz w:val="20"/>
              </w:rPr>
            </w:pPr>
            <w:r>
              <w:rPr>
                <w:sz w:val="20"/>
              </w:rPr>
              <w:t>40 米，路基宽 60 米</w:t>
            </w:r>
          </w:p>
        </w:tc>
        <w:tc>
          <w:tcPr>
            <w:tcW w:w="1440" w:type="dxa"/>
          </w:tcPr>
          <w:p>
            <w:pPr>
              <w:pStyle w:val="TableParagraph"/>
              <w:spacing w:before="7"/>
              <w:rPr>
                <w:rFonts w:ascii="黑体"/>
                <w:sz w:val="26"/>
              </w:rPr>
            </w:pPr>
          </w:p>
          <w:p>
            <w:pPr>
              <w:pStyle w:val="TableParagraph"/>
              <w:spacing w:before="1"/>
              <w:ind w:left="464"/>
              <w:rPr>
                <w:sz w:val="20"/>
              </w:rPr>
            </w:pPr>
            <w:r>
              <w:rPr>
                <w:sz w:val="20"/>
              </w:rPr>
              <w:t>38500</w:t>
            </w:r>
          </w:p>
        </w:tc>
        <w:tc>
          <w:tcPr>
            <w:tcW w:w="1253" w:type="dxa"/>
          </w:tcPr>
          <w:p>
            <w:pPr>
              <w:pStyle w:val="TableParagraph"/>
              <w:spacing w:before="7"/>
              <w:rPr>
                <w:rFonts w:ascii="黑体"/>
                <w:sz w:val="26"/>
              </w:rPr>
            </w:pPr>
          </w:p>
          <w:p>
            <w:pPr>
              <w:pStyle w:val="TableParagraph"/>
              <w:spacing w:before="1"/>
              <w:ind w:left="101" w:right="101"/>
              <w:jc w:val="center"/>
              <w:rPr>
                <w:sz w:val="20"/>
              </w:rPr>
            </w:pPr>
            <w:r>
              <w:rPr>
                <w:sz w:val="20"/>
              </w:rPr>
              <w:t>交通运输局</w:t>
            </w:r>
          </w:p>
        </w:tc>
      </w:tr>
      <w:tr>
        <w:trPr>
          <w:trHeight w:val="1020" w:hRule="atLeast"/>
        </w:trPr>
        <w:tc>
          <w:tcPr>
            <w:tcW w:w="509" w:type="dxa"/>
          </w:tcPr>
          <w:p>
            <w:pPr>
              <w:pStyle w:val="TableParagraph"/>
              <w:spacing w:before="10"/>
              <w:rPr>
                <w:rFonts w:ascii="黑体"/>
                <w:sz w:val="25"/>
              </w:rPr>
            </w:pPr>
          </w:p>
          <w:p>
            <w:pPr>
              <w:pStyle w:val="TableParagraph"/>
              <w:jc w:val="center"/>
              <w:rPr>
                <w:sz w:val="21"/>
              </w:rPr>
            </w:pPr>
            <w:r>
              <w:rPr>
                <w:sz w:val="21"/>
              </w:rPr>
              <w:t>5</w:t>
            </w:r>
          </w:p>
        </w:tc>
        <w:tc>
          <w:tcPr>
            <w:tcW w:w="2160" w:type="dxa"/>
          </w:tcPr>
          <w:p>
            <w:pPr>
              <w:pStyle w:val="TableParagraph"/>
              <w:spacing w:before="9"/>
              <w:rPr>
                <w:rFonts w:ascii="黑体"/>
                <w:sz w:val="16"/>
              </w:rPr>
            </w:pPr>
          </w:p>
          <w:p>
            <w:pPr>
              <w:pStyle w:val="TableParagraph"/>
              <w:ind w:left="474" w:right="28" w:hanging="372"/>
              <w:rPr>
                <w:sz w:val="20"/>
              </w:rPr>
            </w:pPr>
            <w:r>
              <w:rPr>
                <w:sz w:val="20"/>
              </w:rPr>
              <w:t>九黄路改造工程（双河店至高峰段）</w:t>
            </w:r>
          </w:p>
        </w:tc>
        <w:tc>
          <w:tcPr>
            <w:tcW w:w="1260" w:type="dxa"/>
          </w:tcPr>
          <w:p>
            <w:pPr>
              <w:pStyle w:val="TableParagraph"/>
              <w:spacing w:before="7"/>
              <w:rPr>
                <w:rFonts w:ascii="黑体"/>
                <w:sz w:val="26"/>
              </w:rPr>
            </w:pPr>
          </w:p>
          <w:p>
            <w:pPr>
              <w:pStyle w:val="TableParagraph"/>
              <w:spacing w:before="1"/>
              <w:ind w:left="154" w:right="155"/>
              <w:jc w:val="center"/>
              <w:rPr>
                <w:sz w:val="20"/>
              </w:rPr>
            </w:pPr>
            <w:r>
              <w:rPr>
                <w:sz w:val="20"/>
              </w:rPr>
              <w:t>2020</w:t>
            </w:r>
          </w:p>
        </w:tc>
        <w:tc>
          <w:tcPr>
            <w:tcW w:w="3240" w:type="dxa"/>
          </w:tcPr>
          <w:p>
            <w:pPr>
              <w:pStyle w:val="TableParagraph"/>
              <w:spacing w:before="7"/>
              <w:rPr>
                <w:rFonts w:ascii="黑体"/>
                <w:sz w:val="26"/>
              </w:rPr>
            </w:pPr>
          </w:p>
          <w:p>
            <w:pPr>
              <w:pStyle w:val="TableParagraph"/>
              <w:spacing w:before="1"/>
              <w:ind w:left="44" w:right="44"/>
              <w:jc w:val="center"/>
              <w:rPr>
                <w:sz w:val="20"/>
              </w:rPr>
            </w:pPr>
            <w:r>
              <w:rPr>
                <w:sz w:val="20"/>
              </w:rPr>
              <w:t>路面改造 6.4 公里</w:t>
            </w:r>
          </w:p>
        </w:tc>
        <w:tc>
          <w:tcPr>
            <w:tcW w:w="1440" w:type="dxa"/>
          </w:tcPr>
          <w:p>
            <w:pPr>
              <w:pStyle w:val="TableParagraph"/>
              <w:spacing w:before="7"/>
              <w:rPr>
                <w:rFonts w:ascii="黑体"/>
                <w:sz w:val="26"/>
              </w:rPr>
            </w:pPr>
          </w:p>
          <w:p>
            <w:pPr>
              <w:pStyle w:val="TableParagraph"/>
              <w:spacing w:before="1"/>
              <w:ind w:left="514"/>
              <w:rPr>
                <w:sz w:val="20"/>
              </w:rPr>
            </w:pPr>
            <w:r>
              <w:rPr>
                <w:sz w:val="20"/>
              </w:rPr>
              <w:t>1280</w:t>
            </w:r>
          </w:p>
        </w:tc>
        <w:tc>
          <w:tcPr>
            <w:tcW w:w="1253" w:type="dxa"/>
          </w:tcPr>
          <w:p>
            <w:pPr>
              <w:pStyle w:val="TableParagraph"/>
              <w:spacing w:before="7"/>
              <w:rPr>
                <w:rFonts w:ascii="黑体"/>
                <w:sz w:val="26"/>
              </w:rPr>
            </w:pPr>
          </w:p>
          <w:p>
            <w:pPr>
              <w:pStyle w:val="TableParagraph"/>
              <w:spacing w:before="1"/>
              <w:ind w:left="101" w:right="101"/>
              <w:jc w:val="center"/>
              <w:rPr>
                <w:sz w:val="20"/>
              </w:rPr>
            </w:pPr>
            <w:r>
              <w:rPr>
                <w:sz w:val="20"/>
              </w:rPr>
              <w:t>交通运输局</w:t>
            </w:r>
          </w:p>
        </w:tc>
      </w:tr>
      <w:tr>
        <w:trPr>
          <w:trHeight w:val="1000" w:hRule="atLeast"/>
        </w:trPr>
        <w:tc>
          <w:tcPr>
            <w:tcW w:w="509" w:type="dxa"/>
          </w:tcPr>
          <w:p>
            <w:pPr>
              <w:pStyle w:val="TableParagraph"/>
              <w:spacing w:before="10"/>
              <w:rPr>
                <w:rFonts w:ascii="黑体"/>
                <w:sz w:val="25"/>
              </w:rPr>
            </w:pPr>
          </w:p>
          <w:p>
            <w:pPr>
              <w:pStyle w:val="TableParagraph"/>
              <w:jc w:val="center"/>
              <w:rPr>
                <w:sz w:val="21"/>
              </w:rPr>
            </w:pPr>
            <w:r>
              <w:rPr>
                <w:sz w:val="21"/>
              </w:rPr>
              <w:t>6</w:t>
            </w:r>
          </w:p>
        </w:tc>
        <w:tc>
          <w:tcPr>
            <w:tcW w:w="2160" w:type="dxa"/>
          </w:tcPr>
          <w:p>
            <w:pPr>
              <w:pStyle w:val="TableParagraph"/>
              <w:spacing w:before="11"/>
              <w:rPr>
                <w:rFonts w:ascii="黑体"/>
                <w:sz w:val="16"/>
              </w:rPr>
            </w:pPr>
          </w:p>
          <w:p>
            <w:pPr>
              <w:pStyle w:val="TableParagraph"/>
              <w:spacing w:line="237" w:lineRule="auto" w:before="1"/>
              <w:ind w:left="173" w:right="28" w:hanging="71"/>
              <w:rPr>
                <w:sz w:val="20"/>
              </w:rPr>
            </w:pPr>
            <w:r>
              <w:rPr>
                <w:sz w:val="20"/>
              </w:rPr>
              <w:t>冠福路改造工程（鱼儿坟至石麟加油站段）</w:t>
            </w:r>
          </w:p>
        </w:tc>
        <w:tc>
          <w:tcPr>
            <w:tcW w:w="1260" w:type="dxa"/>
          </w:tcPr>
          <w:p>
            <w:pPr>
              <w:pStyle w:val="TableParagraph"/>
              <w:spacing w:before="7"/>
              <w:rPr>
                <w:rFonts w:ascii="黑体"/>
                <w:sz w:val="26"/>
              </w:rPr>
            </w:pPr>
          </w:p>
          <w:p>
            <w:pPr>
              <w:pStyle w:val="TableParagraph"/>
              <w:spacing w:before="1"/>
              <w:ind w:left="154" w:right="155"/>
              <w:jc w:val="center"/>
              <w:rPr>
                <w:sz w:val="20"/>
              </w:rPr>
            </w:pPr>
            <w:r>
              <w:rPr>
                <w:sz w:val="20"/>
              </w:rPr>
              <w:t>2017</w:t>
            </w:r>
          </w:p>
        </w:tc>
        <w:tc>
          <w:tcPr>
            <w:tcW w:w="3240" w:type="dxa"/>
          </w:tcPr>
          <w:p>
            <w:pPr>
              <w:pStyle w:val="TableParagraph"/>
              <w:spacing w:before="7"/>
              <w:rPr>
                <w:rFonts w:ascii="黑体"/>
                <w:sz w:val="26"/>
              </w:rPr>
            </w:pPr>
          </w:p>
          <w:p>
            <w:pPr>
              <w:pStyle w:val="TableParagraph"/>
              <w:spacing w:before="1"/>
              <w:ind w:left="43" w:right="44"/>
              <w:jc w:val="center"/>
              <w:rPr>
                <w:sz w:val="20"/>
              </w:rPr>
            </w:pPr>
            <w:r>
              <w:rPr>
                <w:sz w:val="20"/>
              </w:rPr>
              <w:t>路面改造 11.1 公里</w:t>
            </w:r>
          </w:p>
        </w:tc>
        <w:tc>
          <w:tcPr>
            <w:tcW w:w="1440" w:type="dxa"/>
          </w:tcPr>
          <w:p>
            <w:pPr>
              <w:pStyle w:val="TableParagraph"/>
              <w:spacing w:before="7"/>
              <w:rPr>
                <w:rFonts w:ascii="黑体"/>
                <w:sz w:val="26"/>
              </w:rPr>
            </w:pPr>
          </w:p>
          <w:p>
            <w:pPr>
              <w:pStyle w:val="TableParagraph"/>
              <w:spacing w:before="1"/>
              <w:ind w:left="514"/>
              <w:rPr>
                <w:sz w:val="20"/>
              </w:rPr>
            </w:pPr>
            <w:r>
              <w:rPr>
                <w:sz w:val="20"/>
              </w:rPr>
              <w:t>2220</w:t>
            </w:r>
          </w:p>
        </w:tc>
        <w:tc>
          <w:tcPr>
            <w:tcW w:w="1253" w:type="dxa"/>
          </w:tcPr>
          <w:p>
            <w:pPr>
              <w:pStyle w:val="TableParagraph"/>
              <w:spacing w:before="7"/>
              <w:rPr>
                <w:rFonts w:ascii="黑体"/>
                <w:sz w:val="26"/>
              </w:rPr>
            </w:pPr>
          </w:p>
          <w:p>
            <w:pPr>
              <w:pStyle w:val="TableParagraph"/>
              <w:spacing w:before="1"/>
              <w:ind w:left="101" w:right="101"/>
              <w:jc w:val="center"/>
              <w:rPr>
                <w:sz w:val="20"/>
              </w:rPr>
            </w:pPr>
            <w:r>
              <w:rPr>
                <w:sz w:val="20"/>
              </w:rPr>
              <w:t>交通运输局</w:t>
            </w:r>
          </w:p>
        </w:tc>
      </w:tr>
      <w:tr>
        <w:trPr>
          <w:trHeight w:val="1000" w:hRule="atLeast"/>
        </w:trPr>
        <w:tc>
          <w:tcPr>
            <w:tcW w:w="509" w:type="dxa"/>
          </w:tcPr>
          <w:p>
            <w:pPr>
              <w:pStyle w:val="TableParagraph"/>
              <w:spacing w:before="10"/>
              <w:rPr>
                <w:rFonts w:ascii="黑体"/>
                <w:sz w:val="25"/>
              </w:rPr>
            </w:pPr>
          </w:p>
          <w:p>
            <w:pPr>
              <w:pStyle w:val="TableParagraph"/>
              <w:jc w:val="center"/>
              <w:rPr>
                <w:sz w:val="21"/>
              </w:rPr>
            </w:pPr>
            <w:r>
              <w:rPr>
                <w:sz w:val="21"/>
              </w:rPr>
              <w:t>7</w:t>
            </w:r>
          </w:p>
        </w:tc>
        <w:tc>
          <w:tcPr>
            <w:tcW w:w="2160" w:type="dxa"/>
          </w:tcPr>
          <w:p>
            <w:pPr>
              <w:pStyle w:val="TableParagraph"/>
              <w:spacing w:before="11"/>
              <w:rPr>
                <w:rFonts w:ascii="黑体"/>
                <w:sz w:val="16"/>
              </w:rPr>
            </w:pPr>
          </w:p>
          <w:p>
            <w:pPr>
              <w:pStyle w:val="TableParagraph"/>
              <w:spacing w:line="237" w:lineRule="auto" w:before="1"/>
              <w:ind w:left="274" w:right="28" w:hanging="172"/>
              <w:rPr>
                <w:sz w:val="20"/>
              </w:rPr>
            </w:pPr>
            <w:r>
              <w:rPr>
                <w:sz w:val="20"/>
              </w:rPr>
              <w:t>石桫路（乌龟桥至红星水库段）改造工程</w:t>
            </w:r>
          </w:p>
        </w:tc>
        <w:tc>
          <w:tcPr>
            <w:tcW w:w="1260" w:type="dxa"/>
          </w:tcPr>
          <w:p>
            <w:pPr>
              <w:pStyle w:val="TableParagraph"/>
              <w:spacing w:before="7"/>
              <w:rPr>
                <w:rFonts w:ascii="黑体"/>
                <w:sz w:val="26"/>
              </w:rPr>
            </w:pPr>
          </w:p>
          <w:p>
            <w:pPr>
              <w:pStyle w:val="TableParagraph"/>
              <w:spacing w:before="1"/>
              <w:ind w:left="154" w:right="155"/>
              <w:jc w:val="center"/>
              <w:rPr>
                <w:sz w:val="20"/>
              </w:rPr>
            </w:pPr>
            <w:r>
              <w:rPr>
                <w:sz w:val="20"/>
              </w:rPr>
              <w:t>2018</w:t>
            </w:r>
          </w:p>
        </w:tc>
        <w:tc>
          <w:tcPr>
            <w:tcW w:w="3240" w:type="dxa"/>
          </w:tcPr>
          <w:p>
            <w:pPr>
              <w:pStyle w:val="TableParagraph"/>
              <w:spacing w:before="7"/>
              <w:rPr>
                <w:rFonts w:ascii="黑体"/>
                <w:sz w:val="26"/>
              </w:rPr>
            </w:pPr>
          </w:p>
          <w:p>
            <w:pPr>
              <w:pStyle w:val="TableParagraph"/>
              <w:spacing w:before="1"/>
              <w:ind w:left="44" w:right="44"/>
              <w:jc w:val="center"/>
              <w:rPr>
                <w:sz w:val="20"/>
              </w:rPr>
            </w:pPr>
            <w:r>
              <w:rPr>
                <w:sz w:val="20"/>
              </w:rPr>
              <w:t>路面改造 7.8 公里</w:t>
            </w:r>
          </w:p>
        </w:tc>
        <w:tc>
          <w:tcPr>
            <w:tcW w:w="1440" w:type="dxa"/>
          </w:tcPr>
          <w:p>
            <w:pPr>
              <w:pStyle w:val="TableParagraph"/>
              <w:spacing w:before="7"/>
              <w:rPr>
                <w:rFonts w:ascii="黑体"/>
                <w:sz w:val="26"/>
              </w:rPr>
            </w:pPr>
          </w:p>
          <w:p>
            <w:pPr>
              <w:pStyle w:val="TableParagraph"/>
              <w:spacing w:before="1"/>
              <w:ind w:left="514"/>
              <w:rPr>
                <w:sz w:val="20"/>
              </w:rPr>
            </w:pPr>
            <w:r>
              <w:rPr>
                <w:sz w:val="20"/>
              </w:rPr>
              <w:t>1248</w:t>
            </w:r>
          </w:p>
        </w:tc>
        <w:tc>
          <w:tcPr>
            <w:tcW w:w="1253" w:type="dxa"/>
          </w:tcPr>
          <w:p>
            <w:pPr>
              <w:pStyle w:val="TableParagraph"/>
              <w:spacing w:before="7"/>
              <w:rPr>
                <w:rFonts w:ascii="黑体"/>
                <w:sz w:val="26"/>
              </w:rPr>
            </w:pPr>
          </w:p>
          <w:p>
            <w:pPr>
              <w:pStyle w:val="TableParagraph"/>
              <w:spacing w:before="1"/>
              <w:ind w:left="101" w:right="101"/>
              <w:jc w:val="center"/>
              <w:rPr>
                <w:sz w:val="20"/>
              </w:rPr>
            </w:pPr>
            <w:r>
              <w:rPr>
                <w:sz w:val="20"/>
              </w:rPr>
              <w:t>交通运输局</w:t>
            </w:r>
          </w:p>
        </w:tc>
      </w:tr>
      <w:tr>
        <w:trPr>
          <w:trHeight w:val="780" w:hRule="atLeast"/>
        </w:trPr>
        <w:tc>
          <w:tcPr>
            <w:tcW w:w="509" w:type="dxa"/>
          </w:tcPr>
          <w:p>
            <w:pPr>
              <w:pStyle w:val="TableParagraph"/>
              <w:spacing w:before="6"/>
              <w:rPr>
                <w:rFonts w:ascii="黑体"/>
                <w:sz w:val="17"/>
              </w:rPr>
            </w:pPr>
          </w:p>
          <w:p>
            <w:pPr>
              <w:pStyle w:val="TableParagraph"/>
              <w:jc w:val="center"/>
              <w:rPr>
                <w:sz w:val="21"/>
              </w:rPr>
            </w:pPr>
            <w:r>
              <w:rPr>
                <w:sz w:val="21"/>
              </w:rPr>
              <w:t>8</w:t>
            </w:r>
          </w:p>
        </w:tc>
        <w:tc>
          <w:tcPr>
            <w:tcW w:w="2160" w:type="dxa"/>
          </w:tcPr>
          <w:p>
            <w:pPr>
              <w:pStyle w:val="TableParagraph"/>
              <w:spacing w:before="108"/>
              <w:ind w:left="474" w:right="28" w:hanging="372"/>
              <w:rPr>
                <w:sz w:val="20"/>
              </w:rPr>
            </w:pPr>
            <w:r>
              <w:rPr>
                <w:sz w:val="20"/>
              </w:rPr>
              <w:t>石西路（正觉寺桥至双土地段）改造</w:t>
            </w:r>
          </w:p>
        </w:tc>
        <w:tc>
          <w:tcPr>
            <w:tcW w:w="1260" w:type="dxa"/>
          </w:tcPr>
          <w:p>
            <w:pPr>
              <w:pStyle w:val="TableParagraph"/>
              <w:spacing w:before="2"/>
              <w:rPr>
                <w:rFonts w:ascii="黑体"/>
                <w:sz w:val="18"/>
              </w:rPr>
            </w:pPr>
          </w:p>
          <w:p>
            <w:pPr>
              <w:pStyle w:val="TableParagraph"/>
              <w:ind w:left="154" w:right="155"/>
              <w:jc w:val="center"/>
              <w:rPr>
                <w:sz w:val="20"/>
              </w:rPr>
            </w:pPr>
            <w:r>
              <w:rPr>
                <w:sz w:val="20"/>
              </w:rPr>
              <w:t>2017</w:t>
            </w:r>
          </w:p>
        </w:tc>
        <w:tc>
          <w:tcPr>
            <w:tcW w:w="3240" w:type="dxa"/>
          </w:tcPr>
          <w:p>
            <w:pPr>
              <w:pStyle w:val="TableParagraph"/>
              <w:spacing w:before="2"/>
              <w:rPr>
                <w:rFonts w:ascii="黑体"/>
                <w:sz w:val="18"/>
              </w:rPr>
            </w:pPr>
          </w:p>
          <w:p>
            <w:pPr>
              <w:pStyle w:val="TableParagraph"/>
              <w:ind w:left="43" w:right="44"/>
              <w:jc w:val="center"/>
              <w:rPr>
                <w:sz w:val="20"/>
              </w:rPr>
            </w:pPr>
            <w:r>
              <w:rPr>
                <w:sz w:val="20"/>
              </w:rPr>
              <w:t>路面改造 4 公里</w:t>
            </w:r>
          </w:p>
        </w:tc>
        <w:tc>
          <w:tcPr>
            <w:tcW w:w="1440" w:type="dxa"/>
          </w:tcPr>
          <w:p>
            <w:pPr>
              <w:pStyle w:val="TableParagraph"/>
              <w:spacing w:before="2"/>
              <w:rPr>
                <w:rFonts w:ascii="黑体"/>
                <w:sz w:val="18"/>
              </w:rPr>
            </w:pPr>
          </w:p>
          <w:p>
            <w:pPr>
              <w:pStyle w:val="TableParagraph"/>
              <w:ind w:left="344" w:right="345"/>
              <w:jc w:val="center"/>
              <w:rPr>
                <w:sz w:val="20"/>
              </w:rPr>
            </w:pPr>
            <w:r>
              <w:rPr>
                <w:sz w:val="20"/>
              </w:rPr>
              <w:t>640</w:t>
            </w:r>
          </w:p>
        </w:tc>
        <w:tc>
          <w:tcPr>
            <w:tcW w:w="1253" w:type="dxa"/>
          </w:tcPr>
          <w:p>
            <w:pPr>
              <w:pStyle w:val="TableParagraph"/>
              <w:spacing w:before="2"/>
              <w:rPr>
                <w:rFonts w:ascii="黑体"/>
                <w:sz w:val="18"/>
              </w:rPr>
            </w:pPr>
          </w:p>
          <w:p>
            <w:pPr>
              <w:pStyle w:val="TableParagraph"/>
              <w:ind w:left="101" w:right="101"/>
              <w:jc w:val="center"/>
              <w:rPr>
                <w:sz w:val="20"/>
              </w:rPr>
            </w:pPr>
            <w:r>
              <w:rPr>
                <w:sz w:val="20"/>
              </w:rPr>
              <w:t>交通运输局</w:t>
            </w:r>
          </w:p>
        </w:tc>
      </w:tr>
      <w:tr>
        <w:trPr>
          <w:trHeight w:val="1000" w:hRule="atLeast"/>
        </w:trPr>
        <w:tc>
          <w:tcPr>
            <w:tcW w:w="509" w:type="dxa"/>
          </w:tcPr>
          <w:p>
            <w:pPr>
              <w:pStyle w:val="TableParagraph"/>
              <w:spacing w:before="10"/>
              <w:rPr>
                <w:rFonts w:ascii="黑体"/>
                <w:sz w:val="25"/>
              </w:rPr>
            </w:pPr>
          </w:p>
          <w:p>
            <w:pPr>
              <w:pStyle w:val="TableParagraph"/>
              <w:jc w:val="center"/>
              <w:rPr>
                <w:sz w:val="21"/>
              </w:rPr>
            </w:pPr>
            <w:r>
              <w:rPr>
                <w:sz w:val="21"/>
              </w:rPr>
              <w:t>9</w:t>
            </w:r>
          </w:p>
        </w:tc>
        <w:tc>
          <w:tcPr>
            <w:tcW w:w="2160" w:type="dxa"/>
          </w:tcPr>
          <w:p>
            <w:pPr>
              <w:pStyle w:val="TableParagraph"/>
              <w:spacing w:before="11"/>
              <w:rPr>
                <w:rFonts w:ascii="黑体"/>
                <w:sz w:val="16"/>
              </w:rPr>
            </w:pPr>
          </w:p>
          <w:p>
            <w:pPr>
              <w:pStyle w:val="TableParagraph"/>
              <w:spacing w:line="237" w:lineRule="auto" w:before="1"/>
              <w:ind w:left="574" w:right="28" w:hanging="472"/>
              <w:rPr>
                <w:sz w:val="20"/>
              </w:rPr>
            </w:pPr>
            <w:r>
              <w:rPr>
                <w:sz w:val="20"/>
              </w:rPr>
              <w:t>金牛路（高山步至白塔子段）改造</w:t>
            </w:r>
          </w:p>
        </w:tc>
        <w:tc>
          <w:tcPr>
            <w:tcW w:w="1260" w:type="dxa"/>
          </w:tcPr>
          <w:p>
            <w:pPr>
              <w:pStyle w:val="TableParagraph"/>
              <w:spacing w:before="7"/>
              <w:rPr>
                <w:rFonts w:ascii="黑体"/>
                <w:sz w:val="26"/>
              </w:rPr>
            </w:pPr>
          </w:p>
          <w:p>
            <w:pPr>
              <w:pStyle w:val="TableParagraph"/>
              <w:spacing w:before="1"/>
              <w:ind w:left="154" w:right="155"/>
              <w:jc w:val="center"/>
              <w:rPr>
                <w:sz w:val="20"/>
              </w:rPr>
            </w:pPr>
            <w:r>
              <w:rPr>
                <w:sz w:val="20"/>
              </w:rPr>
              <w:t>2018</w:t>
            </w:r>
          </w:p>
        </w:tc>
        <w:tc>
          <w:tcPr>
            <w:tcW w:w="3240" w:type="dxa"/>
          </w:tcPr>
          <w:p>
            <w:pPr>
              <w:pStyle w:val="TableParagraph"/>
              <w:spacing w:before="7"/>
              <w:rPr>
                <w:rFonts w:ascii="黑体"/>
                <w:sz w:val="26"/>
              </w:rPr>
            </w:pPr>
          </w:p>
          <w:p>
            <w:pPr>
              <w:pStyle w:val="TableParagraph"/>
              <w:spacing w:before="1"/>
              <w:ind w:left="43" w:right="44"/>
              <w:jc w:val="center"/>
              <w:rPr>
                <w:sz w:val="20"/>
              </w:rPr>
            </w:pPr>
            <w:r>
              <w:rPr>
                <w:sz w:val="20"/>
              </w:rPr>
              <w:t>路面改造 10.7 公里</w:t>
            </w:r>
          </w:p>
        </w:tc>
        <w:tc>
          <w:tcPr>
            <w:tcW w:w="1440" w:type="dxa"/>
          </w:tcPr>
          <w:p>
            <w:pPr>
              <w:pStyle w:val="TableParagraph"/>
              <w:spacing w:before="7"/>
              <w:rPr>
                <w:rFonts w:ascii="黑体"/>
                <w:sz w:val="26"/>
              </w:rPr>
            </w:pPr>
          </w:p>
          <w:p>
            <w:pPr>
              <w:pStyle w:val="TableParagraph"/>
              <w:spacing w:before="1"/>
              <w:ind w:left="514"/>
              <w:rPr>
                <w:sz w:val="20"/>
              </w:rPr>
            </w:pPr>
            <w:r>
              <w:rPr>
                <w:sz w:val="20"/>
              </w:rPr>
              <w:t>1712</w:t>
            </w:r>
          </w:p>
        </w:tc>
        <w:tc>
          <w:tcPr>
            <w:tcW w:w="1253" w:type="dxa"/>
          </w:tcPr>
          <w:p>
            <w:pPr>
              <w:pStyle w:val="TableParagraph"/>
              <w:spacing w:before="7"/>
              <w:rPr>
                <w:rFonts w:ascii="黑体"/>
                <w:sz w:val="26"/>
              </w:rPr>
            </w:pPr>
          </w:p>
          <w:p>
            <w:pPr>
              <w:pStyle w:val="TableParagraph"/>
              <w:spacing w:before="1"/>
              <w:ind w:left="101" w:right="101"/>
              <w:jc w:val="center"/>
              <w:rPr>
                <w:sz w:val="20"/>
              </w:rPr>
            </w:pPr>
            <w:r>
              <w:rPr>
                <w:sz w:val="20"/>
              </w:rPr>
              <w:t>交通运输局</w:t>
            </w:r>
          </w:p>
        </w:tc>
      </w:tr>
      <w:tr>
        <w:trPr>
          <w:trHeight w:val="1000" w:hRule="atLeast"/>
        </w:trPr>
        <w:tc>
          <w:tcPr>
            <w:tcW w:w="509" w:type="dxa"/>
          </w:tcPr>
          <w:p>
            <w:pPr>
              <w:pStyle w:val="TableParagraph"/>
              <w:spacing w:before="10"/>
              <w:rPr>
                <w:rFonts w:ascii="黑体"/>
                <w:sz w:val="25"/>
              </w:rPr>
            </w:pPr>
          </w:p>
          <w:p>
            <w:pPr>
              <w:pStyle w:val="TableParagraph"/>
              <w:ind w:left="124" w:right="124"/>
              <w:jc w:val="center"/>
              <w:rPr>
                <w:sz w:val="21"/>
              </w:rPr>
            </w:pPr>
            <w:r>
              <w:rPr>
                <w:sz w:val="21"/>
              </w:rPr>
              <w:t>10</w:t>
            </w:r>
          </w:p>
        </w:tc>
        <w:tc>
          <w:tcPr>
            <w:tcW w:w="2160" w:type="dxa"/>
          </w:tcPr>
          <w:p>
            <w:pPr>
              <w:pStyle w:val="TableParagraph"/>
              <w:spacing w:before="11"/>
              <w:rPr>
                <w:rFonts w:ascii="黑体"/>
                <w:sz w:val="16"/>
              </w:rPr>
            </w:pPr>
          </w:p>
          <w:p>
            <w:pPr>
              <w:pStyle w:val="TableParagraph"/>
              <w:spacing w:line="237" w:lineRule="auto" w:before="1"/>
              <w:ind w:left="474" w:right="28" w:hanging="372"/>
              <w:rPr>
                <w:sz w:val="20"/>
              </w:rPr>
            </w:pPr>
            <w:r>
              <w:rPr>
                <w:sz w:val="20"/>
              </w:rPr>
              <w:t>辉寿路（大茅寺至大坡段）改造工程</w:t>
            </w:r>
          </w:p>
        </w:tc>
        <w:tc>
          <w:tcPr>
            <w:tcW w:w="1260" w:type="dxa"/>
          </w:tcPr>
          <w:p>
            <w:pPr>
              <w:pStyle w:val="TableParagraph"/>
              <w:spacing w:before="7"/>
              <w:rPr>
                <w:rFonts w:ascii="黑体"/>
                <w:sz w:val="26"/>
              </w:rPr>
            </w:pPr>
          </w:p>
          <w:p>
            <w:pPr>
              <w:pStyle w:val="TableParagraph"/>
              <w:spacing w:before="1"/>
              <w:ind w:left="154" w:right="155"/>
              <w:jc w:val="center"/>
              <w:rPr>
                <w:sz w:val="20"/>
              </w:rPr>
            </w:pPr>
            <w:r>
              <w:rPr>
                <w:sz w:val="20"/>
              </w:rPr>
              <w:t>2017</w:t>
            </w:r>
          </w:p>
        </w:tc>
        <w:tc>
          <w:tcPr>
            <w:tcW w:w="3240" w:type="dxa"/>
          </w:tcPr>
          <w:p>
            <w:pPr>
              <w:pStyle w:val="TableParagraph"/>
              <w:spacing w:before="7"/>
              <w:rPr>
                <w:rFonts w:ascii="黑体"/>
                <w:sz w:val="26"/>
              </w:rPr>
            </w:pPr>
          </w:p>
          <w:p>
            <w:pPr>
              <w:pStyle w:val="TableParagraph"/>
              <w:spacing w:before="1"/>
              <w:ind w:left="44" w:right="44"/>
              <w:jc w:val="center"/>
              <w:rPr>
                <w:sz w:val="20"/>
              </w:rPr>
            </w:pPr>
            <w:r>
              <w:rPr>
                <w:sz w:val="20"/>
              </w:rPr>
              <w:t>路面改造 4.5 公里</w:t>
            </w:r>
          </w:p>
        </w:tc>
        <w:tc>
          <w:tcPr>
            <w:tcW w:w="1440" w:type="dxa"/>
          </w:tcPr>
          <w:p>
            <w:pPr>
              <w:pStyle w:val="TableParagraph"/>
              <w:spacing w:before="7"/>
              <w:rPr>
                <w:rFonts w:ascii="黑体"/>
                <w:sz w:val="26"/>
              </w:rPr>
            </w:pPr>
          </w:p>
          <w:p>
            <w:pPr>
              <w:pStyle w:val="TableParagraph"/>
              <w:spacing w:before="1"/>
              <w:ind w:left="344" w:right="345"/>
              <w:jc w:val="center"/>
              <w:rPr>
                <w:sz w:val="20"/>
              </w:rPr>
            </w:pPr>
            <w:r>
              <w:rPr>
                <w:sz w:val="20"/>
              </w:rPr>
              <w:t>720</w:t>
            </w:r>
          </w:p>
        </w:tc>
        <w:tc>
          <w:tcPr>
            <w:tcW w:w="1253" w:type="dxa"/>
          </w:tcPr>
          <w:p>
            <w:pPr>
              <w:pStyle w:val="TableParagraph"/>
              <w:spacing w:before="7"/>
              <w:rPr>
                <w:rFonts w:ascii="黑体"/>
                <w:sz w:val="26"/>
              </w:rPr>
            </w:pPr>
          </w:p>
          <w:p>
            <w:pPr>
              <w:pStyle w:val="TableParagraph"/>
              <w:spacing w:before="1"/>
              <w:ind w:left="101" w:right="101"/>
              <w:jc w:val="center"/>
              <w:rPr>
                <w:sz w:val="20"/>
              </w:rPr>
            </w:pPr>
            <w:r>
              <w:rPr>
                <w:sz w:val="20"/>
              </w:rPr>
              <w:t>交通运输局</w:t>
            </w:r>
          </w:p>
        </w:tc>
      </w:tr>
      <w:tr>
        <w:trPr>
          <w:trHeight w:val="1020" w:hRule="atLeast"/>
        </w:trPr>
        <w:tc>
          <w:tcPr>
            <w:tcW w:w="509" w:type="dxa"/>
          </w:tcPr>
          <w:p>
            <w:pPr>
              <w:pStyle w:val="TableParagraph"/>
              <w:spacing w:before="10"/>
              <w:rPr>
                <w:rFonts w:ascii="黑体"/>
                <w:sz w:val="25"/>
              </w:rPr>
            </w:pPr>
          </w:p>
          <w:p>
            <w:pPr>
              <w:pStyle w:val="TableParagraph"/>
              <w:ind w:left="124" w:right="124"/>
              <w:jc w:val="center"/>
              <w:rPr>
                <w:sz w:val="21"/>
              </w:rPr>
            </w:pPr>
            <w:r>
              <w:rPr>
                <w:sz w:val="21"/>
              </w:rPr>
              <w:t>11</w:t>
            </w:r>
          </w:p>
        </w:tc>
        <w:tc>
          <w:tcPr>
            <w:tcW w:w="2160" w:type="dxa"/>
          </w:tcPr>
          <w:p>
            <w:pPr>
              <w:pStyle w:val="TableParagraph"/>
              <w:spacing w:before="11"/>
              <w:rPr>
                <w:rFonts w:ascii="黑体"/>
                <w:sz w:val="16"/>
              </w:rPr>
            </w:pPr>
          </w:p>
          <w:p>
            <w:pPr>
              <w:pStyle w:val="TableParagraph"/>
              <w:spacing w:line="237" w:lineRule="auto" w:before="1"/>
              <w:ind w:left="474" w:right="28" w:hanging="372"/>
              <w:rPr>
                <w:sz w:val="20"/>
              </w:rPr>
            </w:pPr>
            <w:r>
              <w:rPr>
                <w:sz w:val="20"/>
              </w:rPr>
              <w:t>杨牛路（杨柳政府至碑儿石段）改造</w:t>
            </w:r>
          </w:p>
        </w:tc>
        <w:tc>
          <w:tcPr>
            <w:tcW w:w="1260" w:type="dxa"/>
          </w:tcPr>
          <w:p>
            <w:pPr>
              <w:pStyle w:val="TableParagraph"/>
              <w:spacing w:before="7"/>
              <w:rPr>
                <w:rFonts w:ascii="黑体"/>
                <w:sz w:val="26"/>
              </w:rPr>
            </w:pPr>
          </w:p>
          <w:p>
            <w:pPr>
              <w:pStyle w:val="TableParagraph"/>
              <w:spacing w:before="1"/>
              <w:ind w:left="154" w:right="155"/>
              <w:jc w:val="center"/>
              <w:rPr>
                <w:sz w:val="20"/>
              </w:rPr>
            </w:pPr>
            <w:r>
              <w:rPr>
                <w:sz w:val="20"/>
              </w:rPr>
              <w:t>2017</w:t>
            </w:r>
          </w:p>
        </w:tc>
        <w:tc>
          <w:tcPr>
            <w:tcW w:w="3240" w:type="dxa"/>
          </w:tcPr>
          <w:p>
            <w:pPr>
              <w:pStyle w:val="TableParagraph"/>
              <w:spacing w:before="7"/>
              <w:rPr>
                <w:rFonts w:ascii="黑体"/>
                <w:sz w:val="26"/>
              </w:rPr>
            </w:pPr>
          </w:p>
          <w:p>
            <w:pPr>
              <w:pStyle w:val="TableParagraph"/>
              <w:spacing w:before="1"/>
              <w:ind w:left="44" w:right="44"/>
              <w:jc w:val="center"/>
              <w:rPr>
                <w:sz w:val="20"/>
              </w:rPr>
            </w:pPr>
            <w:r>
              <w:rPr>
                <w:sz w:val="20"/>
              </w:rPr>
              <w:t>路面改造 5.9 公里</w:t>
            </w:r>
          </w:p>
        </w:tc>
        <w:tc>
          <w:tcPr>
            <w:tcW w:w="1440" w:type="dxa"/>
          </w:tcPr>
          <w:p>
            <w:pPr>
              <w:pStyle w:val="TableParagraph"/>
              <w:spacing w:before="7"/>
              <w:rPr>
                <w:rFonts w:ascii="黑体"/>
                <w:sz w:val="26"/>
              </w:rPr>
            </w:pPr>
          </w:p>
          <w:p>
            <w:pPr>
              <w:pStyle w:val="TableParagraph"/>
              <w:spacing w:before="1"/>
              <w:ind w:left="344" w:right="345"/>
              <w:jc w:val="center"/>
              <w:rPr>
                <w:sz w:val="20"/>
              </w:rPr>
            </w:pPr>
            <w:r>
              <w:rPr>
                <w:sz w:val="20"/>
              </w:rPr>
              <w:t>944</w:t>
            </w:r>
          </w:p>
        </w:tc>
        <w:tc>
          <w:tcPr>
            <w:tcW w:w="1253" w:type="dxa"/>
          </w:tcPr>
          <w:p>
            <w:pPr>
              <w:pStyle w:val="TableParagraph"/>
              <w:spacing w:before="7"/>
              <w:rPr>
                <w:rFonts w:ascii="黑体"/>
                <w:sz w:val="26"/>
              </w:rPr>
            </w:pPr>
          </w:p>
          <w:p>
            <w:pPr>
              <w:pStyle w:val="TableParagraph"/>
              <w:spacing w:before="1"/>
              <w:ind w:left="101" w:right="101"/>
              <w:jc w:val="center"/>
              <w:rPr>
                <w:sz w:val="20"/>
              </w:rPr>
            </w:pPr>
            <w:r>
              <w:rPr>
                <w:sz w:val="20"/>
              </w:rPr>
              <w:t>交通运输局</w:t>
            </w:r>
          </w:p>
        </w:tc>
      </w:tr>
      <w:tr>
        <w:trPr>
          <w:trHeight w:val="1000" w:hRule="atLeast"/>
        </w:trPr>
        <w:tc>
          <w:tcPr>
            <w:tcW w:w="509" w:type="dxa"/>
          </w:tcPr>
          <w:p>
            <w:pPr>
              <w:pStyle w:val="TableParagraph"/>
              <w:spacing w:before="10"/>
              <w:rPr>
                <w:rFonts w:ascii="黑体"/>
                <w:sz w:val="25"/>
              </w:rPr>
            </w:pPr>
          </w:p>
          <w:p>
            <w:pPr>
              <w:pStyle w:val="TableParagraph"/>
              <w:ind w:left="124" w:right="124"/>
              <w:jc w:val="center"/>
              <w:rPr>
                <w:sz w:val="21"/>
              </w:rPr>
            </w:pPr>
            <w:r>
              <w:rPr>
                <w:sz w:val="21"/>
              </w:rPr>
              <w:t>12</w:t>
            </w:r>
          </w:p>
        </w:tc>
        <w:tc>
          <w:tcPr>
            <w:tcW w:w="2160" w:type="dxa"/>
          </w:tcPr>
          <w:p>
            <w:pPr>
              <w:pStyle w:val="TableParagraph"/>
              <w:spacing w:before="11"/>
              <w:rPr>
                <w:rFonts w:ascii="黑体"/>
                <w:sz w:val="16"/>
              </w:rPr>
            </w:pPr>
          </w:p>
          <w:p>
            <w:pPr>
              <w:pStyle w:val="TableParagraph"/>
              <w:spacing w:line="237" w:lineRule="auto" w:before="1"/>
              <w:ind w:left="474" w:right="28" w:hanging="372"/>
              <w:rPr>
                <w:sz w:val="20"/>
              </w:rPr>
            </w:pPr>
            <w:r>
              <w:rPr>
                <w:sz w:val="20"/>
              </w:rPr>
              <w:t>冠蔡路（尚村至牛市坝段）改造工程</w:t>
            </w:r>
          </w:p>
        </w:tc>
        <w:tc>
          <w:tcPr>
            <w:tcW w:w="1260" w:type="dxa"/>
          </w:tcPr>
          <w:p>
            <w:pPr>
              <w:pStyle w:val="TableParagraph"/>
              <w:spacing w:before="7"/>
              <w:rPr>
                <w:rFonts w:ascii="黑体"/>
                <w:sz w:val="26"/>
              </w:rPr>
            </w:pPr>
          </w:p>
          <w:p>
            <w:pPr>
              <w:pStyle w:val="TableParagraph"/>
              <w:spacing w:before="1"/>
              <w:ind w:left="154" w:right="155"/>
              <w:jc w:val="center"/>
              <w:rPr>
                <w:sz w:val="20"/>
              </w:rPr>
            </w:pPr>
            <w:r>
              <w:rPr>
                <w:sz w:val="20"/>
              </w:rPr>
              <w:t>2017</w:t>
            </w:r>
          </w:p>
        </w:tc>
        <w:tc>
          <w:tcPr>
            <w:tcW w:w="3240" w:type="dxa"/>
          </w:tcPr>
          <w:p>
            <w:pPr>
              <w:pStyle w:val="TableParagraph"/>
              <w:spacing w:before="7"/>
              <w:rPr>
                <w:rFonts w:ascii="黑体"/>
                <w:sz w:val="26"/>
              </w:rPr>
            </w:pPr>
          </w:p>
          <w:p>
            <w:pPr>
              <w:pStyle w:val="TableParagraph"/>
              <w:spacing w:before="1"/>
              <w:ind w:left="44" w:right="44"/>
              <w:jc w:val="center"/>
              <w:rPr>
                <w:sz w:val="20"/>
              </w:rPr>
            </w:pPr>
            <w:r>
              <w:rPr>
                <w:sz w:val="20"/>
              </w:rPr>
              <w:t>路面改造 5.2 公里</w:t>
            </w:r>
          </w:p>
        </w:tc>
        <w:tc>
          <w:tcPr>
            <w:tcW w:w="1440" w:type="dxa"/>
          </w:tcPr>
          <w:p>
            <w:pPr>
              <w:pStyle w:val="TableParagraph"/>
              <w:spacing w:before="7"/>
              <w:rPr>
                <w:rFonts w:ascii="黑体"/>
                <w:sz w:val="26"/>
              </w:rPr>
            </w:pPr>
          </w:p>
          <w:p>
            <w:pPr>
              <w:pStyle w:val="TableParagraph"/>
              <w:spacing w:before="1"/>
              <w:ind w:left="344" w:right="345"/>
              <w:jc w:val="center"/>
              <w:rPr>
                <w:sz w:val="20"/>
              </w:rPr>
            </w:pPr>
            <w:r>
              <w:rPr>
                <w:sz w:val="20"/>
              </w:rPr>
              <w:t>832</w:t>
            </w:r>
          </w:p>
        </w:tc>
        <w:tc>
          <w:tcPr>
            <w:tcW w:w="1253" w:type="dxa"/>
          </w:tcPr>
          <w:p>
            <w:pPr>
              <w:pStyle w:val="TableParagraph"/>
              <w:spacing w:before="7"/>
              <w:rPr>
                <w:rFonts w:ascii="黑体"/>
                <w:sz w:val="26"/>
              </w:rPr>
            </w:pPr>
          </w:p>
          <w:p>
            <w:pPr>
              <w:pStyle w:val="TableParagraph"/>
              <w:spacing w:before="1"/>
              <w:ind w:left="101" w:right="101"/>
              <w:jc w:val="center"/>
              <w:rPr>
                <w:sz w:val="20"/>
              </w:rPr>
            </w:pPr>
            <w:r>
              <w:rPr>
                <w:sz w:val="20"/>
              </w:rPr>
              <w:t>交通运输局</w:t>
            </w:r>
          </w:p>
        </w:tc>
      </w:tr>
      <w:tr>
        <w:trPr>
          <w:trHeight w:val="1020" w:hRule="atLeast"/>
        </w:trPr>
        <w:tc>
          <w:tcPr>
            <w:tcW w:w="509" w:type="dxa"/>
          </w:tcPr>
          <w:p>
            <w:pPr>
              <w:pStyle w:val="TableParagraph"/>
              <w:spacing w:before="10"/>
              <w:rPr>
                <w:rFonts w:ascii="黑体"/>
                <w:sz w:val="25"/>
              </w:rPr>
            </w:pPr>
          </w:p>
          <w:p>
            <w:pPr>
              <w:pStyle w:val="TableParagraph"/>
              <w:ind w:left="124" w:right="124"/>
              <w:jc w:val="center"/>
              <w:rPr>
                <w:sz w:val="21"/>
              </w:rPr>
            </w:pPr>
            <w:r>
              <w:rPr>
                <w:sz w:val="21"/>
              </w:rPr>
              <w:t>13</w:t>
            </w:r>
          </w:p>
        </w:tc>
        <w:tc>
          <w:tcPr>
            <w:tcW w:w="2160" w:type="dxa"/>
          </w:tcPr>
          <w:p>
            <w:pPr>
              <w:pStyle w:val="TableParagraph"/>
              <w:spacing w:before="7"/>
              <w:rPr>
                <w:rFonts w:ascii="黑体"/>
                <w:sz w:val="26"/>
              </w:rPr>
            </w:pPr>
          </w:p>
          <w:p>
            <w:pPr>
              <w:pStyle w:val="TableParagraph"/>
              <w:spacing w:before="1"/>
              <w:ind w:left="43" w:right="43"/>
              <w:jc w:val="center"/>
              <w:rPr>
                <w:sz w:val="20"/>
              </w:rPr>
            </w:pPr>
            <w:r>
              <w:rPr>
                <w:sz w:val="20"/>
              </w:rPr>
              <w:t>鲝金路（灯塔-杏林）</w:t>
            </w:r>
          </w:p>
        </w:tc>
        <w:tc>
          <w:tcPr>
            <w:tcW w:w="1260" w:type="dxa"/>
          </w:tcPr>
          <w:p>
            <w:pPr>
              <w:pStyle w:val="TableParagraph"/>
              <w:spacing w:before="7"/>
              <w:rPr>
                <w:rFonts w:ascii="黑体"/>
                <w:sz w:val="26"/>
              </w:rPr>
            </w:pPr>
          </w:p>
          <w:p>
            <w:pPr>
              <w:pStyle w:val="TableParagraph"/>
              <w:spacing w:before="1"/>
              <w:ind w:left="154" w:right="154"/>
              <w:jc w:val="center"/>
              <w:rPr>
                <w:sz w:val="20"/>
              </w:rPr>
            </w:pPr>
            <w:r>
              <w:rPr>
                <w:sz w:val="20"/>
              </w:rPr>
              <w:t>2016</w:t>
            </w:r>
          </w:p>
        </w:tc>
        <w:tc>
          <w:tcPr>
            <w:tcW w:w="3240" w:type="dxa"/>
          </w:tcPr>
          <w:p>
            <w:pPr>
              <w:pStyle w:val="TableParagraph"/>
              <w:spacing w:before="7"/>
              <w:rPr>
                <w:rFonts w:ascii="黑体"/>
                <w:sz w:val="26"/>
              </w:rPr>
            </w:pPr>
          </w:p>
          <w:p>
            <w:pPr>
              <w:pStyle w:val="TableParagraph"/>
              <w:spacing w:before="1"/>
              <w:ind w:left="44" w:right="44"/>
              <w:jc w:val="center"/>
              <w:rPr>
                <w:sz w:val="20"/>
              </w:rPr>
            </w:pPr>
            <w:r>
              <w:rPr>
                <w:sz w:val="20"/>
              </w:rPr>
              <w:t>路面改造 4.1 公里</w:t>
            </w:r>
          </w:p>
        </w:tc>
        <w:tc>
          <w:tcPr>
            <w:tcW w:w="1440" w:type="dxa"/>
          </w:tcPr>
          <w:p>
            <w:pPr>
              <w:pStyle w:val="TableParagraph"/>
              <w:spacing w:before="7"/>
              <w:rPr>
                <w:rFonts w:ascii="黑体"/>
                <w:sz w:val="26"/>
              </w:rPr>
            </w:pPr>
          </w:p>
          <w:p>
            <w:pPr>
              <w:pStyle w:val="TableParagraph"/>
              <w:spacing w:before="1"/>
              <w:ind w:left="344" w:right="345"/>
              <w:jc w:val="center"/>
              <w:rPr>
                <w:sz w:val="20"/>
              </w:rPr>
            </w:pPr>
            <w:r>
              <w:rPr>
                <w:sz w:val="20"/>
              </w:rPr>
              <w:t>800</w:t>
            </w:r>
          </w:p>
        </w:tc>
        <w:tc>
          <w:tcPr>
            <w:tcW w:w="1253" w:type="dxa"/>
          </w:tcPr>
          <w:p>
            <w:pPr>
              <w:pStyle w:val="TableParagraph"/>
              <w:spacing w:before="7"/>
              <w:rPr>
                <w:rFonts w:ascii="黑体"/>
                <w:sz w:val="26"/>
              </w:rPr>
            </w:pPr>
          </w:p>
          <w:p>
            <w:pPr>
              <w:pStyle w:val="TableParagraph"/>
              <w:spacing w:before="1"/>
              <w:ind w:left="101" w:right="101"/>
              <w:jc w:val="center"/>
              <w:rPr>
                <w:sz w:val="20"/>
              </w:rPr>
            </w:pPr>
            <w:r>
              <w:rPr>
                <w:sz w:val="20"/>
              </w:rPr>
              <w:t>交通运输局</w:t>
            </w:r>
          </w:p>
        </w:tc>
      </w:tr>
    </w:tbl>
    <w:p>
      <w:pPr>
        <w:spacing w:after="0"/>
        <w:jc w:val="center"/>
        <w:rPr>
          <w:sz w:val="20"/>
        </w:rPr>
        <w:sectPr>
          <w:pgSz w:w="11910" w:h="16840"/>
          <w:pgMar w:header="0" w:footer="998" w:top="1400" w:bottom="1120" w:left="900" w:right="900"/>
        </w:sectPr>
      </w:pPr>
    </w:p>
    <w:tbl>
      <w:tblPr>
        <w:tblW w:w="0" w:type="auto"/>
        <w:jc w:val="left"/>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09"/>
        <w:gridCol w:w="2160"/>
        <w:gridCol w:w="1260"/>
        <w:gridCol w:w="3240"/>
        <w:gridCol w:w="1440"/>
        <w:gridCol w:w="1253"/>
      </w:tblGrid>
      <w:tr>
        <w:trPr>
          <w:trHeight w:val="1000" w:hRule="atLeast"/>
        </w:trPr>
        <w:tc>
          <w:tcPr>
            <w:tcW w:w="509" w:type="dxa"/>
          </w:tcPr>
          <w:p>
            <w:pPr>
              <w:pStyle w:val="TableParagraph"/>
              <w:spacing w:before="10"/>
              <w:rPr>
                <w:rFonts w:ascii="黑体"/>
                <w:sz w:val="25"/>
              </w:rPr>
            </w:pPr>
          </w:p>
          <w:p>
            <w:pPr>
              <w:pStyle w:val="TableParagraph"/>
              <w:ind w:left="124" w:right="124"/>
              <w:jc w:val="center"/>
              <w:rPr>
                <w:sz w:val="21"/>
              </w:rPr>
            </w:pPr>
            <w:r>
              <w:rPr>
                <w:sz w:val="21"/>
              </w:rPr>
              <w:t>14</w:t>
            </w:r>
          </w:p>
        </w:tc>
        <w:tc>
          <w:tcPr>
            <w:tcW w:w="2160" w:type="dxa"/>
          </w:tcPr>
          <w:p>
            <w:pPr>
              <w:pStyle w:val="TableParagraph"/>
              <w:spacing w:before="7"/>
              <w:rPr>
                <w:rFonts w:ascii="黑体"/>
                <w:sz w:val="26"/>
              </w:rPr>
            </w:pPr>
          </w:p>
          <w:p>
            <w:pPr>
              <w:pStyle w:val="TableParagraph"/>
              <w:spacing w:before="1"/>
              <w:ind w:left="42" w:right="43"/>
              <w:jc w:val="center"/>
              <w:rPr>
                <w:sz w:val="20"/>
              </w:rPr>
            </w:pPr>
            <w:r>
              <w:rPr>
                <w:sz w:val="20"/>
              </w:rPr>
              <w:t>辉桥路</w:t>
            </w:r>
          </w:p>
        </w:tc>
        <w:tc>
          <w:tcPr>
            <w:tcW w:w="1260" w:type="dxa"/>
          </w:tcPr>
          <w:p>
            <w:pPr>
              <w:pStyle w:val="TableParagraph"/>
              <w:spacing w:before="7"/>
              <w:rPr>
                <w:rFonts w:ascii="黑体"/>
                <w:sz w:val="26"/>
              </w:rPr>
            </w:pPr>
          </w:p>
          <w:p>
            <w:pPr>
              <w:pStyle w:val="TableParagraph"/>
              <w:spacing w:before="1"/>
              <w:ind w:left="154" w:right="154"/>
              <w:jc w:val="center"/>
              <w:rPr>
                <w:sz w:val="20"/>
              </w:rPr>
            </w:pPr>
            <w:r>
              <w:rPr>
                <w:sz w:val="20"/>
              </w:rPr>
              <w:t>2016</w:t>
            </w:r>
          </w:p>
        </w:tc>
        <w:tc>
          <w:tcPr>
            <w:tcW w:w="3240" w:type="dxa"/>
          </w:tcPr>
          <w:p>
            <w:pPr>
              <w:pStyle w:val="TableParagraph"/>
              <w:spacing w:before="7"/>
              <w:rPr>
                <w:rFonts w:ascii="黑体"/>
                <w:sz w:val="26"/>
              </w:rPr>
            </w:pPr>
          </w:p>
          <w:p>
            <w:pPr>
              <w:pStyle w:val="TableParagraph"/>
              <w:spacing w:before="1"/>
              <w:ind w:left="44" w:right="44"/>
              <w:jc w:val="center"/>
              <w:rPr>
                <w:sz w:val="20"/>
              </w:rPr>
            </w:pPr>
            <w:r>
              <w:rPr>
                <w:sz w:val="20"/>
              </w:rPr>
              <w:t>路面改造 9.2 公里</w:t>
            </w:r>
          </w:p>
        </w:tc>
        <w:tc>
          <w:tcPr>
            <w:tcW w:w="1440" w:type="dxa"/>
          </w:tcPr>
          <w:p>
            <w:pPr>
              <w:pStyle w:val="TableParagraph"/>
              <w:spacing w:before="7"/>
              <w:rPr>
                <w:rFonts w:ascii="黑体"/>
                <w:sz w:val="26"/>
              </w:rPr>
            </w:pPr>
          </w:p>
          <w:p>
            <w:pPr>
              <w:pStyle w:val="TableParagraph"/>
              <w:spacing w:before="1"/>
              <w:ind w:left="514"/>
              <w:rPr>
                <w:sz w:val="20"/>
              </w:rPr>
            </w:pPr>
            <w:r>
              <w:rPr>
                <w:sz w:val="20"/>
              </w:rPr>
              <w:t>2760</w:t>
            </w:r>
          </w:p>
        </w:tc>
        <w:tc>
          <w:tcPr>
            <w:tcW w:w="1253" w:type="dxa"/>
          </w:tcPr>
          <w:p>
            <w:pPr>
              <w:pStyle w:val="TableParagraph"/>
              <w:spacing w:before="7"/>
              <w:rPr>
                <w:rFonts w:ascii="黑体"/>
                <w:sz w:val="26"/>
              </w:rPr>
            </w:pPr>
          </w:p>
          <w:p>
            <w:pPr>
              <w:pStyle w:val="TableParagraph"/>
              <w:spacing w:before="1"/>
              <w:ind w:left="101" w:right="101"/>
              <w:jc w:val="center"/>
              <w:rPr>
                <w:sz w:val="20"/>
              </w:rPr>
            </w:pPr>
            <w:r>
              <w:rPr>
                <w:sz w:val="20"/>
              </w:rPr>
              <w:t>交通运输局</w:t>
            </w:r>
          </w:p>
        </w:tc>
      </w:tr>
      <w:tr>
        <w:trPr>
          <w:trHeight w:val="1020" w:hRule="atLeast"/>
        </w:trPr>
        <w:tc>
          <w:tcPr>
            <w:tcW w:w="509" w:type="dxa"/>
          </w:tcPr>
          <w:p>
            <w:pPr>
              <w:pStyle w:val="TableParagraph"/>
              <w:spacing w:before="10"/>
              <w:rPr>
                <w:rFonts w:ascii="黑体"/>
                <w:sz w:val="25"/>
              </w:rPr>
            </w:pPr>
          </w:p>
          <w:p>
            <w:pPr>
              <w:pStyle w:val="TableParagraph"/>
              <w:ind w:left="124" w:right="124"/>
              <w:jc w:val="center"/>
              <w:rPr>
                <w:sz w:val="21"/>
              </w:rPr>
            </w:pPr>
            <w:r>
              <w:rPr>
                <w:sz w:val="21"/>
              </w:rPr>
              <w:t>15</w:t>
            </w:r>
          </w:p>
        </w:tc>
        <w:tc>
          <w:tcPr>
            <w:tcW w:w="2160" w:type="dxa"/>
          </w:tcPr>
          <w:p>
            <w:pPr>
              <w:pStyle w:val="TableParagraph"/>
              <w:spacing w:before="7"/>
              <w:rPr>
                <w:rFonts w:ascii="黑体"/>
                <w:sz w:val="26"/>
              </w:rPr>
            </w:pPr>
          </w:p>
          <w:p>
            <w:pPr>
              <w:pStyle w:val="TableParagraph"/>
              <w:spacing w:before="1"/>
              <w:ind w:left="42" w:right="43"/>
              <w:jc w:val="center"/>
              <w:rPr>
                <w:sz w:val="20"/>
              </w:rPr>
            </w:pPr>
            <w:r>
              <w:rPr>
                <w:sz w:val="20"/>
              </w:rPr>
              <w:t>金寿路</w:t>
            </w:r>
          </w:p>
        </w:tc>
        <w:tc>
          <w:tcPr>
            <w:tcW w:w="1260" w:type="dxa"/>
          </w:tcPr>
          <w:p>
            <w:pPr>
              <w:pStyle w:val="TableParagraph"/>
              <w:spacing w:before="7"/>
              <w:rPr>
                <w:rFonts w:ascii="黑体"/>
                <w:sz w:val="26"/>
              </w:rPr>
            </w:pPr>
          </w:p>
          <w:p>
            <w:pPr>
              <w:pStyle w:val="TableParagraph"/>
              <w:spacing w:before="1"/>
              <w:ind w:left="154" w:right="154"/>
              <w:jc w:val="center"/>
              <w:rPr>
                <w:sz w:val="20"/>
              </w:rPr>
            </w:pPr>
            <w:r>
              <w:rPr>
                <w:sz w:val="20"/>
              </w:rPr>
              <w:t>2016</w:t>
            </w:r>
          </w:p>
        </w:tc>
        <w:tc>
          <w:tcPr>
            <w:tcW w:w="3240" w:type="dxa"/>
          </w:tcPr>
          <w:p>
            <w:pPr>
              <w:pStyle w:val="TableParagraph"/>
              <w:spacing w:before="7"/>
              <w:rPr>
                <w:rFonts w:ascii="黑体"/>
                <w:sz w:val="26"/>
              </w:rPr>
            </w:pPr>
          </w:p>
          <w:p>
            <w:pPr>
              <w:pStyle w:val="TableParagraph"/>
              <w:spacing w:before="1"/>
              <w:ind w:left="44" w:right="44"/>
              <w:jc w:val="center"/>
              <w:rPr>
                <w:sz w:val="20"/>
              </w:rPr>
            </w:pPr>
            <w:r>
              <w:rPr>
                <w:sz w:val="20"/>
              </w:rPr>
              <w:t>路面改造 9.1 公里</w:t>
            </w:r>
          </w:p>
        </w:tc>
        <w:tc>
          <w:tcPr>
            <w:tcW w:w="1440" w:type="dxa"/>
          </w:tcPr>
          <w:p>
            <w:pPr>
              <w:pStyle w:val="TableParagraph"/>
              <w:spacing w:before="7"/>
              <w:rPr>
                <w:rFonts w:ascii="黑体"/>
                <w:sz w:val="26"/>
              </w:rPr>
            </w:pPr>
          </w:p>
          <w:p>
            <w:pPr>
              <w:pStyle w:val="TableParagraph"/>
              <w:spacing w:before="1"/>
              <w:ind w:left="514"/>
              <w:rPr>
                <w:sz w:val="20"/>
              </w:rPr>
            </w:pPr>
            <w:r>
              <w:rPr>
                <w:sz w:val="20"/>
              </w:rPr>
              <w:t>2730</w:t>
            </w:r>
          </w:p>
        </w:tc>
        <w:tc>
          <w:tcPr>
            <w:tcW w:w="1253" w:type="dxa"/>
          </w:tcPr>
          <w:p>
            <w:pPr>
              <w:pStyle w:val="TableParagraph"/>
              <w:spacing w:before="7"/>
              <w:rPr>
                <w:rFonts w:ascii="黑体"/>
                <w:sz w:val="26"/>
              </w:rPr>
            </w:pPr>
          </w:p>
          <w:p>
            <w:pPr>
              <w:pStyle w:val="TableParagraph"/>
              <w:spacing w:before="1"/>
              <w:ind w:left="101" w:right="101"/>
              <w:jc w:val="center"/>
              <w:rPr>
                <w:sz w:val="20"/>
              </w:rPr>
            </w:pPr>
            <w:r>
              <w:rPr>
                <w:sz w:val="20"/>
              </w:rPr>
              <w:t>交通运输局</w:t>
            </w:r>
          </w:p>
        </w:tc>
      </w:tr>
      <w:tr>
        <w:trPr>
          <w:trHeight w:val="1000" w:hRule="atLeast"/>
        </w:trPr>
        <w:tc>
          <w:tcPr>
            <w:tcW w:w="509" w:type="dxa"/>
          </w:tcPr>
          <w:p>
            <w:pPr>
              <w:pStyle w:val="TableParagraph"/>
              <w:spacing w:before="10"/>
              <w:rPr>
                <w:rFonts w:ascii="黑体"/>
                <w:sz w:val="25"/>
              </w:rPr>
            </w:pPr>
          </w:p>
          <w:p>
            <w:pPr>
              <w:pStyle w:val="TableParagraph"/>
              <w:ind w:left="124" w:right="124"/>
              <w:jc w:val="center"/>
              <w:rPr>
                <w:sz w:val="21"/>
              </w:rPr>
            </w:pPr>
            <w:r>
              <w:rPr>
                <w:sz w:val="21"/>
              </w:rPr>
              <w:t>16</w:t>
            </w:r>
          </w:p>
        </w:tc>
        <w:tc>
          <w:tcPr>
            <w:tcW w:w="2160" w:type="dxa"/>
          </w:tcPr>
          <w:p>
            <w:pPr>
              <w:pStyle w:val="TableParagraph"/>
              <w:spacing w:before="7"/>
              <w:rPr>
                <w:rFonts w:ascii="黑体"/>
                <w:sz w:val="26"/>
              </w:rPr>
            </w:pPr>
          </w:p>
          <w:p>
            <w:pPr>
              <w:pStyle w:val="TableParagraph"/>
              <w:spacing w:before="1"/>
              <w:ind w:left="42" w:right="43"/>
              <w:jc w:val="center"/>
              <w:rPr>
                <w:sz w:val="20"/>
              </w:rPr>
            </w:pPr>
            <w:r>
              <w:rPr>
                <w:sz w:val="20"/>
              </w:rPr>
              <w:t>蔡踏路</w:t>
            </w:r>
          </w:p>
        </w:tc>
        <w:tc>
          <w:tcPr>
            <w:tcW w:w="1260" w:type="dxa"/>
          </w:tcPr>
          <w:p>
            <w:pPr>
              <w:pStyle w:val="TableParagraph"/>
              <w:spacing w:before="7"/>
              <w:rPr>
                <w:rFonts w:ascii="黑体"/>
                <w:sz w:val="26"/>
              </w:rPr>
            </w:pPr>
          </w:p>
          <w:p>
            <w:pPr>
              <w:pStyle w:val="TableParagraph"/>
              <w:spacing w:before="1"/>
              <w:ind w:left="154" w:right="155"/>
              <w:jc w:val="center"/>
              <w:rPr>
                <w:sz w:val="20"/>
              </w:rPr>
            </w:pPr>
            <w:r>
              <w:rPr>
                <w:sz w:val="20"/>
              </w:rPr>
              <w:t>2016</w:t>
            </w:r>
          </w:p>
        </w:tc>
        <w:tc>
          <w:tcPr>
            <w:tcW w:w="3240" w:type="dxa"/>
          </w:tcPr>
          <w:p>
            <w:pPr>
              <w:pStyle w:val="TableParagraph"/>
              <w:spacing w:before="7"/>
              <w:rPr>
                <w:rFonts w:ascii="黑体"/>
                <w:sz w:val="26"/>
              </w:rPr>
            </w:pPr>
          </w:p>
          <w:p>
            <w:pPr>
              <w:pStyle w:val="TableParagraph"/>
              <w:spacing w:before="1"/>
              <w:ind w:left="43" w:right="44"/>
              <w:jc w:val="center"/>
              <w:rPr>
                <w:sz w:val="20"/>
              </w:rPr>
            </w:pPr>
            <w:r>
              <w:rPr>
                <w:sz w:val="20"/>
              </w:rPr>
              <w:t>路面改造 7 公里</w:t>
            </w:r>
          </w:p>
        </w:tc>
        <w:tc>
          <w:tcPr>
            <w:tcW w:w="1440" w:type="dxa"/>
          </w:tcPr>
          <w:p>
            <w:pPr>
              <w:pStyle w:val="TableParagraph"/>
              <w:spacing w:before="7"/>
              <w:rPr>
                <w:rFonts w:ascii="黑体"/>
                <w:sz w:val="26"/>
              </w:rPr>
            </w:pPr>
          </w:p>
          <w:p>
            <w:pPr>
              <w:pStyle w:val="TableParagraph"/>
              <w:spacing w:before="1"/>
              <w:ind w:left="514"/>
              <w:rPr>
                <w:sz w:val="20"/>
              </w:rPr>
            </w:pPr>
            <w:r>
              <w:rPr>
                <w:sz w:val="20"/>
              </w:rPr>
              <w:t>2100</w:t>
            </w:r>
          </w:p>
        </w:tc>
        <w:tc>
          <w:tcPr>
            <w:tcW w:w="1253" w:type="dxa"/>
          </w:tcPr>
          <w:p>
            <w:pPr>
              <w:pStyle w:val="TableParagraph"/>
              <w:spacing w:before="7"/>
              <w:rPr>
                <w:rFonts w:ascii="黑体"/>
                <w:sz w:val="26"/>
              </w:rPr>
            </w:pPr>
          </w:p>
          <w:p>
            <w:pPr>
              <w:pStyle w:val="TableParagraph"/>
              <w:spacing w:before="1"/>
              <w:ind w:left="101" w:right="101"/>
              <w:jc w:val="center"/>
              <w:rPr>
                <w:sz w:val="20"/>
              </w:rPr>
            </w:pPr>
            <w:r>
              <w:rPr>
                <w:sz w:val="20"/>
              </w:rPr>
              <w:t>交通运输局</w:t>
            </w:r>
          </w:p>
        </w:tc>
      </w:tr>
      <w:tr>
        <w:trPr>
          <w:trHeight w:val="1000" w:hRule="atLeast"/>
        </w:trPr>
        <w:tc>
          <w:tcPr>
            <w:tcW w:w="509" w:type="dxa"/>
          </w:tcPr>
          <w:p>
            <w:pPr>
              <w:pStyle w:val="TableParagraph"/>
              <w:spacing w:before="10"/>
              <w:rPr>
                <w:rFonts w:ascii="黑体"/>
                <w:sz w:val="25"/>
              </w:rPr>
            </w:pPr>
          </w:p>
          <w:p>
            <w:pPr>
              <w:pStyle w:val="TableParagraph"/>
              <w:ind w:left="124" w:right="124"/>
              <w:jc w:val="center"/>
              <w:rPr>
                <w:sz w:val="21"/>
              </w:rPr>
            </w:pPr>
            <w:r>
              <w:rPr>
                <w:sz w:val="21"/>
              </w:rPr>
              <w:t>17</w:t>
            </w:r>
          </w:p>
        </w:tc>
        <w:tc>
          <w:tcPr>
            <w:tcW w:w="2160" w:type="dxa"/>
          </w:tcPr>
          <w:p>
            <w:pPr>
              <w:pStyle w:val="TableParagraph"/>
              <w:spacing w:before="7"/>
              <w:rPr>
                <w:rFonts w:ascii="黑体"/>
                <w:sz w:val="26"/>
              </w:rPr>
            </w:pPr>
          </w:p>
          <w:p>
            <w:pPr>
              <w:pStyle w:val="TableParagraph"/>
              <w:spacing w:before="1"/>
              <w:ind w:left="42" w:right="43"/>
              <w:jc w:val="center"/>
              <w:rPr>
                <w:sz w:val="20"/>
              </w:rPr>
            </w:pPr>
            <w:r>
              <w:rPr>
                <w:sz w:val="20"/>
              </w:rPr>
              <w:t>冠安路</w:t>
            </w:r>
          </w:p>
        </w:tc>
        <w:tc>
          <w:tcPr>
            <w:tcW w:w="1260" w:type="dxa"/>
          </w:tcPr>
          <w:p>
            <w:pPr>
              <w:pStyle w:val="TableParagraph"/>
              <w:spacing w:before="7"/>
              <w:rPr>
                <w:rFonts w:ascii="黑体"/>
                <w:sz w:val="26"/>
              </w:rPr>
            </w:pPr>
          </w:p>
          <w:p>
            <w:pPr>
              <w:pStyle w:val="TableParagraph"/>
              <w:spacing w:before="1"/>
              <w:ind w:left="154" w:right="154"/>
              <w:jc w:val="center"/>
              <w:rPr>
                <w:sz w:val="20"/>
              </w:rPr>
            </w:pPr>
            <w:r>
              <w:rPr>
                <w:sz w:val="20"/>
              </w:rPr>
              <w:t>2016</w:t>
            </w:r>
          </w:p>
        </w:tc>
        <w:tc>
          <w:tcPr>
            <w:tcW w:w="3240" w:type="dxa"/>
          </w:tcPr>
          <w:p>
            <w:pPr>
              <w:pStyle w:val="TableParagraph"/>
              <w:spacing w:before="7"/>
              <w:rPr>
                <w:rFonts w:ascii="黑体"/>
                <w:sz w:val="26"/>
              </w:rPr>
            </w:pPr>
          </w:p>
          <w:p>
            <w:pPr>
              <w:pStyle w:val="TableParagraph"/>
              <w:spacing w:before="1"/>
              <w:ind w:left="44" w:right="44"/>
              <w:jc w:val="center"/>
              <w:rPr>
                <w:sz w:val="20"/>
              </w:rPr>
            </w:pPr>
            <w:r>
              <w:rPr>
                <w:sz w:val="20"/>
              </w:rPr>
              <w:t>路面改造 6.6 公里</w:t>
            </w:r>
          </w:p>
        </w:tc>
        <w:tc>
          <w:tcPr>
            <w:tcW w:w="1440" w:type="dxa"/>
          </w:tcPr>
          <w:p>
            <w:pPr>
              <w:pStyle w:val="TableParagraph"/>
              <w:spacing w:before="7"/>
              <w:rPr>
                <w:rFonts w:ascii="黑体"/>
                <w:sz w:val="26"/>
              </w:rPr>
            </w:pPr>
          </w:p>
          <w:p>
            <w:pPr>
              <w:pStyle w:val="TableParagraph"/>
              <w:spacing w:before="1"/>
              <w:ind w:left="514"/>
              <w:rPr>
                <w:sz w:val="20"/>
              </w:rPr>
            </w:pPr>
            <w:r>
              <w:rPr>
                <w:sz w:val="20"/>
              </w:rPr>
              <w:t>1980</w:t>
            </w:r>
          </w:p>
        </w:tc>
        <w:tc>
          <w:tcPr>
            <w:tcW w:w="1253" w:type="dxa"/>
          </w:tcPr>
          <w:p>
            <w:pPr>
              <w:pStyle w:val="TableParagraph"/>
              <w:spacing w:before="7"/>
              <w:rPr>
                <w:rFonts w:ascii="黑体"/>
                <w:sz w:val="26"/>
              </w:rPr>
            </w:pPr>
          </w:p>
          <w:p>
            <w:pPr>
              <w:pStyle w:val="TableParagraph"/>
              <w:spacing w:before="1"/>
              <w:ind w:left="101" w:right="101"/>
              <w:jc w:val="center"/>
              <w:rPr>
                <w:sz w:val="20"/>
              </w:rPr>
            </w:pPr>
            <w:r>
              <w:rPr>
                <w:sz w:val="20"/>
              </w:rPr>
              <w:t>交通运输局</w:t>
            </w:r>
          </w:p>
        </w:tc>
      </w:tr>
      <w:tr>
        <w:trPr>
          <w:trHeight w:val="1300" w:hRule="atLeast"/>
        </w:trPr>
        <w:tc>
          <w:tcPr>
            <w:tcW w:w="509" w:type="dxa"/>
          </w:tcPr>
          <w:p>
            <w:pPr>
              <w:pStyle w:val="TableParagraph"/>
              <w:rPr>
                <w:rFonts w:ascii="黑体"/>
                <w:sz w:val="20"/>
              </w:rPr>
            </w:pPr>
          </w:p>
          <w:p>
            <w:pPr>
              <w:pStyle w:val="TableParagraph"/>
              <w:spacing w:before="13"/>
              <w:rPr>
                <w:rFonts w:ascii="黑体"/>
                <w:sz w:val="16"/>
              </w:rPr>
            </w:pPr>
          </w:p>
          <w:p>
            <w:pPr>
              <w:pStyle w:val="TableParagraph"/>
              <w:ind w:left="124" w:right="124"/>
              <w:jc w:val="center"/>
              <w:rPr>
                <w:sz w:val="21"/>
              </w:rPr>
            </w:pPr>
            <w:r>
              <w:rPr>
                <w:sz w:val="21"/>
              </w:rPr>
              <w:t>18</w:t>
            </w:r>
          </w:p>
        </w:tc>
        <w:tc>
          <w:tcPr>
            <w:tcW w:w="2160" w:type="dxa"/>
          </w:tcPr>
          <w:p>
            <w:pPr>
              <w:pStyle w:val="TableParagraph"/>
              <w:spacing w:before="1"/>
              <w:rPr>
                <w:rFonts w:ascii="黑体"/>
                <w:sz w:val="28"/>
              </w:rPr>
            </w:pPr>
          </w:p>
          <w:p>
            <w:pPr>
              <w:pStyle w:val="TableParagraph"/>
              <w:spacing w:line="237" w:lineRule="auto"/>
              <w:ind w:left="374" w:right="28" w:hanging="272"/>
              <w:rPr>
                <w:sz w:val="20"/>
              </w:rPr>
            </w:pPr>
            <w:r>
              <w:rPr>
                <w:sz w:val="20"/>
              </w:rPr>
              <w:t>西石路（凉水井至木匠沟）段改建工程</w:t>
            </w:r>
          </w:p>
        </w:tc>
        <w:tc>
          <w:tcPr>
            <w:tcW w:w="1260" w:type="dxa"/>
          </w:tcPr>
          <w:p>
            <w:pPr>
              <w:pStyle w:val="TableParagraph"/>
              <w:rPr>
                <w:rFonts w:ascii="黑体"/>
                <w:sz w:val="20"/>
              </w:rPr>
            </w:pPr>
          </w:p>
          <w:p>
            <w:pPr>
              <w:pStyle w:val="TableParagraph"/>
              <w:spacing w:before="10"/>
              <w:rPr>
                <w:rFonts w:ascii="黑体"/>
                <w:sz w:val="17"/>
              </w:rPr>
            </w:pPr>
          </w:p>
          <w:p>
            <w:pPr>
              <w:pStyle w:val="TableParagraph"/>
              <w:ind w:left="154" w:right="154"/>
              <w:jc w:val="center"/>
              <w:rPr>
                <w:sz w:val="20"/>
              </w:rPr>
            </w:pPr>
            <w:r>
              <w:rPr>
                <w:sz w:val="20"/>
              </w:rPr>
              <w:t>2017-2018</w:t>
            </w:r>
          </w:p>
        </w:tc>
        <w:tc>
          <w:tcPr>
            <w:tcW w:w="3240" w:type="dxa"/>
          </w:tcPr>
          <w:p>
            <w:pPr>
              <w:pStyle w:val="TableParagraph"/>
              <w:spacing w:line="260" w:lineRule="exact" w:before="104"/>
              <w:ind w:left="174"/>
              <w:rPr>
                <w:sz w:val="20"/>
              </w:rPr>
            </w:pPr>
            <w:r>
              <w:rPr>
                <w:spacing w:val="-15"/>
                <w:sz w:val="20"/>
              </w:rPr>
              <w:t>水泥混凝土路面 </w:t>
            </w:r>
            <w:r>
              <w:rPr>
                <w:spacing w:val="-4"/>
                <w:sz w:val="20"/>
              </w:rPr>
              <w:t>9.7</w:t>
            </w:r>
            <w:r>
              <w:rPr>
                <w:spacing w:val="-17"/>
                <w:sz w:val="20"/>
              </w:rPr>
              <w:t> 公里，路面宽</w:t>
            </w:r>
          </w:p>
          <w:p>
            <w:pPr>
              <w:pStyle w:val="TableParagraph"/>
              <w:ind w:left="102" w:right="71" w:firstLine="72"/>
              <w:rPr>
                <w:sz w:val="20"/>
              </w:rPr>
            </w:pPr>
            <w:r>
              <w:rPr>
                <w:spacing w:val="-4"/>
                <w:sz w:val="20"/>
              </w:rPr>
              <w:t>5.5</w:t>
            </w:r>
            <w:r>
              <w:rPr>
                <w:spacing w:val="-23"/>
                <w:sz w:val="20"/>
              </w:rPr>
              <w:t> 米，路基宽 </w:t>
            </w:r>
            <w:r>
              <w:rPr>
                <w:sz w:val="20"/>
              </w:rPr>
              <w:t>6</w:t>
            </w:r>
            <w:r>
              <w:rPr>
                <w:spacing w:val="-23"/>
                <w:sz w:val="20"/>
              </w:rPr>
              <w:t> 米；总投资 </w:t>
            </w:r>
            <w:r>
              <w:rPr>
                <w:spacing w:val="-5"/>
                <w:sz w:val="20"/>
              </w:rPr>
              <w:t>1164 </w:t>
            </w:r>
            <w:r>
              <w:rPr>
                <w:spacing w:val="-19"/>
                <w:sz w:val="20"/>
              </w:rPr>
              <w:t>万元，其中：省补助 </w:t>
            </w:r>
            <w:r>
              <w:rPr>
                <w:spacing w:val="-4"/>
                <w:sz w:val="20"/>
              </w:rPr>
              <w:t>388</w:t>
            </w:r>
            <w:r>
              <w:rPr>
                <w:spacing w:val="-20"/>
                <w:sz w:val="20"/>
              </w:rPr>
              <w:t> 万元，地方</w:t>
            </w:r>
          </w:p>
          <w:p>
            <w:pPr>
              <w:pStyle w:val="TableParagraph"/>
              <w:spacing w:line="259" w:lineRule="exact" w:before="2"/>
              <w:ind w:left="44" w:right="44"/>
              <w:jc w:val="center"/>
              <w:rPr>
                <w:sz w:val="20"/>
              </w:rPr>
            </w:pPr>
            <w:r>
              <w:rPr>
                <w:sz w:val="20"/>
              </w:rPr>
              <w:t>配套 776 万元。</w:t>
            </w:r>
          </w:p>
        </w:tc>
        <w:tc>
          <w:tcPr>
            <w:tcW w:w="1440" w:type="dxa"/>
          </w:tcPr>
          <w:p>
            <w:pPr>
              <w:pStyle w:val="TableParagraph"/>
              <w:rPr>
                <w:rFonts w:ascii="黑体"/>
                <w:sz w:val="20"/>
              </w:rPr>
            </w:pPr>
          </w:p>
          <w:p>
            <w:pPr>
              <w:pStyle w:val="TableParagraph"/>
              <w:spacing w:before="10"/>
              <w:rPr>
                <w:rFonts w:ascii="黑体"/>
                <w:sz w:val="17"/>
              </w:rPr>
            </w:pPr>
          </w:p>
          <w:p>
            <w:pPr>
              <w:pStyle w:val="TableParagraph"/>
              <w:ind w:left="514"/>
              <w:rPr>
                <w:sz w:val="20"/>
              </w:rPr>
            </w:pPr>
            <w:r>
              <w:rPr>
                <w:sz w:val="20"/>
              </w:rPr>
              <w:t>1164</w:t>
            </w:r>
          </w:p>
        </w:tc>
        <w:tc>
          <w:tcPr>
            <w:tcW w:w="1253" w:type="dxa"/>
          </w:tcPr>
          <w:p>
            <w:pPr>
              <w:pStyle w:val="TableParagraph"/>
              <w:rPr>
                <w:rFonts w:ascii="黑体"/>
                <w:sz w:val="20"/>
              </w:rPr>
            </w:pPr>
          </w:p>
          <w:p>
            <w:pPr>
              <w:pStyle w:val="TableParagraph"/>
              <w:spacing w:before="10"/>
              <w:rPr>
                <w:rFonts w:ascii="黑体"/>
                <w:sz w:val="17"/>
              </w:rPr>
            </w:pPr>
          </w:p>
          <w:p>
            <w:pPr>
              <w:pStyle w:val="TableParagraph"/>
              <w:ind w:left="101" w:right="101"/>
              <w:jc w:val="center"/>
              <w:rPr>
                <w:sz w:val="20"/>
              </w:rPr>
            </w:pPr>
            <w:r>
              <w:rPr>
                <w:sz w:val="20"/>
              </w:rPr>
              <w:t>交通运输局</w:t>
            </w:r>
          </w:p>
        </w:tc>
      </w:tr>
      <w:tr>
        <w:trPr>
          <w:trHeight w:val="1000" w:hRule="atLeast"/>
        </w:trPr>
        <w:tc>
          <w:tcPr>
            <w:tcW w:w="509" w:type="dxa"/>
          </w:tcPr>
          <w:p>
            <w:pPr>
              <w:pStyle w:val="TableParagraph"/>
              <w:spacing w:before="10"/>
              <w:rPr>
                <w:rFonts w:ascii="黑体"/>
                <w:sz w:val="25"/>
              </w:rPr>
            </w:pPr>
          </w:p>
          <w:p>
            <w:pPr>
              <w:pStyle w:val="TableParagraph"/>
              <w:ind w:left="124" w:right="124"/>
              <w:jc w:val="center"/>
              <w:rPr>
                <w:sz w:val="21"/>
              </w:rPr>
            </w:pPr>
            <w:r>
              <w:rPr>
                <w:sz w:val="21"/>
              </w:rPr>
              <w:t>19</w:t>
            </w:r>
          </w:p>
        </w:tc>
        <w:tc>
          <w:tcPr>
            <w:tcW w:w="2160" w:type="dxa"/>
          </w:tcPr>
          <w:p>
            <w:pPr>
              <w:pStyle w:val="TableParagraph"/>
              <w:spacing w:before="7"/>
              <w:rPr>
                <w:rFonts w:ascii="黑体"/>
                <w:sz w:val="26"/>
              </w:rPr>
            </w:pPr>
          </w:p>
          <w:p>
            <w:pPr>
              <w:pStyle w:val="TableParagraph"/>
              <w:spacing w:before="1"/>
              <w:ind w:left="43" w:right="43"/>
              <w:jc w:val="center"/>
              <w:rPr>
                <w:sz w:val="20"/>
              </w:rPr>
            </w:pPr>
            <w:r>
              <w:rPr>
                <w:sz w:val="20"/>
              </w:rPr>
              <w:t>2016 年乡村公路</w:t>
            </w:r>
          </w:p>
        </w:tc>
        <w:tc>
          <w:tcPr>
            <w:tcW w:w="1260" w:type="dxa"/>
          </w:tcPr>
          <w:p>
            <w:pPr>
              <w:pStyle w:val="TableParagraph"/>
              <w:spacing w:before="7"/>
              <w:rPr>
                <w:rFonts w:ascii="黑体"/>
                <w:sz w:val="26"/>
              </w:rPr>
            </w:pPr>
          </w:p>
          <w:p>
            <w:pPr>
              <w:pStyle w:val="TableParagraph"/>
              <w:spacing w:before="1"/>
              <w:ind w:left="154" w:right="155"/>
              <w:jc w:val="center"/>
              <w:rPr>
                <w:sz w:val="20"/>
              </w:rPr>
            </w:pPr>
            <w:r>
              <w:rPr>
                <w:sz w:val="20"/>
              </w:rPr>
              <w:t>2016</w:t>
            </w:r>
          </w:p>
        </w:tc>
        <w:tc>
          <w:tcPr>
            <w:tcW w:w="3240" w:type="dxa"/>
          </w:tcPr>
          <w:p>
            <w:pPr>
              <w:pStyle w:val="TableParagraph"/>
              <w:spacing w:before="7"/>
              <w:rPr>
                <w:rFonts w:ascii="黑体"/>
                <w:sz w:val="26"/>
              </w:rPr>
            </w:pPr>
          </w:p>
          <w:p>
            <w:pPr>
              <w:pStyle w:val="TableParagraph"/>
              <w:spacing w:before="1"/>
              <w:ind w:left="263"/>
              <w:rPr>
                <w:sz w:val="20"/>
              </w:rPr>
            </w:pPr>
            <w:r>
              <w:rPr>
                <w:sz w:val="20"/>
              </w:rPr>
              <w:t>98.066 公里长水泥路（45 条）</w:t>
            </w:r>
          </w:p>
        </w:tc>
        <w:tc>
          <w:tcPr>
            <w:tcW w:w="1440" w:type="dxa"/>
          </w:tcPr>
          <w:p>
            <w:pPr>
              <w:pStyle w:val="TableParagraph"/>
              <w:spacing w:before="7"/>
              <w:rPr>
                <w:rFonts w:ascii="黑体"/>
                <w:sz w:val="26"/>
              </w:rPr>
            </w:pPr>
          </w:p>
          <w:p>
            <w:pPr>
              <w:pStyle w:val="TableParagraph"/>
              <w:spacing w:before="1"/>
              <w:ind w:left="514"/>
              <w:rPr>
                <w:sz w:val="20"/>
              </w:rPr>
            </w:pPr>
            <w:r>
              <w:rPr>
                <w:sz w:val="20"/>
              </w:rPr>
              <w:t>4800</w:t>
            </w:r>
          </w:p>
        </w:tc>
        <w:tc>
          <w:tcPr>
            <w:tcW w:w="1253" w:type="dxa"/>
          </w:tcPr>
          <w:p>
            <w:pPr>
              <w:pStyle w:val="TableParagraph"/>
              <w:spacing w:before="7"/>
              <w:rPr>
                <w:rFonts w:ascii="黑体"/>
                <w:sz w:val="26"/>
              </w:rPr>
            </w:pPr>
          </w:p>
          <w:p>
            <w:pPr>
              <w:pStyle w:val="TableParagraph"/>
              <w:spacing w:before="1"/>
              <w:ind w:left="101" w:right="101"/>
              <w:jc w:val="center"/>
              <w:rPr>
                <w:sz w:val="20"/>
              </w:rPr>
            </w:pPr>
            <w:r>
              <w:rPr>
                <w:sz w:val="20"/>
              </w:rPr>
              <w:t>交通运输局</w:t>
            </w:r>
          </w:p>
        </w:tc>
      </w:tr>
      <w:tr>
        <w:trPr>
          <w:trHeight w:val="1020" w:hRule="atLeast"/>
        </w:trPr>
        <w:tc>
          <w:tcPr>
            <w:tcW w:w="509" w:type="dxa"/>
          </w:tcPr>
          <w:p>
            <w:pPr>
              <w:pStyle w:val="TableParagraph"/>
              <w:spacing w:before="10"/>
              <w:rPr>
                <w:rFonts w:ascii="黑体"/>
                <w:sz w:val="25"/>
              </w:rPr>
            </w:pPr>
          </w:p>
          <w:p>
            <w:pPr>
              <w:pStyle w:val="TableParagraph"/>
              <w:ind w:left="124" w:right="124"/>
              <w:jc w:val="center"/>
              <w:rPr>
                <w:sz w:val="21"/>
              </w:rPr>
            </w:pPr>
            <w:r>
              <w:rPr>
                <w:sz w:val="21"/>
              </w:rPr>
              <w:t>20</w:t>
            </w:r>
          </w:p>
        </w:tc>
        <w:tc>
          <w:tcPr>
            <w:tcW w:w="2160" w:type="dxa"/>
          </w:tcPr>
          <w:p>
            <w:pPr>
              <w:pStyle w:val="TableParagraph"/>
              <w:spacing w:before="7"/>
              <w:rPr>
                <w:rFonts w:ascii="黑体"/>
                <w:sz w:val="26"/>
              </w:rPr>
            </w:pPr>
          </w:p>
          <w:p>
            <w:pPr>
              <w:pStyle w:val="TableParagraph"/>
              <w:spacing w:before="1"/>
              <w:ind w:left="43" w:right="43"/>
              <w:jc w:val="center"/>
              <w:rPr>
                <w:sz w:val="20"/>
              </w:rPr>
            </w:pPr>
            <w:r>
              <w:rPr>
                <w:sz w:val="20"/>
              </w:rPr>
              <w:t>2017 年乡村公路</w:t>
            </w:r>
          </w:p>
        </w:tc>
        <w:tc>
          <w:tcPr>
            <w:tcW w:w="1260" w:type="dxa"/>
          </w:tcPr>
          <w:p>
            <w:pPr>
              <w:pStyle w:val="TableParagraph"/>
              <w:spacing w:before="7"/>
              <w:rPr>
                <w:rFonts w:ascii="黑体"/>
                <w:sz w:val="26"/>
              </w:rPr>
            </w:pPr>
          </w:p>
          <w:p>
            <w:pPr>
              <w:pStyle w:val="TableParagraph"/>
              <w:spacing w:before="1"/>
              <w:ind w:left="154" w:right="155"/>
              <w:jc w:val="center"/>
              <w:rPr>
                <w:sz w:val="20"/>
              </w:rPr>
            </w:pPr>
            <w:r>
              <w:rPr>
                <w:sz w:val="20"/>
              </w:rPr>
              <w:t>2017</w:t>
            </w:r>
          </w:p>
        </w:tc>
        <w:tc>
          <w:tcPr>
            <w:tcW w:w="3240" w:type="dxa"/>
          </w:tcPr>
          <w:p>
            <w:pPr>
              <w:pStyle w:val="TableParagraph"/>
              <w:spacing w:before="7"/>
              <w:rPr>
                <w:rFonts w:ascii="黑体"/>
                <w:sz w:val="26"/>
              </w:rPr>
            </w:pPr>
          </w:p>
          <w:p>
            <w:pPr>
              <w:pStyle w:val="TableParagraph"/>
              <w:spacing w:before="1"/>
              <w:ind w:left="43" w:right="44"/>
              <w:jc w:val="center"/>
              <w:rPr>
                <w:sz w:val="20"/>
              </w:rPr>
            </w:pPr>
            <w:r>
              <w:rPr>
                <w:sz w:val="20"/>
              </w:rPr>
              <w:t>82.736 公里长水泥路（38 条）</w:t>
            </w:r>
          </w:p>
        </w:tc>
        <w:tc>
          <w:tcPr>
            <w:tcW w:w="1440" w:type="dxa"/>
          </w:tcPr>
          <w:p>
            <w:pPr>
              <w:pStyle w:val="TableParagraph"/>
              <w:spacing w:before="7"/>
              <w:rPr>
                <w:rFonts w:ascii="黑体"/>
                <w:sz w:val="26"/>
              </w:rPr>
            </w:pPr>
          </w:p>
          <w:p>
            <w:pPr>
              <w:pStyle w:val="TableParagraph"/>
              <w:spacing w:before="1"/>
              <w:ind w:left="514"/>
              <w:rPr>
                <w:sz w:val="20"/>
              </w:rPr>
            </w:pPr>
            <w:r>
              <w:rPr>
                <w:sz w:val="20"/>
              </w:rPr>
              <w:t>3980</w:t>
            </w:r>
          </w:p>
        </w:tc>
        <w:tc>
          <w:tcPr>
            <w:tcW w:w="1253" w:type="dxa"/>
          </w:tcPr>
          <w:p>
            <w:pPr>
              <w:pStyle w:val="TableParagraph"/>
              <w:spacing w:before="7"/>
              <w:rPr>
                <w:rFonts w:ascii="黑体"/>
                <w:sz w:val="26"/>
              </w:rPr>
            </w:pPr>
          </w:p>
          <w:p>
            <w:pPr>
              <w:pStyle w:val="TableParagraph"/>
              <w:spacing w:before="1"/>
              <w:ind w:left="101" w:right="101"/>
              <w:jc w:val="center"/>
              <w:rPr>
                <w:sz w:val="20"/>
              </w:rPr>
            </w:pPr>
            <w:r>
              <w:rPr>
                <w:sz w:val="20"/>
              </w:rPr>
              <w:t>交通运输局</w:t>
            </w:r>
          </w:p>
        </w:tc>
      </w:tr>
      <w:tr>
        <w:trPr>
          <w:trHeight w:val="1000" w:hRule="atLeast"/>
        </w:trPr>
        <w:tc>
          <w:tcPr>
            <w:tcW w:w="509" w:type="dxa"/>
          </w:tcPr>
          <w:p>
            <w:pPr>
              <w:pStyle w:val="TableParagraph"/>
              <w:spacing w:before="10"/>
              <w:rPr>
                <w:rFonts w:ascii="黑体"/>
                <w:sz w:val="25"/>
              </w:rPr>
            </w:pPr>
          </w:p>
          <w:p>
            <w:pPr>
              <w:pStyle w:val="TableParagraph"/>
              <w:ind w:left="124" w:right="124"/>
              <w:jc w:val="center"/>
              <w:rPr>
                <w:sz w:val="21"/>
              </w:rPr>
            </w:pPr>
            <w:r>
              <w:rPr>
                <w:sz w:val="21"/>
              </w:rPr>
              <w:t>21</w:t>
            </w:r>
          </w:p>
        </w:tc>
        <w:tc>
          <w:tcPr>
            <w:tcW w:w="2160" w:type="dxa"/>
          </w:tcPr>
          <w:p>
            <w:pPr>
              <w:pStyle w:val="TableParagraph"/>
              <w:spacing w:before="7"/>
              <w:rPr>
                <w:rFonts w:ascii="黑体"/>
                <w:sz w:val="26"/>
              </w:rPr>
            </w:pPr>
          </w:p>
          <w:p>
            <w:pPr>
              <w:pStyle w:val="TableParagraph"/>
              <w:spacing w:before="1"/>
              <w:ind w:left="43" w:right="43"/>
              <w:jc w:val="center"/>
              <w:rPr>
                <w:sz w:val="20"/>
              </w:rPr>
            </w:pPr>
            <w:r>
              <w:rPr>
                <w:sz w:val="20"/>
              </w:rPr>
              <w:t>2018 年乡村公路</w:t>
            </w:r>
          </w:p>
        </w:tc>
        <w:tc>
          <w:tcPr>
            <w:tcW w:w="1260" w:type="dxa"/>
          </w:tcPr>
          <w:p>
            <w:pPr>
              <w:pStyle w:val="TableParagraph"/>
              <w:spacing w:before="7"/>
              <w:rPr>
                <w:rFonts w:ascii="黑体"/>
                <w:sz w:val="26"/>
              </w:rPr>
            </w:pPr>
          </w:p>
          <w:p>
            <w:pPr>
              <w:pStyle w:val="TableParagraph"/>
              <w:spacing w:before="1"/>
              <w:ind w:left="154" w:right="155"/>
              <w:jc w:val="center"/>
              <w:rPr>
                <w:sz w:val="20"/>
              </w:rPr>
            </w:pPr>
            <w:r>
              <w:rPr>
                <w:sz w:val="20"/>
              </w:rPr>
              <w:t>2018</w:t>
            </w:r>
          </w:p>
        </w:tc>
        <w:tc>
          <w:tcPr>
            <w:tcW w:w="3240" w:type="dxa"/>
          </w:tcPr>
          <w:p>
            <w:pPr>
              <w:pStyle w:val="TableParagraph"/>
              <w:spacing w:before="7"/>
              <w:rPr>
                <w:rFonts w:ascii="黑体"/>
                <w:sz w:val="26"/>
              </w:rPr>
            </w:pPr>
          </w:p>
          <w:p>
            <w:pPr>
              <w:pStyle w:val="TableParagraph"/>
              <w:spacing w:before="1"/>
              <w:ind w:left="43" w:right="44"/>
              <w:jc w:val="center"/>
              <w:rPr>
                <w:sz w:val="20"/>
              </w:rPr>
            </w:pPr>
            <w:r>
              <w:rPr>
                <w:sz w:val="20"/>
              </w:rPr>
              <w:t>38.764 公里长水泥路（20 条）</w:t>
            </w:r>
          </w:p>
        </w:tc>
        <w:tc>
          <w:tcPr>
            <w:tcW w:w="1440" w:type="dxa"/>
          </w:tcPr>
          <w:p>
            <w:pPr>
              <w:pStyle w:val="TableParagraph"/>
              <w:spacing w:before="7"/>
              <w:rPr>
                <w:rFonts w:ascii="黑体"/>
                <w:sz w:val="26"/>
              </w:rPr>
            </w:pPr>
          </w:p>
          <w:p>
            <w:pPr>
              <w:pStyle w:val="TableParagraph"/>
              <w:spacing w:before="1"/>
              <w:ind w:left="514"/>
              <w:rPr>
                <w:sz w:val="20"/>
              </w:rPr>
            </w:pPr>
            <w:r>
              <w:rPr>
                <w:sz w:val="20"/>
              </w:rPr>
              <w:t>1938</w:t>
            </w:r>
          </w:p>
        </w:tc>
        <w:tc>
          <w:tcPr>
            <w:tcW w:w="1253" w:type="dxa"/>
          </w:tcPr>
          <w:p>
            <w:pPr>
              <w:pStyle w:val="TableParagraph"/>
              <w:spacing w:before="7"/>
              <w:rPr>
                <w:rFonts w:ascii="黑体"/>
                <w:sz w:val="26"/>
              </w:rPr>
            </w:pPr>
          </w:p>
          <w:p>
            <w:pPr>
              <w:pStyle w:val="TableParagraph"/>
              <w:spacing w:before="1"/>
              <w:ind w:left="101" w:right="101"/>
              <w:jc w:val="center"/>
              <w:rPr>
                <w:sz w:val="20"/>
              </w:rPr>
            </w:pPr>
            <w:r>
              <w:rPr>
                <w:sz w:val="20"/>
              </w:rPr>
              <w:t>交通运输局</w:t>
            </w:r>
          </w:p>
        </w:tc>
      </w:tr>
      <w:tr>
        <w:trPr>
          <w:trHeight w:val="1000" w:hRule="atLeast"/>
        </w:trPr>
        <w:tc>
          <w:tcPr>
            <w:tcW w:w="509" w:type="dxa"/>
          </w:tcPr>
          <w:p>
            <w:pPr>
              <w:pStyle w:val="TableParagraph"/>
              <w:spacing w:before="10"/>
              <w:rPr>
                <w:rFonts w:ascii="黑体"/>
                <w:sz w:val="25"/>
              </w:rPr>
            </w:pPr>
          </w:p>
          <w:p>
            <w:pPr>
              <w:pStyle w:val="TableParagraph"/>
              <w:ind w:left="124" w:right="124"/>
              <w:jc w:val="center"/>
              <w:rPr>
                <w:sz w:val="21"/>
              </w:rPr>
            </w:pPr>
            <w:r>
              <w:rPr>
                <w:sz w:val="21"/>
              </w:rPr>
              <w:t>22</w:t>
            </w:r>
          </w:p>
        </w:tc>
        <w:tc>
          <w:tcPr>
            <w:tcW w:w="2160" w:type="dxa"/>
          </w:tcPr>
          <w:p>
            <w:pPr>
              <w:pStyle w:val="TableParagraph"/>
              <w:spacing w:before="7"/>
              <w:rPr>
                <w:rFonts w:ascii="黑体"/>
                <w:sz w:val="26"/>
              </w:rPr>
            </w:pPr>
          </w:p>
          <w:p>
            <w:pPr>
              <w:pStyle w:val="TableParagraph"/>
              <w:spacing w:before="1"/>
              <w:ind w:left="43" w:right="43"/>
              <w:jc w:val="center"/>
              <w:rPr>
                <w:sz w:val="20"/>
              </w:rPr>
            </w:pPr>
            <w:r>
              <w:rPr>
                <w:sz w:val="20"/>
              </w:rPr>
              <w:t>2019 年乡村公路</w:t>
            </w:r>
          </w:p>
        </w:tc>
        <w:tc>
          <w:tcPr>
            <w:tcW w:w="1260" w:type="dxa"/>
          </w:tcPr>
          <w:p>
            <w:pPr>
              <w:pStyle w:val="TableParagraph"/>
              <w:spacing w:before="7"/>
              <w:rPr>
                <w:rFonts w:ascii="黑体"/>
                <w:sz w:val="26"/>
              </w:rPr>
            </w:pPr>
          </w:p>
          <w:p>
            <w:pPr>
              <w:pStyle w:val="TableParagraph"/>
              <w:spacing w:before="1"/>
              <w:ind w:left="154" w:right="155"/>
              <w:jc w:val="center"/>
              <w:rPr>
                <w:sz w:val="20"/>
              </w:rPr>
            </w:pPr>
            <w:r>
              <w:rPr>
                <w:sz w:val="20"/>
              </w:rPr>
              <w:t>2019</w:t>
            </w:r>
          </w:p>
        </w:tc>
        <w:tc>
          <w:tcPr>
            <w:tcW w:w="3240" w:type="dxa"/>
          </w:tcPr>
          <w:p>
            <w:pPr>
              <w:pStyle w:val="TableParagraph"/>
              <w:spacing w:before="7"/>
              <w:rPr>
                <w:rFonts w:ascii="黑体"/>
                <w:sz w:val="26"/>
              </w:rPr>
            </w:pPr>
          </w:p>
          <w:p>
            <w:pPr>
              <w:pStyle w:val="TableParagraph"/>
              <w:spacing w:before="1"/>
              <w:ind w:left="263"/>
              <w:rPr>
                <w:sz w:val="20"/>
              </w:rPr>
            </w:pPr>
            <w:r>
              <w:rPr>
                <w:sz w:val="20"/>
              </w:rPr>
              <w:t>44.009 公里长水泥路（21 条）</w:t>
            </w:r>
          </w:p>
        </w:tc>
        <w:tc>
          <w:tcPr>
            <w:tcW w:w="1440" w:type="dxa"/>
          </w:tcPr>
          <w:p>
            <w:pPr>
              <w:pStyle w:val="TableParagraph"/>
              <w:spacing w:before="7"/>
              <w:rPr>
                <w:rFonts w:ascii="黑体"/>
                <w:sz w:val="26"/>
              </w:rPr>
            </w:pPr>
          </w:p>
          <w:p>
            <w:pPr>
              <w:pStyle w:val="TableParagraph"/>
              <w:spacing w:before="1"/>
              <w:ind w:left="514"/>
              <w:rPr>
                <w:sz w:val="20"/>
              </w:rPr>
            </w:pPr>
            <w:r>
              <w:rPr>
                <w:sz w:val="20"/>
              </w:rPr>
              <w:t>2200</w:t>
            </w:r>
          </w:p>
        </w:tc>
        <w:tc>
          <w:tcPr>
            <w:tcW w:w="1253" w:type="dxa"/>
          </w:tcPr>
          <w:p>
            <w:pPr>
              <w:pStyle w:val="TableParagraph"/>
              <w:spacing w:before="7"/>
              <w:rPr>
                <w:rFonts w:ascii="黑体"/>
                <w:sz w:val="26"/>
              </w:rPr>
            </w:pPr>
          </w:p>
          <w:p>
            <w:pPr>
              <w:pStyle w:val="TableParagraph"/>
              <w:spacing w:before="1"/>
              <w:ind w:left="101" w:right="101"/>
              <w:jc w:val="center"/>
              <w:rPr>
                <w:sz w:val="20"/>
              </w:rPr>
            </w:pPr>
            <w:r>
              <w:rPr>
                <w:sz w:val="20"/>
              </w:rPr>
              <w:t>交通运输局</w:t>
            </w:r>
          </w:p>
        </w:tc>
      </w:tr>
      <w:tr>
        <w:trPr>
          <w:trHeight w:val="1020" w:hRule="atLeast"/>
        </w:trPr>
        <w:tc>
          <w:tcPr>
            <w:tcW w:w="509" w:type="dxa"/>
          </w:tcPr>
          <w:p>
            <w:pPr>
              <w:pStyle w:val="TableParagraph"/>
              <w:spacing w:before="10"/>
              <w:rPr>
                <w:rFonts w:ascii="黑体"/>
                <w:sz w:val="25"/>
              </w:rPr>
            </w:pPr>
          </w:p>
          <w:p>
            <w:pPr>
              <w:pStyle w:val="TableParagraph"/>
              <w:ind w:left="124" w:right="124"/>
              <w:jc w:val="center"/>
              <w:rPr>
                <w:sz w:val="21"/>
              </w:rPr>
            </w:pPr>
            <w:r>
              <w:rPr>
                <w:sz w:val="21"/>
              </w:rPr>
              <w:t>23</w:t>
            </w:r>
          </w:p>
        </w:tc>
        <w:tc>
          <w:tcPr>
            <w:tcW w:w="2160" w:type="dxa"/>
          </w:tcPr>
          <w:p>
            <w:pPr>
              <w:pStyle w:val="TableParagraph"/>
              <w:spacing w:before="7"/>
              <w:rPr>
                <w:rFonts w:ascii="黑体"/>
                <w:sz w:val="26"/>
              </w:rPr>
            </w:pPr>
          </w:p>
          <w:p>
            <w:pPr>
              <w:pStyle w:val="TableParagraph"/>
              <w:spacing w:before="1"/>
              <w:ind w:left="43" w:right="43"/>
              <w:jc w:val="center"/>
              <w:rPr>
                <w:sz w:val="20"/>
              </w:rPr>
            </w:pPr>
            <w:r>
              <w:rPr>
                <w:sz w:val="20"/>
              </w:rPr>
              <w:t>2020 年乡村公路</w:t>
            </w:r>
          </w:p>
        </w:tc>
        <w:tc>
          <w:tcPr>
            <w:tcW w:w="1260" w:type="dxa"/>
          </w:tcPr>
          <w:p>
            <w:pPr>
              <w:pStyle w:val="TableParagraph"/>
              <w:spacing w:before="7"/>
              <w:rPr>
                <w:rFonts w:ascii="黑体"/>
                <w:sz w:val="26"/>
              </w:rPr>
            </w:pPr>
          </w:p>
          <w:p>
            <w:pPr>
              <w:pStyle w:val="TableParagraph"/>
              <w:spacing w:before="1"/>
              <w:ind w:left="154" w:right="155"/>
              <w:jc w:val="center"/>
              <w:rPr>
                <w:sz w:val="20"/>
              </w:rPr>
            </w:pPr>
            <w:r>
              <w:rPr>
                <w:sz w:val="20"/>
              </w:rPr>
              <w:t>2020</w:t>
            </w:r>
          </w:p>
        </w:tc>
        <w:tc>
          <w:tcPr>
            <w:tcW w:w="3240" w:type="dxa"/>
          </w:tcPr>
          <w:p>
            <w:pPr>
              <w:pStyle w:val="TableParagraph"/>
              <w:spacing w:before="7"/>
              <w:rPr>
                <w:rFonts w:ascii="黑体"/>
                <w:sz w:val="26"/>
              </w:rPr>
            </w:pPr>
          </w:p>
          <w:p>
            <w:pPr>
              <w:pStyle w:val="TableParagraph"/>
              <w:spacing w:before="1"/>
              <w:ind w:left="263"/>
              <w:rPr>
                <w:sz w:val="20"/>
              </w:rPr>
            </w:pPr>
            <w:r>
              <w:rPr>
                <w:sz w:val="20"/>
              </w:rPr>
              <w:t>47.091 公里长水泥路（25 条）</w:t>
            </w:r>
          </w:p>
        </w:tc>
        <w:tc>
          <w:tcPr>
            <w:tcW w:w="1440" w:type="dxa"/>
          </w:tcPr>
          <w:p>
            <w:pPr>
              <w:pStyle w:val="TableParagraph"/>
              <w:spacing w:before="7"/>
              <w:rPr>
                <w:rFonts w:ascii="黑体"/>
                <w:sz w:val="26"/>
              </w:rPr>
            </w:pPr>
          </w:p>
          <w:p>
            <w:pPr>
              <w:pStyle w:val="TableParagraph"/>
              <w:spacing w:before="1"/>
              <w:ind w:left="514"/>
              <w:rPr>
                <w:sz w:val="20"/>
              </w:rPr>
            </w:pPr>
            <w:r>
              <w:rPr>
                <w:sz w:val="20"/>
              </w:rPr>
              <w:t>2355</w:t>
            </w:r>
          </w:p>
        </w:tc>
        <w:tc>
          <w:tcPr>
            <w:tcW w:w="1253" w:type="dxa"/>
          </w:tcPr>
          <w:p>
            <w:pPr>
              <w:pStyle w:val="TableParagraph"/>
              <w:spacing w:before="7"/>
              <w:rPr>
                <w:rFonts w:ascii="黑体"/>
                <w:sz w:val="26"/>
              </w:rPr>
            </w:pPr>
          </w:p>
          <w:p>
            <w:pPr>
              <w:pStyle w:val="TableParagraph"/>
              <w:spacing w:before="1"/>
              <w:ind w:left="101" w:right="101"/>
              <w:jc w:val="center"/>
              <w:rPr>
                <w:sz w:val="20"/>
              </w:rPr>
            </w:pPr>
            <w:r>
              <w:rPr>
                <w:sz w:val="20"/>
              </w:rPr>
              <w:t>交通运输局</w:t>
            </w:r>
          </w:p>
        </w:tc>
      </w:tr>
      <w:tr>
        <w:trPr>
          <w:trHeight w:val="1000" w:hRule="atLeast"/>
        </w:trPr>
        <w:tc>
          <w:tcPr>
            <w:tcW w:w="509" w:type="dxa"/>
          </w:tcPr>
          <w:p>
            <w:pPr>
              <w:pStyle w:val="TableParagraph"/>
              <w:spacing w:before="10"/>
              <w:rPr>
                <w:rFonts w:ascii="黑体"/>
                <w:sz w:val="25"/>
              </w:rPr>
            </w:pPr>
          </w:p>
          <w:p>
            <w:pPr>
              <w:pStyle w:val="TableParagraph"/>
              <w:ind w:left="124" w:right="124"/>
              <w:jc w:val="center"/>
              <w:rPr>
                <w:sz w:val="21"/>
              </w:rPr>
            </w:pPr>
            <w:r>
              <w:rPr>
                <w:sz w:val="21"/>
              </w:rPr>
              <w:t>24</w:t>
            </w:r>
          </w:p>
        </w:tc>
        <w:tc>
          <w:tcPr>
            <w:tcW w:w="2160" w:type="dxa"/>
          </w:tcPr>
          <w:p>
            <w:pPr>
              <w:pStyle w:val="TableParagraph"/>
              <w:spacing w:before="11"/>
              <w:rPr>
                <w:rFonts w:ascii="黑体"/>
                <w:sz w:val="16"/>
              </w:rPr>
            </w:pPr>
          </w:p>
          <w:p>
            <w:pPr>
              <w:pStyle w:val="TableParagraph"/>
              <w:spacing w:line="237" w:lineRule="auto" w:before="1"/>
              <w:ind w:left="874" w:right="156" w:hanging="700"/>
              <w:rPr>
                <w:sz w:val="20"/>
              </w:rPr>
            </w:pPr>
            <w:r>
              <w:rPr>
                <w:sz w:val="20"/>
              </w:rPr>
              <w:t>五通桥区公路养护管理站</w:t>
            </w:r>
          </w:p>
        </w:tc>
        <w:tc>
          <w:tcPr>
            <w:tcW w:w="1260" w:type="dxa"/>
          </w:tcPr>
          <w:p>
            <w:pPr>
              <w:pStyle w:val="TableParagraph"/>
              <w:spacing w:before="7"/>
              <w:rPr>
                <w:rFonts w:ascii="黑体"/>
                <w:sz w:val="26"/>
              </w:rPr>
            </w:pPr>
          </w:p>
          <w:p>
            <w:pPr>
              <w:pStyle w:val="TableParagraph"/>
              <w:spacing w:before="1"/>
              <w:ind w:left="154" w:right="154"/>
              <w:jc w:val="center"/>
              <w:rPr>
                <w:sz w:val="20"/>
              </w:rPr>
            </w:pPr>
            <w:r>
              <w:rPr>
                <w:sz w:val="20"/>
              </w:rPr>
              <w:t>2016-2017</w:t>
            </w:r>
          </w:p>
        </w:tc>
        <w:tc>
          <w:tcPr>
            <w:tcW w:w="3240" w:type="dxa"/>
          </w:tcPr>
          <w:p>
            <w:pPr>
              <w:pStyle w:val="TableParagraph"/>
              <w:spacing w:before="7"/>
              <w:rPr>
                <w:rFonts w:ascii="黑体"/>
                <w:sz w:val="26"/>
              </w:rPr>
            </w:pPr>
          </w:p>
          <w:p>
            <w:pPr>
              <w:pStyle w:val="TableParagraph"/>
              <w:spacing w:before="1"/>
              <w:ind w:left="43" w:right="44"/>
              <w:jc w:val="center"/>
              <w:rPr>
                <w:sz w:val="20"/>
              </w:rPr>
            </w:pPr>
            <w:r>
              <w:rPr>
                <w:sz w:val="20"/>
              </w:rPr>
              <w:t>养护路段 57.5 公里</w:t>
            </w:r>
          </w:p>
        </w:tc>
        <w:tc>
          <w:tcPr>
            <w:tcW w:w="1440" w:type="dxa"/>
          </w:tcPr>
          <w:p>
            <w:pPr>
              <w:pStyle w:val="TableParagraph"/>
              <w:spacing w:before="7"/>
              <w:rPr>
                <w:rFonts w:ascii="黑体"/>
                <w:sz w:val="26"/>
              </w:rPr>
            </w:pPr>
          </w:p>
          <w:p>
            <w:pPr>
              <w:pStyle w:val="TableParagraph"/>
              <w:spacing w:before="1"/>
              <w:ind w:left="344" w:right="345"/>
              <w:jc w:val="center"/>
              <w:rPr>
                <w:sz w:val="20"/>
              </w:rPr>
            </w:pPr>
            <w:r>
              <w:rPr>
                <w:sz w:val="20"/>
              </w:rPr>
              <w:t>800</w:t>
            </w:r>
          </w:p>
        </w:tc>
        <w:tc>
          <w:tcPr>
            <w:tcW w:w="1253" w:type="dxa"/>
          </w:tcPr>
          <w:p>
            <w:pPr>
              <w:pStyle w:val="TableParagraph"/>
              <w:spacing w:before="7"/>
              <w:rPr>
                <w:rFonts w:ascii="黑体"/>
                <w:sz w:val="26"/>
              </w:rPr>
            </w:pPr>
          </w:p>
          <w:p>
            <w:pPr>
              <w:pStyle w:val="TableParagraph"/>
              <w:spacing w:before="1"/>
              <w:ind w:left="101" w:right="101"/>
              <w:jc w:val="center"/>
              <w:rPr>
                <w:sz w:val="20"/>
              </w:rPr>
            </w:pPr>
            <w:r>
              <w:rPr>
                <w:sz w:val="20"/>
              </w:rPr>
              <w:t>交通运输局</w:t>
            </w:r>
          </w:p>
        </w:tc>
      </w:tr>
      <w:tr>
        <w:trPr>
          <w:trHeight w:val="1000" w:hRule="atLeast"/>
        </w:trPr>
        <w:tc>
          <w:tcPr>
            <w:tcW w:w="509" w:type="dxa"/>
          </w:tcPr>
          <w:p>
            <w:pPr>
              <w:pStyle w:val="TableParagraph"/>
              <w:spacing w:before="10"/>
              <w:rPr>
                <w:rFonts w:ascii="黑体"/>
                <w:sz w:val="25"/>
              </w:rPr>
            </w:pPr>
          </w:p>
          <w:p>
            <w:pPr>
              <w:pStyle w:val="TableParagraph"/>
              <w:ind w:left="124" w:right="124"/>
              <w:jc w:val="center"/>
              <w:rPr>
                <w:sz w:val="21"/>
              </w:rPr>
            </w:pPr>
            <w:r>
              <w:rPr>
                <w:sz w:val="21"/>
              </w:rPr>
              <w:t>25</w:t>
            </w:r>
          </w:p>
        </w:tc>
        <w:tc>
          <w:tcPr>
            <w:tcW w:w="2160" w:type="dxa"/>
          </w:tcPr>
          <w:p>
            <w:pPr>
              <w:pStyle w:val="TableParagraph"/>
              <w:spacing w:before="7"/>
              <w:rPr>
                <w:rFonts w:ascii="黑体"/>
                <w:sz w:val="26"/>
              </w:rPr>
            </w:pPr>
          </w:p>
          <w:p>
            <w:pPr>
              <w:pStyle w:val="TableParagraph"/>
              <w:spacing w:before="1"/>
              <w:ind w:left="44" w:right="43"/>
              <w:jc w:val="center"/>
              <w:rPr>
                <w:sz w:val="20"/>
              </w:rPr>
            </w:pPr>
            <w:r>
              <w:rPr>
                <w:sz w:val="20"/>
              </w:rPr>
              <w:t>双漩坝渡改桥</w:t>
            </w:r>
          </w:p>
        </w:tc>
        <w:tc>
          <w:tcPr>
            <w:tcW w:w="1260" w:type="dxa"/>
          </w:tcPr>
          <w:p>
            <w:pPr>
              <w:pStyle w:val="TableParagraph"/>
              <w:spacing w:before="7"/>
              <w:rPr>
                <w:rFonts w:ascii="黑体"/>
                <w:sz w:val="26"/>
              </w:rPr>
            </w:pPr>
          </w:p>
          <w:p>
            <w:pPr>
              <w:pStyle w:val="TableParagraph"/>
              <w:spacing w:before="1"/>
              <w:ind w:left="154" w:right="154"/>
              <w:jc w:val="center"/>
              <w:rPr>
                <w:sz w:val="20"/>
              </w:rPr>
            </w:pPr>
            <w:r>
              <w:rPr>
                <w:sz w:val="20"/>
              </w:rPr>
              <w:t>2016-2018</w:t>
            </w:r>
          </w:p>
        </w:tc>
        <w:tc>
          <w:tcPr>
            <w:tcW w:w="3240" w:type="dxa"/>
          </w:tcPr>
          <w:p>
            <w:pPr>
              <w:pStyle w:val="TableParagraph"/>
              <w:spacing w:before="9"/>
              <w:rPr>
                <w:rFonts w:ascii="黑体"/>
                <w:sz w:val="16"/>
              </w:rPr>
            </w:pPr>
          </w:p>
          <w:p>
            <w:pPr>
              <w:pStyle w:val="TableParagraph"/>
              <w:spacing w:line="260" w:lineRule="exact"/>
              <w:ind w:left="114"/>
              <w:rPr>
                <w:sz w:val="20"/>
              </w:rPr>
            </w:pPr>
            <w:r>
              <w:rPr>
                <w:sz w:val="20"/>
              </w:rPr>
              <w:t>钢结构特大桥长 780 米，其中主桥</w:t>
            </w:r>
          </w:p>
          <w:p>
            <w:pPr>
              <w:pStyle w:val="TableParagraph"/>
              <w:spacing w:line="260" w:lineRule="exact"/>
              <w:ind w:left="102"/>
              <w:rPr>
                <w:sz w:val="20"/>
              </w:rPr>
            </w:pPr>
            <w:r>
              <w:rPr>
                <w:sz w:val="20"/>
              </w:rPr>
              <w:t>523</w:t>
            </w:r>
            <w:r>
              <w:rPr>
                <w:spacing w:val="-21"/>
                <w:sz w:val="20"/>
              </w:rPr>
              <w:t> 米，引桥 </w:t>
            </w:r>
            <w:r>
              <w:rPr>
                <w:sz w:val="20"/>
              </w:rPr>
              <w:t>257</w:t>
            </w:r>
            <w:r>
              <w:rPr>
                <w:spacing w:val="-21"/>
                <w:sz w:val="20"/>
              </w:rPr>
              <w:t> 米，桥宽 </w:t>
            </w:r>
            <w:r>
              <w:rPr>
                <w:sz w:val="20"/>
              </w:rPr>
              <w:t>13.5</w:t>
            </w:r>
            <w:r>
              <w:rPr>
                <w:spacing w:val="-25"/>
                <w:sz w:val="20"/>
              </w:rPr>
              <w:t> 米</w:t>
            </w:r>
          </w:p>
        </w:tc>
        <w:tc>
          <w:tcPr>
            <w:tcW w:w="1440" w:type="dxa"/>
          </w:tcPr>
          <w:p>
            <w:pPr>
              <w:pStyle w:val="TableParagraph"/>
              <w:spacing w:before="7"/>
              <w:rPr>
                <w:rFonts w:ascii="黑体"/>
                <w:sz w:val="26"/>
              </w:rPr>
            </w:pPr>
          </w:p>
          <w:p>
            <w:pPr>
              <w:pStyle w:val="TableParagraph"/>
              <w:spacing w:before="1"/>
              <w:ind w:left="464"/>
              <w:rPr>
                <w:sz w:val="20"/>
              </w:rPr>
            </w:pPr>
            <w:r>
              <w:rPr>
                <w:sz w:val="20"/>
              </w:rPr>
              <w:t>10909</w:t>
            </w:r>
          </w:p>
        </w:tc>
        <w:tc>
          <w:tcPr>
            <w:tcW w:w="1253" w:type="dxa"/>
          </w:tcPr>
          <w:p>
            <w:pPr>
              <w:pStyle w:val="TableParagraph"/>
              <w:spacing w:before="7"/>
              <w:rPr>
                <w:rFonts w:ascii="黑体"/>
                <w:sz w:val="26"/>
              </w:rPr>
            </w:pPr>
          </w:p>
          <w:p>
            <w:pPr>
              <w:pStyle w:val="TableParagraph"/>
              <w:spacing w:before="1"/>
              <w:ind w:left="101" w:right="101"/>
              <w:jc w:val="center"/>
              <w:rPr>
                <w:sz w:val="20"/>
              </w:rPr>
            </w:pPr>
            <w:r>
              <w:rPr>
                <w:sz w:val="20"/>
              </w:rPr>
              <w:t>交通运输局</w:t>
            </w:r>
          </w:p>
        </w:tc>
      </w:tr>
      <w:tr>
        <w:trPr>
          <w:trHeight w:val="1020" w:hRule="atLeast"/>
        </w:trPr>
        <w:tc>
          <w:tcPr>
            <w:tcW w:w="509" w:type="dxa"/>
          </w:tcPr>
          <w:p>
            <w:pPr>
              <w:pStyle w:val="TableParagraph"/>
              <w:spacing w:before="10"/>
              <w:rPr>
                <w:rFonts w:ascii="黑体"/>
                <w:sz w:val="25"/>
              </w:rPr>
            </w:pPr>
          </w:p>
          <w:p>
            <w:pPr>
              <w:pStyle w:val="TableParagraph"/>
              <w:ind w:left="124" w:right="124"/>
              <w:jc w:val="center"/>
              <w:rPr>
                <w:sz w:val="21"/>
              </w:rPr>
            </w:pPr>
            <w:r>
              <w:rPr>
                <w:sz w:val="21"/>
              </w:rPr>
              <w:t>26</w:t>
            </w:r>
          </w:p>
        </w:tc>
        <w:tc>
          <w:tcPr>
            <w:tcW w:w="2160" w:type="dxa"/>
          </w:tcPr>
          <w:p>
            <w:pPr>
              <w:pStyle w:val="TableParagraph"/>
              <w:spacing w:before="11"/>
              <w:rPr>
                <w:rFonts w:ascii="黑体"/>
                <w:sz w:val="16"/>
              </w:rPr>
            </w:pPr>
          </w:p>
          <w:p>
            <w:pPr>
              <w:pStyle w:val="TableParagraph"/>
              <w:spacing w:line="237" w:lineRule="auto" w:before="1"/>
              <w:ind w:left="874" w:right="156" w:hanging="700"/>
              <w:rPr>
                <w:sz w:val="20"/>
              </w:rPr>
            </w:pPr>
            <w:r>
              <w:rPr>
                <w:sz w:val="20"/>
              </w:rPr>
              <w:t>岷江航电东风岩枢纽工程</w:t>
            </w:r>
          </w:p>
        </w:tc>
        <w:tc>
          <w:tcPr>
            <w:tcW w:w="1260" w:type="dxa"/>
          </w:tcPr>
          <w:p>
            <w:pPr>
              <w:pStyle w:val="TableParagraph"/>
              <w:spacing w:before="7"/>
              <w:rPr>
                <w:rFonts w:ascii="黑体"/>
                <w:sz w:val="26"/>
              </w:rPr>
            </w:pPr>
          </w:p>
          <w:p>
            <w:pPr>
              <w:pStyle w:val="TableParagraph"/>
              <w:spacing w:before="1"/>
              <w:ind w:left="154" w:right="154"/>
              <w:jc w:val="center"/>
              <w:rPr>
                <w:sz w:val="20"/>
              </w:rPr>
            </w:pPr>
            <w:r>
              <w:rPr>
                <w:sz w:val="20"/>
              </w:rPr>
              <w:t>2017-2022</w:t>
            </w:r>
          </w:p>
        </w:tc>
        <w:tc>
          <w:tcPr>
            <w:tcW w:w="3240" w:type="dxa"/>
          </w:tcPr>
          <w:p>
            <w:pPr>
              <w:pStyle w:val="TableParagraph"/>
              <w:spacing w:before="7"/>
              <w:rPr>
                <w:rFonts w:ascii="黑体"/>
                <w:sz w:val="26"/>
              </w:rPr>
            </w:pPr>
          </w:p>
          <w:p>
            <w:pPr>
              <w:pStyle w:val="TableParagraph"/>
              <w:spacing w:before="1"/>
              <w:ind w:left="44" w:right="44"/>
              <w:jc w:val="center"/>
              <w:rPr>
                <w:sz w:val="20"/>
              </w:rPr>
            </w:pPr>
            <w:r>
              <w:rPr>
                <w:sz w:val="20"/>
              </w:rPr>
              <w:t>航电建设</w:t>
            </w:r>
          </w:p>
        </w:tc>
        <w:tc>
          <w:tcPr>
            <w:tcW w:w="1440" w:type="dxa"/>
          </w:tcPr>
          <w:p>
            <w:pPr>
              <w:pStyle w:val="TableParagraph"/>
              <w:spacing w:before="7"/>
              <w:rPr>
                <w:rFonts w:ascii="黑体"/>
                <w:sz w:val="26"/>
              </w:rPr>
            </w:pPr>
          </w:p>
          <w:p>
            <w:pPr>
              <w:pStyle w:val="TableParagraph"/>
              <w:spacing w:before="1"/>
              <w:ind w:left="413"/>
              <w:rPr>
                <w:sz w:val="20"/>
              </w:rPr>
            </w:pPr>
            <w:r>
              <w:rPr>
                <w:sz w:val="20"/>
              </w:rPr>
              <w:t>774000</w:t>
            </w:r>
          </w:p>
        </w:tc>
        <w:tc>
          <w:tcPr>
            <w:tcW w:w="1253" w:type="dxa"/>
          </w:tcPr>
          <w:p>
            <w:pPr>
              <w:pStyle w:val="TableParagraph"/>
              <w:spacing w:before="7"/>
              <w:rPr>
                <w:rFonts w:ascii="黑体"/>
                <w:sz w:val="26"/>
              </w:rPr>
            </w:pPr>
          </w:p>
          <w:p>
            <w:pPr>
              <w:pStyle w:val="TableParagraph"/>
              <w:spacing w:before="1"/>
              <w:ind w:left="101" w:right="101"/>
              <w:jc w:val="center"/>
              <w:rPr>
                <w:sz w:val="20"/>
              </w:rPr>
            </w:pPr>
            <w:r>
              <w:rPr>
                <w:sz w:val="20"/>
              </w:rPr>
              <w:t>交通运输局</w:t>
            </w:r>
          </w:p>
        </w:tc>
      </w:tr>
    </w:tbl>
    <w:p>
      <w:pPr>
        <w:spacing w:after="0"/>
        <w:jc w:val="center"/>
        <w:rPr>
          <w:sz w:val="20"/>
        </w:rPr>
        <w:sectPr>
          <w:pgSz w:w="11910" w:h="16840"/>
          <w:pgMar w:header="0" w:footer="938" w:top="1440" w:bottom="1120" w:left="900" w:right="900"/>
        </w:sectPr>
      </w:pPr>
    </w:p>
    <w:tbl>
      <w:tblPr>
        <w:tblW w:w="0" w:type="auto"/>
        <w:jc w:val="left"/>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09"/>
        <w:gridCol w:w="2160"/>
        <w:gridCol w:w="1260"/>
        <w:gridCol w:w="3240"/>
        <w:gridCol w:w="1440"/>
        <w:gridCol w:w="1253"/>
      </w:tblGrid>
      <w:tr>
        <w:trPr>
          <w:trHeight w:val="1000" w:hRule="atLeast"/>
        </w:trPr>
        <w:tc>
          <w:tcPr>
            <w:tcW w:w="509" w:type="dxa"/>
          </w:tcPr>
          <w:p>
            <w:pPr>
              <w:pStyle w:val="TableParagraph"/>
              <w:spacing w:before="10"/>
              <w:rPr>
                <w:rFonts w:ascii="黑体"/>
                <w:sz w:val="25"/>
              </w:rPr>
            </w:pPr>
          </w:p>
          <w:p>
            <w:pPr>
              <w:pStyle w:val="TableParagraph"/>
              <w:ind w:left="124" w:right="124"/>
              <w:jc w:val="center"/>
              <w:rPr>
                <w:sz w:val="21"/>
              </w:rPr>
            </w:pPr>
            <w:r>
              <w:rPr>
                <w:sz w:val="21"/>
              </w:rPr>
              <w:t>27</w:t>
            </w:r>
          </w:p>
        </w:tc>
        <w:tc>
          <w:tcPr>
            <w:tcW w:w="2160" w:type="dxa"/>
          </w:tcPr>
          <w:p>
            <w:pPr>
              <w:pStyle w:val="TableParagraph"/>
              <w:spacing w:before="11"/>
              <w:rPr>
                <w:rFonts w:ascii="黑体"/>
                <w:sz w:val="16"/>
              </w:rPr>
            </w:pPr>
          </w:p>
          <w:p>
            <w:pPr>
              <w:pStyle w:val="TableParagraph"/>
              <w:spacing w:line="237" w:lineRule="auto" w:before="1"/>
              <w:ind w:left="874" w:right="156" w:hanging="700"/>
              <w:rPr>
                <w:sz w:val="20"/>
              </w:rPr>
            </w:pPr>
            <w:r>
              <w:rPr>
                <w:sz w:val="20"/>
              </w:rPr>
              <w:t>岷江航电老木孔枢纽工程</w:t>
            </w:r>
          </w:p>
        </w:tc>
        <w:tc>
          <w:tcPr>
            <w:tcW w:w="1260" w:type="dxa"/>
          </w:tcPr>
          <w:p>
            <w:pPr>
              <w:pStyle w:val="TableParagraph"/>
              <w:spacing w:before="7"/>
              <w:rPr>
                <w:rFonts w:ascii="黑体"/>
                <w:sz w:val="26"/>
              </w:rPr>
            </w:pPr>
          </w:p>
          <w:p>
            <w:pPr>
              <w:pStyle w:val="TableParagraph"/>
              <w:spacing w:before="1"/>
              <w:ind w:left="154" w:right="154"/>
              <w:jc w:val="center"/>
              <w:rPr>
                <w:sz w:val="20"/>
              </w:rPr>
            </w:pPr>
            <w:r>
              <w:rPr>
                <w:sz w:val="20"/>
              </w:rPr>
              <w:t>2016-2021</w:t>
            </w:r>
          </w:p>
        </w:tc>
        <w:tc>
          <w:tcPr>
            <w:tcW w:w="3240" w:type="dxa"/>
          </w:tcPr>
          <w:p>
            <w:pPr>
              <w:pStyle w:val="TableParagraph"/>
              <w:spacing w:before="7"/>
              <w:rPr>
                <w:rFonts w:ascii="黑体"/>
                <w:sz w:val="26"/>
              </w:rPr>
            </w:pPr>
          </w:p>
          <w:p>
            <w:pPr>
              <w:pStyle w:val="TableParagraph"/>
              <w:spacing w:before="1"/>
              <w:ind w:left="44" w:right="44"/>
              <w:jc w:val="center"/>
              <w:rPr>
                <w:sz w:val="20"/>
              </w:rPr>
            </w:pPr>
            <w:r>
              <w:rPr>
                <w:sz w:val="20"/>
              </w:rPr>
              <w:t>航电建设</w:t>
            </w:r>
          </w:p>
        </w:tc>
        <w:tc>
          <w:tcPr>
            <w:tcW w:w="1440" w:type="dxa"/>
          </w:tcPr>
          <w:p>
            <w:pPr>
              <w:pStyle w:val="TableParagraph"/>
              <w:spacing w:before="7"/>
              <w:rPr>
                <w:rFonts w:ascii="黑体"/>
                <w:sz w:val="26"/>
              </w:rPr>
            </w:pPr>
          </w:p>
          <w:p>
            <w:pPr>
              <w:pStyle w:val="TableParagraph"/>
              <w:spacing w:before="1"/>
              <w:ind w:left="345" w:right="345"/>
              <w:jc w:val="center"/>
              <w:rPr>
                <w:sz w:val="20"/>
              </w:rPr>
            </w:pPr>
            <w:r>
              <w:rPr>
                <w:sz w:val="20"/>
              </w:rPr>
              <w:t>1107500</w:t>
            </w:r>
          </w:p>
        </w:tc>
        <w:tc>
          <w:tcPr>
            <w:tcW w:w="1253" w:type="dxa"/>
          </w:tcPr>
          <w:p>
            <w:pPr>
              <w:pStyle w:val="TableParagraph"/>
              <w:spacing w:before="7"/>
              <w:rPr>
                <w:rFonts w:ascii="黑体"/>
                <w:sz w:val="26"/>
              </w:rPr>
            </w:pPr>
          </w:p>
          <w:p>
            <w:pPr>
              <w:pStyle w:val="TableParagraph"/>
              <w:spacing w:before="1"/>
              <w:ind w:left="101" w:right="101"/>
              <w:jc w:val="center"/>
              <w:rPr>
                <w:sz w:val="20"/>
              </w:rPr>
            </w:pPr>
            <w:r>
              <w:rPr>
                <w:sz w:val="20"/>
              </w:rPr>
              <w:t>交通运输局</w:t>
            </w:r>
          </w:p>
        </w:tc>
      </w:tr>
      <w:tr>
        <w:trPr>
          <w:trHeight w:val="1020" w:hRule="atLeast"/>
        </w:trPr>
        <w:tc>
          <w:tcPr>
            <w:tcW w:w="509" w:type="dxa"/>
          </w:tcPr>
          <w:p>
            <w:pPr>
              <w:pStyle w:val="TableParagraph"/>
              <w:spacing w:before="10"/>
              <w:rPr>
                <w:rFonts w:ascii="黑体"/>
                <w:sz w:val="25"/>
              </w:rPr>
            </w:pPr>
          </w:p>
          <w:p>
            <w:pPr>
              <w:pStyle w:val="TableParagraph"/>
              <w:ind w:left="124" w:right="124"/>
              <w:jc w:val="center"/>
              <w:rPr>
                <w:sz w:val="21"/>
              </w:rPr>
            </w:pPr>
            <w:r>
              <w:rPr>
                <w:sz w:val="21"/>
              </w:rPr>
              <w:t>28</w:t>
            </w:r>
          </w:p>
        </w:tc>
        <w:tc>
          <w:tcPr>
            <w:tcW w:w="2160" w:type="dxa"/>
          </w:tcPr>
          <w:p>
            <w:pPr>
              <w:pStyle w:val="TableParagraph"/>
              <w:spacing w:before="9"/>
              <w:rPr>
                <w:rFonts w:ascii="黑体"/>
                <w:sz w:val="16"/>
              </w:rPr>
            </w:pPr>
          </w:p>
          <w:p>
            <w:pPr>
              <w:pStyle w:val="TableParagraph"/>
              <w:spacing w:line="260" w:lineRule="exact"/>
              <w:ind w:left="43" w:right="43"/>
              <w:jc w:val="center"/>
              <w:rPr>
                <w:sz w:val="20"/>
              </w:rPr>
            </w:pPr>
            <w:r>
              <w:rPr>
                <w:sz w:val="20"/>
              </w:rPr>
              <w:t>和邦一桥</w:t>
            </w:r>
          </w:p>
          <w:p>
            <w:pPr>
              <w:pStyle w:val="TableParagraph"/>
              <w:spacing w:line="260" w:lineRule="exact"/>
              <w:ind w:left="42" w:right="43"/>
              <w:jc w:val="center"/>
              <w:rPr>
                <w:sz w:val="20"/>
              </w:rPr>
            </w:pPr>
            <w:r>
              <w:rPr>
                <w:sz w:val="20"/>
              </w:rPr>
              <w:t>（汤家坝大桥）</w:t>
            </w:r>
          </w:p>
        </w:tc>
        <w:tc>
          <w:tcPr>
            <w:tcW w:w="1260" w:type="dxa"/>
          </w:tcPr>
          <w:p>
            <w:pPr>
              <w:pStyle w:val="TableParagraph"/>
              <w:spacing w:before="7"/>
              <w:rPr>
                <w:rFonts w:ascii="黑体"/>
                <w:sz w:val="26"/>
              </w:rPr>
            </w:pPr>
          </w:p>
          <w:p>
            <w:pPr>
              <w:pStyle w:val="TableParagraph"/>
              <w:spacing w:before="1"/>
              <w:ind w:left="154" w:right="154"/>
              <w:jc w:val="center"/>
              <w:rPr>
                <w:sz w:val="20"/>
              </w:rPr>
            </w:pPr>
            <w:r>
              <w:rPr>
                <w:sz w:val="20"/>
              </w:rPr>
              <w:t>2016-2017</w:t>
            </w:r>
          </w:p>
        </w:tc>
        <w:tc>
          <w:tcPr>
            <w:tcW w:w="3240" w:type="dxa"/>
          </w:tcPr>
          <w:p>
            <w:pPr>
              <w:pStyle w:val="TableParagraph"/>
              <w:spacing w:before="7"/>
              <w:rPr>
                <w:rFonts w:ascii="黑体"/>
                <w:sz w:val="26"/>
              </w:rPr>
            </w:pPr>
          </w:p>
          <w:p>
            <w:pPr>
              <w:pStyle w:val="TableParagraph"/>
              <w:spacing w:before="1"/>
              <w:ind w:left="44" w:right="44"/>
              <w:jc w:val="center"/>
              <w:rPr>
                <w:sz w:val="20"/>
              </w:rPr>
            </w:pPr>
            <w:r>
              <w:rPr>
                <w:sz w:val="20"/>
              </w:rPr>
              <w:t>桥长 200 余米,宽 16 米</w:t>
            </w:r>
          </w:p>
        </w:tc>
        <w:tc>
          <w:tcPr>
            <w:tcW w:w="1440" w:type="dxa"/>
          </w:tcPr>
          <w:p>
            <w:pPr>
              <w:pStyle w:val="TableParagraph"/>
              <w:spacing w:before="7"/>
              <w:rPr>
                <w:rFonts w:ascii="黑体"/>
                <w:sz w:val="26"/>
              </w:rPr>
            </w:pPr>
          </w:p>
          <w:p>
            <w:pPr>
              <w:pStyle w:val="TableParagraph"/>
              <w:spacing w:before="1"/>
              <w:ind w:left="344" w:right="345"/>
              <w:jc w:val="center"/>
              <w:rPr>
                <w:sz w:val="20"/>
              </w:rPr>
            </w:pPr>
            <w:r>
              <w:rPr>
                <w:sz w:val="20"/>
              </w:rPr>
              <w:t>1500</w:t>
            </w:r>
          </w:p>
        </w:tc>
        <w:tc>
          <w:tcPr>
            <w:tcW w:w="1253" w:type="dxa"/>
          </w:tcPr>
          <w:p>
            <w:pPr>
              <w:pStyle w:val="TableParagraph"/>
              <w:spacing w:before="7"/>
              <w:rPr>
                <w:rFonts w:ascii="黑体"/>
                <w:sz w:val="26"/>
              </w:rPr>
            </w:pPr>
          </w:p>
          <w:p>
            <w:pPr>
              <w:pStyle w:val="TableParagraph"/>
              <w:spacing w:before="1"/>
              <w:ind w:left="101" w:right="101"/>
              <w:jc w:val="center"/>
              <w:rPr>
                <w:sz w:val="20"/>
              </w:rPr>
            </w:pPr>
            <w:r>
              <w:rPr>
                <w:sz w:val="20"/>
              </w:rPr>
              <w:t>交通运输局</w:t>
            </w:r>
          </w:p>
        </w:tc>
      </w:tr>
      <w:tr>
        <w:trPr>
          <w:trHeight w:val="1000" w:hRule="atLeast"/>
        </w:trPr>
        <w:tc>
          <w:tcPr>
            <w:tcW w:w="509" w:type="dxa"/>
          </w:tcPr>
          <w:p>
            <w:pPr>
              <w:pStyle w:val="TableParagraph"/>
              <w:spacing w:before="10"/>
              <w:rPr>
                <w:rFonts w:ascii="黑体"/>
                <w:sz w:val="25"/>
              </w:rPr>
            </w:pPr>
          </w:p>
          <w:p>
            <w:pPr>
              <w:pStyle w:val="TableParagraph"/>
              <w:ind w:left="124" w:right="124"/>
              <w:jc w:val="center"/>
              <w:rPr>
                <w:sz w:val="21"/>
              </w:rPr>
            </w:pPr>
            <w:r>
              <w:rPr>
                <w:sz w:val="21"/>
              </w:rPr>
              <w:t>29</w:t>
            </w:r>
          </w:p>
        </w:tc>
        <w:tc>
          <w:tcPr>
            <w:tcW w:w="2160" w:type="dxa"/>
          </w:tcPr>
          <w:p>
            <w:pPr>
              <w:pStyle w:val="TableParagraph"/>
              <w:spacing w:before="9"/>
              <w:rPr>
                <w:rFonts w:ascii="黑体"/>
                <w:sz w:val="16"/>
              </w:rPr>
            </w:pPr>
          </w:p>
          <w:p>
            <w:pPr>
              <w:pStyle w:val="TableParagraph"/>
              <w:spacing w:line="260" w:lineRule="exact"/>
              <w:ind w:left="43" w:right="43"/>
              <w:jc w:val="center"/>
              <w:rPr>
                <w:sz w:val="20"/>
              </w:rPr>
            </w:pPr>
            <w:r>
              <w:rPr>
                <w:sz w:val="20"/>
              </w:rPr>
              <w:t>和邦二桥</w:t>
            </w:r>
          </w:p>
          <w:p>
            <w:pPr>
              <w:pStyle w:val="TableParagraph"/>
              <w:spacing w:line="260" w:lineRule="exact"/>
              <w:ind w:left="42" w:right="43"/>
              <w:jc w:val="center"/>
              <w:rPr>
                <w:sz w:val="20"/>
              </w:rPr>
            </w:pPr>
            <w:r>
              <w:rPr>
                <w:sz w:val="20"/>
              </w:rPr>
              <w:t>（沙板滩大桥）</w:t>
            </w:r>
          </w:p>
        </w:tc>
        <w:tc>
          <w:tcPr>
            <w:tcW w:w="1260" w:type="dxa"/>
          </w:tcPr>
          <w:p>
            <w:pPr>
              <w:pStyle w:val="TableParagraph"/>
              <w:spacing w:before="7"/>
              <w:rPr>
                <w:rFonts w:ascii="黑体"/>
                <w:sz w:val="26"/>
              </w:rPr>
            </w:pPr>
          </w:p>
          <w:p>
            <w:pPr>
              <w:pStyle w:val="TableParagraph"/>
              <w:spacing w:before="1"/>
              <w:ind w:left="154" w:right="155"/>
              <w:jc w:val="center"/>
              <w:rPr>
                <w:sz w:val="20"/>
              </w:rPr>
            </w:pPr>
            <w:r>
              <w:rPr>
                <w:sz w:val="20"/>
              </w:rPr>
              <w:t>2016-2017</w:t>
            </w:r>
          </w:p>
        </w:tc>
        <w:tc>
          <w:tcPr>
            <w:tcW w:w="3240" w:type="dxa"/>
          </w:tcPr>
          <w:p>
            <w:pPr>
              <w:pStyle w:val="TableParagraph"/>
              <w:spacing w:before="7"/>
              <w:rPr>
                <w:rFonts w:ascii="黑体"/>
                <w:sz w:val="26"/>
              </w:rPr>
            </w:pPr>
          </w:p>
          <w:p>
            <w:pPr>
              <w:pStyle w:val="TableParagraph"/>
              <w:spacing w:before="1"/>
              <w:ind w:left="44" w:right="44"/>
              <w:jc w:val="center"/>
              <w:rPr>
                <w:sz w:val="20"/>
              </w:rPr>
            </w:pPr>
            <w:r>
              <w:rPr>
                <w:sz w:val="20"/>
              </w:rPr>
              <w:t>桥长 200 余米，宽 9 米</w:t>
            </w:r>
          </w:p>
        </w:tc>
        <w:tc>
          <w:tcPr>
            <w:tcW w:w="1440" w:type="dxa"/>
          </w:tcPr>
          <w:p>
            <w:pPr>
              <w:pStyle w:val="TableParagraph"/>
              <w:spacing w:before="7"/>
              <w:rPr>
                <w:rFonts w:ascii="黑体"/>
                <w:sz w:val="26"/>
              </w:rPr>
            </w:pPr>
          </w:p>
          <w:p>
            <w:pPr>
              <w:pStyle w:val="TableParagraph"/>
              <w:spacing w:before="1"/>
              <w:ind w:left="345" w:right="345"/>
              <w:jc w:val="center"/>
              <w:rPr>
                <w:sz w:val="20"/>
              </w:rPr>
            </w:pPr>
            <w:r>
              <w:rPr>
                <w:sz w:val="20"/>
              </w:rPr>
              <w:t>970</w:t>
            </w:r>
          </w:p>
        </w:tc>
        <w:tc>
          <w:tcPr>
            <w:tcW w:w="1253" w:type="dxa"/>
          </w:tcPr>
          <w:p>
            <w:pPr>
              <w:pStyle w:val="TableParagraph"/>
              <w:spacing w:before="7"/>
              <w:rPr>
                <w:rFonts w:ascii="黑体"/>
                <w:sz w:val="26"/>
              </w:rPr>
            </w:pPr>
          </w:p>
          <w:p>
            <w:pPr>
              <w:pStyle w:val="TableParagraph"/>
              <w:spacing w:before="1"/>
              <w:ind w:left="101" w:right="101"/>
              <w:jc w:val="center"/>
              <w:rPr>
                <w:sz w:val="20"/>
              </w:rPr>
            </w:pPr>
            <w:r>
              <w:rPr>
                <w:sz w:val="20"/>
              </w:rPr>
              <w:t>交通运输局</w:t>
            </w:r>
          </w:p>
        </w:tc>
      </w:tr>
      <w:tr>
        <w:trPr>
          <w:trHeight w:val="1000" w:hRule="atLeast"/>
        </w:trPr>
        <w:tc>
          <w:tcPr>
            <w:tcW w:w="509" w:type="dxa"/>
          </w:tcPr>
          <w:p>
            <w:pPr>
              <w:pStyle w:val="TableParagraph"/>
              <w:spacing w:before="10"/>
              <w:rPr>
                <w:rFonts w:ascii="黑体"/>
                <w:sz w:val="25"/>
              </w:rPr>
            </w:pPr>
          </w:p>
          <w:p>
            <w:pPr>
              <w:pStyle w:val="TableParagraph"/>
              <w:ind w:left="124" w:right="124"/>
              <w:jc w:val="center"/>
              <w:rPr>
                <w:sz w:val="21"/>
              </w:rPr>
            </w:pPr>
            <w:r>
              <w:rPr>
                <w:sz w:val="21"/>
              </w:rPr>
              <w:t>30</w:t>
            </w:r>
          </w:p>
        </w:tc>
        <w:tc>
          <w:tcPr>
            <w:tcW w:w="2160" w:type="dxa"/>
          </w:tcPr>
          <w:p>
            <w:pPr>
              <w:pStyle w:val="TableParagraph"/>
              <w:spacing w:before="7"/>
              <w:rPr>
                <w:rFonts w:ascii="黑体"/>
                <w:sz w:val="26"/>
              </w:rPr>
            </w:pPr>
          </w:p>
          <w:p>
            <w:pPr>
              <w:pStyle w:val="TableParagraph"/>
              <w:spacing w:before="1"/>
              <w:ind w:right="422"/>
              <w:jc w:val="right"/>
              <w:rPr>
                <w:sz w:val="20"/>
              </w:rPr>
            </w:pPr>
            <w:r>
              <w:rPr>
                <w:sz w:val="20"/>
              </w:rPr>
              <w:t>机场进场大道</w:t>
            </w:r>
          </w:p>
        </w:tc>
        <w:tc>
          <w:tcPr>
            <w:tcW w:w="1260" w:type="dxa"/>
          </w:tcPr>
          <w:p>
            <w:pPr>
              <w:pStyle w:val="TableParagraph"/>
              <w:spacing w:before="7"/>
              <w:rPr>
                <w:rFonts w:ascii="黑体"/>
                <w:sz w:val="26"/>
              </w:rPr>
            </w:pPr>
          </w:p>
          <w:p>
            <w:pPr>
              <w:pStyle w:val="TableParagraph"/>
              <w:spacing w:before="1"/>
              <w:ind w:left="154" w:right="154"/>
              <w:jc w:val="center"/>
              <w:rPr>
                <w:sz w:val="20"/>
              </w:rPr>
            </w:pPr>
            <w:r>
              <w:rPr>
                <w:sz w:val="20"/>
              </w:rPr>
              <w:t>2016-2018</w:t>
            </w:r>
          </w:p>
        </w:tc>
        <w:tc>
          <w:tcPr>
            <w:tcW w:w="3240" w:type="dxa"/>
          </w:tcPr>
          <w:p>
            <w:pPr>
              <w:pStyle w:val="TableParagraph"/>
              <w:spacing w:line="260" w:lineRule="exact" w:before="89"/>
              <w:ind w:left="114"/>
              <w:rPr>
                <w:sz w:val="20"/>
              </w:rPr>
            </w:pPr>
            <w:r>
              <w:rPr>
                <w:sz w:val="20"/>
              </w:rPr>
              <w:t>路线长度约 6.3 公里，采用标准公</w:t>
            </w:r>
          </w:p>
          <w:p>
            <w:pPr>
              <w:pStyle w:val="TableParagraph"/>
              <w:spacing w:line="237" w:lineRule="auto" w:before="1"/>
              <w:ind w:left="1414" w:right="71" w:hanging="1275"/>
              <w:rPr>
                <w:sz w:val="20"/>
              </w:rPr>
            </w:pPr>
            <w:r>
              <w:rPr>
                <w:sz w:val="20"/>
              </w:rPr>
              <w:t>路一级，路基宽度 40 米，双向六车道</w:t>
            </w:r>
          </w:p>
        </w:tc>
        <w:tc>
          <w:tcPr>
            <w:tcW w:w="1440" w:type="dxa"/>
          </w:tcPr>
          <w:p>
            <w:pPr>
              <w:pStyle w:val="TableParagraph"/>
              <w:spacing w:before="7"/>
              <w:rPr>
                <w:rFonts w:ascii="黑体"/>
                <w:sz w:val="26"/>
              </w:rPr>
            </w:pPr>
          </w:p>
          <w:p>
            <w:pPr>
              <w:pStyle w:val="TableParagraph"/>
              <w:spacing w:before="1"/>
              <w:ind w:left="345" w:right="345"/>
              <w:jc w:val="center"/>
              <w:rPr>
                <w:sz w:val="20"/>
              </w:rPr>
            </w:pPr>
            <w:r>
              <w:rPr>
                <w:sz w:val="20"/>
              </w:rPr>
              <w:t>52200</w:t>
            </w:r>
          </w:p>
        </w:tc>
        <w:tc>
          <w:tcPr>
            <w:tcW w:w="1253" w:type="dxa"/>
          </w:tcPr>
          <w:p>
            <w:pPr>
              <w:pStyle w:val="TableParagraph"/>
              <w:spacing w:before="7"/>
              <w:rPr>
                <w:rFonts w:ascii="黑体"/>
                <w:sz w:val="26"/>
              </w:rPr>
            </w:pPr>
          </w:p>
          <w:p>
            <w:pPr>
              <w:pStyle w:val="TableParagraph"/>
              <w:spacing w:before="1"/>
              <w:ind w:left="101" w:right="101"/>
              <w:jc w:val="center"/>
              <w:rPr>
                <w:sz w:val="20"/>
              </w:rPr>
            </w:pPr>
            <w:r>
              <w:rPr>
                <w:sz w:val="20"/>
              </w:rPr>
              <w:t>交通运输局</w:t>
            </w:r>
          </w:p>
        </w:tc>
      </w:tr>
      <w:tr>
        <w:trPr>
          <w:trHeight w:val="1020" w:hRule="atLeast"/>
        </w:trPr>
        <w:tc>
          <w:tcPr>
            <w:tcW w:w="509" w:type="dxa"/>
          </w:tcPr>
          <w:p>
            <w:pPr>
              <w:pStyle w:val="TableParagraph"/>
              <w:spacing w:before="10"/>
              <w:rPr>
                <w:rFonts w:ascii="黑体"/>
                <w:sz w:val="25"/>
              </w:rPr>
            </w:pPr>
          </w:p>
          <w:p>
            <w:pPr>
              <w:pStyle w:val="TableParagraph"/>
              <w:ind w:left="124" w:right="124"/>
              <w:jc w:val="center"/>
              <w:rPr>
                <w:sz w:val="21"/>
              </w:rPr>
            </w:pPr>
            <w:r>
              <w:rPr>
                <w:sz w:val="21"/>
              </w:rPr>
              <w:t>31</w:t>
            </w:r>
          </w:p>
        </w:tc>
        <w:tc>
          <w:tcPr>
            <w:tcW w:w="2160" w:type="dxa"/>
          </w:tcPr>
          <w:p>
            <w:pPr>
              <w:pStyle w:val="TableParagraph"/>
              <w:spacing w:before="11"/>
              <w:rPr>
                <w:rFonts w:ascii="黑体"/>
                <w:sz w:val="16"/>
              </w:rPr>
            </w:pPr>
          </w:p>
          <w:p>
            <w:pPr>
              <w:pStyle w:val="TableParagraph"/>
              <w:spacing w:line="237" w:lineRule="auto" w:before="1"/>
              <w:ind w:left="773" w:right="156" w:hanging="599"/>
              <w:rPr>
                <w:sz w:val="20"/>
              </w:rPr>
            </w:pPr>
            <w:r>
              <w:rPr>
                <w:sz w:val="20"/>
              </w:rPr>
              <w:t>机场高速连接线及机场立交</w:t>
            </w:r>
          </w:p>
        </w:tc>
        <w:tc>
          <w:tcPr>
            <w:tcW w:w="1260" w:type="dxa"/>
          </w:tcPr>
          <w:p>
            <w:pPr>
              <w:pStyle w:val="TableParagraph"/>
              <w:spacing w:before="7"/>
              <w:rPr>
                <w:rFonts w:ascii="黑体"/>
                <w:sz w:val="26"/>
              </w:rPr>
            </w:pPr>
          </w:p>
          <w:p>
            <w:pPr>
              <w:pStyle w:val="TableParagraph"/>
              <w:spacing w:before="1"/>
              <w:ind w:left="154" w:right="154"/>
              <w:jc w:val="center"/>
              <w:rPr>
                <w:sz w:val="20"/>
              </w:rPr>
            </w:pPr>
            <w:r>
              <w:rPr>
                <w:sz w:val="20"/>
              </w:rPr>
              <w:t>2016-2020</w:t>
            </w:r>
          </w:p>
        </w:tc>
        <w:tc>
          <w:tcPr>
            <w:tcW w:w="3240" w:type="dxa"/>
          </w:tcPr>
          <w:p>
            <w:pPr>
              <w:pStyle w:val="TableParagraph"/>
              <w:spacing w:before="9"/>
              <w:rPr>
                <w:rFonts w:ascii="黑体"/>
                <w:sz w:val="16"/>
              </w:rPr>
            </w:pPr>
          </w:p>
          <w:p>
            <w:pPr>
              <w:pStyle w:val="TableParagraph"/>
              <w:spacing w:line="260" w:lineRule="exact"/>
              <w:ind w:left="114"/>
              <w:rPr>
                <w:sz w:val="20"/>
              </w:rPr>
            </w:pPr>
            <w:r>
              <w:rPr>
                <w:sz w:val="20"/>
              </w:rPr>
              <w:t>路线长 0.5 公里，采用标准公路一</w:t>
            </w:r>
          </w:p>
          <w:p>
            <w:pPr>
              <w:pStyle w:val="TableParagraph"/>
              <w:spacing w:line="260" w:lineRule="exact"/>
              <w:ind w:left="139"/>
              <w:rPr>
                <w:sz w:val="20"/>
              </w:rPr>
            </w:pPr>
            <w:r>
              <w:rPr>
                <w:sz w:val="20"/>
              </w:rPr>
              <w:t>级，路基宽度 40 米，双向六车道</w:t>
            </w:r>
          </w:p>
        </w:tc>
        <w:tc>
          <w:tcPr>
            <w:tcW w:w="1440" w:type="dxa"/>
          </w:tcPr>
          <w:p>
            <w:pPr>
              <w:pStyle w:val="TableParagraph"/>
              <w:spacing w:before="7"/>
              <w:rPr>
                <w:rFonts w:ascii="黑体"/>
                <w:sz w:val="26"/>
              </w:rPr>
            </w:pPr>
          </w:p>
          <w:p>
            <w:pPr>
              <w:pStyle w:val="TableParagraph"/>
              <w:spacing w:before="1"/>
              <w:ind w:left="345" w:right="345"/>
              <w:jc w:val="center"/>
              <w:rPr>
                <w:sz w:val="20"/>
              </w:rPr>
            </w:pPr>
            <w:r>
              <w:rPr>
                <w:sz w:val="20"/>
              </w:rPr>
              <w:t>44800</w:t>
            </w:r>
          </w:p>
        </w:tc>
        <w:tc>
          <w:tcPr>
            <w:tcW w:w="1253" w:type="dxa"/>
          </w:tcPr>
          <w:p>
            <w:pPr>
              <w:pStyle w:val="TableParagraph"/>
              <w:spacing w:before="7"/>
              <w:rPr>
                <w:rFonts w:ascii="黑体"/>
                <w:sz w:val="26"/>
              </w:rPr>
            </w:pPr>
          </w:p>
          <w:p>
            <w:pPr>
              <w:pStyle w:val="TableParagraph"/>
              <w:spacing w:before="1"/>
              <w:ind w:left="101" w:right="101"/>
              <w:jc w:val="center"/>
              <w:rPr>
                <w:sz w:val="20"/>
              </w:rPr>
            </w:pPr>
            <w:r>
              <w:rPr>
                <w:sz w:val="20"/>
              </w:rPr>
              <w:t>交通运输局</w:t>
            </w:r>
          </w:p>
        </w:tc>
      </w:tr>
      <w:tr>
        <w:trPr>
          <w:trHeight w:val="1000" w:hRule="atLeast"/>
        </w:trPr>
        <w:tc>
          <w:tcPr>
            <w:tcW w:w="509" w:type="dxa"/>
          </w:tcPr>
          <w:p>
            <w:pPr>
              <w:pStyle w:val="TableParagraph"/>
              <w:spacing w:before="10"/>
              <w:rPr>
                <w:rFonts w:ascii="黑体"/>
                <w:sz w:val="25"/>
              </w:rPr>
            </w:pPr>
          </w:p>
          <w:p>
            <w:pPr>
              <w:pStyle w:val="TableParagraph"/>
              <w:ind w:left="124" w:right="124"/>
              <w:jc w:val="center"/>
              <w:rPr>
                <w:sz w:val="21"/>
              </w:rPr>
            </w:pPr>
            <w:r>
              <w:rPr>
                <w:sz w:val="21"/>
              </w:rPr>
              <w:t>32</w:t>
            </w:r>
          </w:p>
        </w:tc>
        <w:tc>
          <w:tcPr>
            <w:tcW w:w="2160" w:type="dxa"/>
          </w:tcPr>
          <w:p>
            <w:pPr>
              <w:pStyle w:val="TableParagraph"/>
              <w:spacing w:before="11"/>
              <w:rPr>
                <w:rFonts w:ascii="黑体"/>
                <w:sz w:val="16"/>
              </w:rPr>
            </w:pPr>
          </w:p>
          <w:p>
            <w:pPr>
              <w:pStyle w:val="TableParagraph"/>
              <w:spacing w:line="237" w:lineRule="auto" w:before="1"/>
              <w:ind w:left="474" w:right="156" w:hanging="300"/>
              <w:rPr>
                <w:sz w:val="20"/>
              </w:rPr>
            </w:pPr>
            <w:r>
              <w:rPr>
                <w:sz w:val="20"/>
              </w:rPr>
              <w:t>机场区域内县乡道及村道改道恢复</w:t>
            </w:r>
          </w:p>
        </w:tc>
        <w:tc>
          <w:tcPr>
            <w:tcW w:w="1260" w:type="dxa"/>
          </w:tcPr>
          <w:p>
            <w:pPr>
              <w:pStyle w:val="TableParagraph"/>
              <w:spacing w:before="7"/>
              <w:rPr>
                <w:rFonts w:ascii="黑体"/>
                <w:sz w:val="26"/>
              </w:rPr>
            </w:pPr>
          </w:p>
          <w:p>
            <w:pPr>
              <w:pStyle w:val="TableParagraph"/>
              <w:spacing w:before="1"/>
              <w:ind w:left="154" w:right="154"/>
              <w:jc w:val="center"/>
              <w:rPr>
                <w:sz w:val="20"/>
              </w:rPr>
            </w:pPr>
            <w:r>
              <w:rPr>
                <w:sz w:val="20"/>
              </w:rPr>
              <w:t>2016-2017</w:t>
            </w:r>
          </w:p>
        </w:tc>
        <w:tc>
          <w:tcPr>
            <w:tcW w:w="3240" w:type="dxa"/>
          </w:tcPr>
          <w:p>
            <w:pPr>
              <w:pStyle w:val="TableParagraph"/>
              <w:spacing w:before="7"/>
              <w:rPr>
                <w:rFonts w:ascii="黑体"/>
                <w:sz w:val="26"/>
              </w:rPr>
            </w:pPr>
          </w:p>
          <w:p>
            <w:pPr>
              <w:pStyle w:val="TableParagraph"/>
              <w:spacing w:before="1"/>
              <w:ind w:left="45" w:right="44"/>
              <w:jc w:val="center"/>
              <w:rPr>
                <w:sz w:val="20"/>
              </w:rPr>
            </w:pPr>
            <w:r>
              <w:rPr>
                <w:sz w:val="20"/>
              </w:rPr>
              <w:t>总里程长度 14.2 公里</w:t>
            </w:r>
          </w:p>
        </w:tc>
        <w:tc>
          <w:tcPr>
            <w:tcW w:w="1440" w:type="dxa"/>
          </w:tcPr>
          <w:p>
            <w:pPr>
              <w:pStyle w:val="TableParagraph"/>
              <w:spacing w:before="7"/>
              <w:rPr>
                <w:rFonts w:ascii="黑体"/>
                <w:sz w:val="26"/>
              </w:rPr>
            </w:pPr>
          </w:p>
          <w:p>
            <w:pPr>
              <w:pStyle w:val="TableParagraph"/>
              <w:spacing w:before="1"/>
              <w:ind w:left="345" w:right="344"/>
              <w:jc w:val="center"/>
              <w:rPr>
                <w:sz w:val="20"/>
              </w:rPr>
            </w:pPr>
            <w:r>
              <w:rPr>
                <w:sz w:val="20"/>
              </w:rPr>
              <w:t>4000</w:t>
            </w:r>
          </w:p>
        </w:tc>
        <w:tc>
          <w:tcPr>
            <w:tcW w:w="1253" w:type="dxa"/>
          </w:tcPr>
          <w:p>
            <w:pPr>
              <w:pStyle w:val="TableParagraph"/>
              <w:spacing w:before="7"/>
              <w:rPr>
                <w:rFonts w:ascii="黑体"/>
                <w:sz w:val="26"/>
              </w:rPr>
            </w:pPr>
          </w:p>
          <w:p>
            <w:pPr>
              <w:pStyle w:val="TableParagraph"/>
              <w:spacing w:before="1"/>
              <w:ind w:left="101" w:right="101"/>
              <w:jc w:val="center"/>
              <w:rPr>
                <w:sz w:val="20"/>
              </w:rPr>
            </w:pPr>
            <w:r>
              <w:rPr>
                <w:sz w:val="20"/>
              </w:rPr>
              <w:t>交通运输局</w:t>
            </w:r>
          </w:p>
        </w:tc>
      </w:tr>
      <w:tr>
        <w:trPr>
          <w:trHeight w:val="1720" w:hRule="atLeast"/>
        </w:trPr>
        <w:tc>
          <w:tcPr>
            <w:tcW w:w="509" w:type="dxa"/>
          </w:tcPr>
          <w:p>
            <w:pPr>
              <w:pStyle w:val="TableParagraph"/>
              <w:rPr>
                <w:rFonts w:ascii="黑体"/>
                <w:sz w:val="20"/>
              </w:rPr>
            </w:pPr>
          </w:p>
          <w:p>
            <w:pPr>
              <w:pStyle w:val="TableParagraph"/>
              <w:rPr>
                <w:rFonts w:ascii="黑体"/>
                <w:sz w:val="20"/>
              </w:rPr>
            </w:pPr>
          </w:p>
          <w:p>
            <w:pPr>
              <w:pStyle w:val="TableParagraph"/>
              <w:spacing w:before="174"/>
              <w:ind w:left="124" w:right="124"/>
              <w:jc w:val="center"/>
              <w:rPr>
                <w:sz w:val="21"/>
              </w:rPr>
            </w:pPr>
            <w:r>
              <w:rPr>
                <w:sz w:val="21"/>
              </w:rPr>
              <w:t>33</w:t>
            </w:r>
          </w:p>
        </w:tc>
        <w:tc>
          <w:tcPr>
            <w:tcW w:w="2160" w:type="dxa"/>
          </w:tcPr>
          <w:p>
            <w:pPr>
              <w:pStyle w:val="TableParagraph"/>
              <w:rPr>
                <w:rFonts w:ascii="黑体"/>
                <w:sz w:val="20"/>
              </w:rPr>
            </w:pPr>
          </w:p>
          <w:p>
            <w:pPr>
              <w:pStyle w:val="TableParagraph"/>
              <w:rPr>
                <w:rFonts w:ascii="黑体"/>
                <w:sz w:val="20"/>
              </w:rPr>
            </w:pPr>
          </w:p>
          <w:p>
            <w:pPr>
              <w:pStyle w:val="TableParagraph"/>
              <w:spacing w:before="1"/>
              <w:rPr>
                <w:rFonts w:ascii="黑体"/>
                <w:sz w:val="14"/>
              </w:rPr>
            </w:pPr>
          </w:p>
          <w:p>
            <w:pPr>
              <w:pStyle w:val="TableParagraph"/>
              <w:ind w:right="373"/>
              <w:jc w:val="right"/>
              <w:rPr>
                <w:sz w:val="20"/>
              </w:rPr>
            </w:pPr>
            <w:r>
              <w:rPr>
                <w:sz w:val="20"/>
              </w:rPr>
              <w:t>牛茅路路面改造</w:t>
            </w:r>
          </w:p>
        </w:tc>
        <w:tc>
          <w:tcPr>
            <w:tcW w:w="1260" w:type="dxa"/>
          </w:tcPr>
          <w:p>
            <w:pPr>
              <w:pStyle w:val="TableParagraph"/>
              <w:rPr>
                <w:rFonts w:ascii="黑体"/>
                <w:sz w:val="20"/>
              </w:rPr>
            </w:pPr>
          </w:p>
          <w:p>
            <w:pPr>
              <w:pStyle w:val="TableParagraph"/>
              <w:rPr>
                <w:rFonts w:ascii="黑体"/>
                <w:sz w:val="20"/>
              </w:rPr>
            </w:pPr>
          </w:p>
          <w:p>
            <w:pPr>
              <w:pStyle w:val="TableParagraph"/>
              <w:spacing w:before="1"/>
              <w:rPr>
                <w:rFonts w:ascii="黑体"/>
                <w:sz w:val="14"/>
              </w:rPr>
            </w:pPr>
          </w:p>
          <w:p>
            <w:pPr>
              <w:pStyle w:val="TableParagraph"/>
              <w:ind w:left="154" w:right="154"/>
              <w:jc w:val="center"/>
              <w:rPr>
                <w:sz w:val="20"/>
              </w:rPr>
            </w:pPr>
            <w:r>
              <w:rPr>
                <w:sz w:val="20"/>
              </w:rPr>
              <w:t>2016-2017</w:t>
            </w:r>
          </w:p>
        </w:tc>
        <w:tc>
          <w:tcPr>
            <w:tcW w:w="3240" w:type="dxa"/>
          </w:tcPr>
          <w:p>
            <w:pPr>
              <w:pStyle w:val="TableParagraph"/>
              <w:spacing w:line="260" w:lineRule="exact" w:before="59"/>
              <w:ind w:left="43" w:right="44"/>
              <w:jc w:val="center"/>
              <w:rPr>
                <w:sz w:val="20"/>
              </w:rPr>
            </w:pPr>
            <w:r>
              <w:rPr>
                <w:sz w:val="20"/>
              </w:rPr>
              <w:t>路段长 5.598 公里，设计速度</w:t>
            </w:r>
          </w:p>
          <w:p>
            <w:pPr>
              <w:pStyle w:val="TableParagraph"/>
              <w:spacing w:line="259" w:lineRule="exact"/>
              <w:ind w:left="113"/>
              <w:jc w:val="both"/>
              <w:rPr>
                <w:sz w:val="20"/>
              </w:rPr>
            </w:pPr>
            <w:r>
              <w:rPr>
                <w:sz w:val="20"/>
              </w:rPr>
              <w:t>20KM/h,路基宽度 6.5 米,行车道宽</w:t>
            </w:r>
          </w:p>
          <w:p>
            <w:pPr>
              <w:pStyle w:val="TableParagraph"/>
              <w:spacing w:line="237" w:lineRule="auto" w:before="1"/>
              <w:ind w:left="114" w:right="111"/>
              <w:jc w:val="both"/>
              <w:rPr>
                <w:sz w:val="20"/>
              </w:rPr>
            </w:pPr>
            <w:r>
              <w:rPr>
                <w:spacing w:val="-28"/>
                <w:sz w:val="20"/>
              </w:rPr>
              <w:t>度 </w:t>
            </w:r>
            <w:r>
              <w:rPr>
                <w:sz w:val="20"/>
              </w:rPr>
              <w:t>6.0</w:t>
            </w:r>
            <w:r>
              <w:rPr>
                <w:spacing w:val="-8"/>
                <w:sz w:val="20"/>
              </w:rPr>
              <w:t> 米；水泥混凝土路面；公路</w:t>
            </w:r>
            <w:r>
              <w:rPr>
                <w:spacing w:val="-1"/>
                <w:sz w:val="20"/>
              </w:rPr>
              <w:t>等级四级；设计荷载：公路Ⅱ级； </w:t>
            </w:r>
            <w:r>
              <w:rPr>
                <w:spacing w:val="-15"/>
                <w:sz w:val="20"/>
              </w:rPr>
              <w:t>总投资 </w:t>
            </w:r>
            <w:r>
              <w:rPr>
                <w:sz w:val="20"/>
              </w:rPr>
              <w:t>1188</w:t>
            </w:r>
            <w:r>
              <w:rPr>
                <w:spacing w:val="-8"/>
                <w:sz w:val="20"/>
              </w:rPr>
              <w:t> 万元，其中：省补助</w:t>
            </w:r>
          </w:p>
          <w:p>
            <w:pPr>
              <w:pStyle w:val="TableParagraph"/>
              <w:spacing w:line="259" w:lineRule="exact"/>
              <w:ind w:left="44" w:right="44"/>
              <w:jc w:val="center"/>
              <w:rPr>
                <w:sz w:val="20"/>
              </w:rPr>
            </w:pPr>
            <w:r>
              <w:rPr>
                <w:sz w:val="20"/>
              </w:rPr>
              <w:t>396 万元，地方配套 792 万元。</w:t>
            </w:r>
          </w:p>
        </w:tc>
        <w:tc>
          <w:tcPr>
            <w:tcW w:w="1440" w:type="dxa"/>
          </w:tcPr>
          <w:p>
            <w:pPr>
              <w:pStyle w:val="TableParagraph"/>
              <w:rPr>
                <w:rFonts w:ascii="黑体"/>
                <w:sz w:val="20"/>
              </w:rPr>
            </w:pPr>
          </w:p>
          <w:p>
            <w:pPr>
              <w:pStyle w:val="TableParagraph"/>
              <w:rPr>
                <w:rFonts w:ascii="黑体"/>
                <w:sz w:val="20"/>
              </w:rPr>
            </w:pPr>
          </w:p>
          <w:p>
            <w:pPr>
              <w:pStyle w:val="TableParagraph"/>
              <w:spacing w:before="1"/>
              <w:rPr>
                <w:rFonts w:ascii="黑体"/>
                <w:sz w:val="14"/>
              </w:rPr>
            </w:pPr>
          </w:p>
          <w:p>
            <w:pPr>
              <w:pStyle w:val="TableParagraph"/>
              <w:ind w:left="344" w:right="345"/>
              <w:jc w:val="center"/>
              <w:rPr>
                <w:sz w:val="20"/>
              </w:rPr>
            </w:pPr>
            <w:r>
              <w:rPr>
                <w:sz w:val="20"/>
              </w:rPr>
              <w:t>1188</w:t>
            </w:r>
          </w:p>
        </w:tc>
        <w:tc>
          <w:tcPr>
            <w:tcW w:w="1253" w:type="dxa"/>
          </w:tcPr>
          <w:p>
            <w:pPr>
              <w:pStyle w:val="TableParagraph"/>
              <w:rPr>
                <w:rFonts w:ascii="黑体"/>
                <w:sz w:val="20"/>
              </w:rPr>
            </w:pPr>
          </w:p>
          <w:p>
            <w:pPr>
              <w:pStyle w:val="TableParagraph"/>
              <w:rPr>
                <w:rFonts w:ascii="黑体"/>
                <w:sz w:val="20"/>
              </w:rPr>
            </w:pPr>
          </w:p>
          <w:p>
            <w:pPr>
              <w:pStyle w:val="TableParagraph"/>
              <w:spacing w:before="1"/>
              <w:rPr>
                <w:rFonts w:ascii="黑体"/>
                <w:sz w:val="14"/>
              </w:rPr>
            </w:pPr>
          </w:p>
          <w:p>
            <w:pPr>
              <w:pStyle w:val="TableParagraph"/>
              <w:ind w:left="101" w:right="101"/>
              <w:jc w:val="center"/>
              <w:rPr>
                <w:sz w:val="20"/>
              </w:rPr>
            </w:pPr>
            <w:r>
              <w:rPr>
                <w:sz w:val="20"/>
              </w:rPr>
              <w:t>交通运输局</w:t>
            </w:r>
          </w:p>
        </w:tc>
      </w:tr>
      <w:tr>
        <w:trPr>
          <w:trHeight w:val="1460" w:hRule="atLeast"/>
        </w:trPr>
        <w:tc>
          <w:tcPr>
            <w:tcW w:w="509" w:type="dxa"/>
          </w:tcPr>
          <w:p>
            <w:pPr>
              <w:pStyle w:val="TableParagraph"/>
              <w:rPr>
                <w:rFonts w:ascii="黑体"/>
                <w:sz w:val="20"/>
              </w:rPr>
            </w:pPr>
          </w:p>
          <w:p>
            <w:pPr>
              <w:pStyle w:val="TableParagraph"/>
              <w:spacing w:before="11"/>
              <w:rPr>
                <w:rFonts w:ascii="黑体"/>
                <w:sz w:val="22"/>
              </w:rPr>
            </w:pPr>
          </w:p>
          <w:p>
            <w:pPr>
              <w:pStyle w:val="TableParagraph"/>
              <w:ind w:left="124" w:right="124"/>
              <w:jc w:val="center"/>
              <w:rPr>
                <w:sz w:val="21"/>
              </w:rPr>
            </w:pPr>
            <w:r>
              <w:rPr>
                <w:sz w:val="21"/>
              </w:rPr>
              <w:t>34</w:t>
            </w:r>
          </w:p>
        </w:tc>
        <w:tc>
          <w:tcPr>
            <w:tcW w:w="2160" w:type="dxa"/>
          </w:tcPr>
          <w:p>
            <w:pPr>
              <w:pStyle w:val="TableParagraph"/>
              <w:rPr>
                <w:rFonts w:ascii="黑体"/>
                <w:sz w:val="20"/>
              </w:rPr>
            </w:pPr>
          </w:p>
          <w:p>
            <w:pPr>
              <w:pStyle w:val="TableParagraph"/>
              <w:spacing w:before="11"/>
              <w:rPr>
                <w:rFonts w:ascii="黑体"/>
                <w:sz w:val="13"/>
              </w:rPr>
            </w:pPr>
          </w:p>
          <w:p>
            <w:pPr>
              <w:pStyle w:val="TableParagraph"/>
              <w:spacing w:line="237" w:lineRule="auto"/>
              <w:ind w:left="574" w:right="28" w:hanging="472"/>
              <w:rPr>
                <w:sz w:val="20"/>
              </w:rPr>
            </w:pPr>
            <w:r>
              <w:rPr>
                <w:sz w:val="20"/>
              </w:rPr>
              <w:t>金定路（金粟至定文） 段改建工程</w:t>
            </w:r>
          </w:p>
        </w:tc>
        <w:tc>
          <w:tcPr>
            <w:tcW w:w="1260" w:type="dxa"/>
          </w:tcPr>
          <w:p>
            <w:pPr>
              <w:pStyle w:val="TableParagraph"/>
              <w:rPr>
                <w:rFonts w:ascii="黑体"/>
                <w:sz w:val="20"/>
              </w:rPr>
            </w:pPr>
          </w:p>
          <w:p>
            <w:pPr>
              <w:pStyle w:val="TableParagraph"/>
              <w:spacing w:before="7"/>
              <w:rPr>
                <w:rFonts w:ascii="黑体"/>
                <w:sz w:val="23"/>
              </w:rPr>
            </w:pPr>
          </w:p>
          <w:p>
            <w:pPr>
              <w:pStyle w:val="TableParagraph"/>
              <w:ind w:left="154" w:right="155"/>
              <w:jc w:val="center"/>
              <w:rPr>
                <w:sz w:val="20"/>
              </w:rPr>
            </w:pPr>
            <w:r>
              <w:rPr>
                <w:sz w:val="20"/>
              </w:rPr>
              <w:t>2016</w:t>
            </w:r>
          </w:p>
        </w:tc>
        <w:tc>
          <w:tcPr>
            <w:tcW w:w="3240" w:type="dxa"/>
          </w:tcPr>
          <w:p>
            <w:pPr>
              <w:pStyle w:val="TableParagraph"/>
              <w:spacing w:before="11"/>
              <w:rPr>
                <w:rFonts w:ascii="黑体"/>
                <w:sz w:val="13"/>
              </w:rPr>
            </w:pPr>
          </w:p>
          <w:p>
            <w:pPr>
              <w:pStyle w:val="TableParagraph"/>
              <w:spacing w:line="260" w:lineRule="exact"/>
              <w:ind w:left="114"/>
              <w:rPr>
                <w:sz w:val="20"/>
              </w:rPr>
            </w:pPr>
            <w:r>
              <w:rPr>
                <w:sz w:val="20"/>
              </w:rPr>
              <w:t>水泥混凝土路面 3.5 公里，路面宽</w:t>
            </w:r>
          </w:p>
          <w:p>
            <w:pPr>
              <w:pStyle w:val="TableParagraph"/>
              <w:ind w:left="114" w:right="71" w:firstLine="50"/>
              <w:rPr>
                <w:sz w:val="20"/>
              </w:rPr>
            </w:pPr>
            <w:r>
              <w:rPr>
                <w:sz w:val="20"/>
              </w:rPr>
              <w:t>5.5</w:t>
            </w:r>
            <w:r>
              <w:rPr>
                <w:spacing w:val="-16"/>
                <w:sz w:val="20"/>
              </w:rPr>
              <w:t> 米，路基宽 </w:t>
            </w:r>
            <w:r>
              <w:rPr>
                <w:sz w:val="20"/>
              </w:rPr>
              <w:t>6</w:t>
            </w:r>
            <w:r>
              <w:rPr>
                <w:spacing w:val="-16"/>
                <w:sz w:val="20"/>
              </w:rPr>
              <w:t> 米。总投资 </w:t>
            </w:r>
            <w:r>
              <w:rPr>
                <w:spacing w:val="-2"/>
                <w:sz w:val="20"/>
              </w:rPr>
              <w:t>620 </w:t>
            </w:r>
            <w:r>
              <w:rPr>
                <w:spacing w:val="-6"/>
                <w:sz w:val="20"/>
              </w:rPr>
              <w:t>万元，其中：省补助 </w:t>
            </w:r>
            <w:r>
              <w:rPr>
                <w:sz w:val="20"/>
              </w:rPr>
              <w:t>248</w:t>
            </w:r>
            <w:r>
              <w:rPr>
                <w:spacing w:val="-12"/>
                <w:sz w:val="20"/>
              </w:rPr>
              <w:t> 万元，地</w:t>
            </w:r>
          </w:p>
          <w:p>
            <w:pPr>
              <w:pStyle w:val="TableParagraph"/>
              <w:spacing w:line="259" w:lineRule="exact" w:before="1"/>
              <w:ind w:left="44" w:right="44"/>
              <w:jc w:val="center"/>
              <w:rPr>
                <w:sz w:val="20"/>
              </w:rPr>
            </w:pPr>
            <w:r>
              <w:rPr>
                <w:sz w:val="20"/>
              </w:rPr>
              <w:t>方配套 372 万元。</w:t>
            </w:r>
          </w:p>
        </w:tc>
        <w:tc>
          <w:tcPr>
            <w:tcW w:w="1440" w:type="dxa"/>
          </w:tcPr>
          <w:p>
            <w:pPr>
              <w:pStyle w:val="TableParagraph"/>
              <w:rPr>
                <w:rFonts w:ascii="黑体"/>
                <w:sz w:val="20"/>
              </w:rPr>
            </w:pPr>
          </w:p>
          <w:p>
            <w:pPr>
              <w:pStyle w:val="TableParagraph"/>
              <w:spacing w:before="7"/>
              <w:rPr>
                <w:rFonts w:ascii="黑体"/>
                <w:sz w:val="23"/>
              </w:rPr>
            </w:pPr>
          </w:p>
          <w:p>
            <w:pPr>
              <w:pStyle w:val="TableParagraph"/>
              <w:ind w:left="344" w:right="345"/>
              <w:jc w:val="center"/>
              <w:rPr>
                <w:sz w:val="20"/>
              </w:rPr>
            </w:pPr>
            <w:r>
              <w:rPr>
                <w:sz w:val="20"/>
              </w:rPr>
              <w:t>620</w:t>
            </w:r>
          </w:p>
        </w:tc>
        <w:tc>
          <w:tcPr>
            <w:tcW w:w="1253" w:type="dxa"/>
          </w:tcPr>
          <w:p>
            <w:pPr>
              <w:pStyle w:val="TableParagraph"/>
              <w:rPr>
                <w:rFonts w:ascii="黑体"/>
                <w:sz w:val="20"/>
              </w:rPr>
            </w:pPr>
          </w:p>
          <w:p>
            <w:pPr>
              <w:pStyle w:val="TableParagraph"/>
              <w:spacing w:before="7"/>
              <w:rPr>
                <w:rFonts w:ascii="黑体"/>
                <w:sz w:val="23"/>
              </w:rPr>
            </w:pPr>
          </w:p>
          <w:p>
            <w:pPr>
              <w:pStyle w:val="TableParagraph"/>
              <w:ind w:left="101" w:right="101"/>
              <w:jc w:val="center"/>
              <w:rPr>
                <w:sz w:val="20"/>
              </w:rPr>
            </w:pPr>
            <w:r>
              <w:rPr>
                <w:sz w:val="20"/>
              </w:rPr>
              <w:t>交通运输局</w:t>
            </w:r>
          </w:p>
        </w:tc>
      </w:tr>
      <w:tr>
        <w:trPr>
          <w:trHeight w:val="1240" w:hRule="atLeast"/>
        </w:trPr>
        <w:tc>
          <w:tcPr>
            <w:tcW w:w="509" w:type="dxa"/>
          </w:tcPr>
          <w:p>
            <w:pPr>
              <w:pStyle w:val="TableParagraph"/>
              <w:rPr>
                <w:rFonts w:ascii="黑体"/>
                <w:sz w:val="20"/>
              </w:rPr>
            </w:pPr>
          </w:p>
          <w:p>
            <w:pPr>
              <w:pStyle w:val="TableParagraph"/>
              <w:spacing w:before="3"/>
              <w:rPr>
                <w:rFonts w:ascii="黑体"/>
                <w:sz w:val="14"/>
              </w:rPr>
            </w:pPr>
          </w:p>
          <w:p>
            <w:pPr>
              <w:pStyle w:val="TableParagraph"/>
              <w:ind w:left="124" w:right="124"/>
              <w:jc w:val="center"/>
              <w:rPr>
                <w:sz w:val="21"/>
              </w:rPr>
            </w:pPr>
            <w:r>
              <w:rPr>
                <w:sz w:val="21"/>
              </w:rPr>
              <w:t>35</w:t>
            </w:r>
          </w:p>
        </w:tc>
        <w:tc>
          <w:tcPr>
            <w:tcW w:w="2160" w:type="dxa"/>
          </w:tcPr>
          <w:p>
            <w:pPr>
              <w:pStyle w:val="TableParagraph"/>
              <w:rPr>
                <w:rFonts w:ascii="黑体"/>
                <w:sz w:val="20"/>
              </w:rPr>
            </w:pPr>
          </w:p>
          <w:p>
            <w:pPr>
              <w:pStyle w:val="TableParagraph"/>
              <w:spacing w:before="1"/>
              <w:rPr>
                <w:rFonts w:ascii="黑体"/>
                <w:sz w:val="15"/>
              </w:rPr>
            </w:pPr>
          </w:p>
          <w:p>
            <w:pPr>
              <w:pStyle w:val="TableParagraph"/>
              <w:ind w:left="474"/>
              <w:rPr>
                <w:sz w:val="20"/>
              </w:rPr>
            </w:pPr>
            <w:r>
              <w:rPr>
                <w:sz w:val="20"/>
              </w:rPr>
              <w:t>村道通畅工程</w:t>
            </w:r>
          </w:p>
        </w:tc>
        <w:tc>
          <w:tcPr>
            <w:tcW w:w="1260" w:type="dxa"/>
          </w:tcPr>
          <w:p>
            <w:pPr>
              <w:pStyle w:val="TableParagraph"/>
              <w:rPr>
                <w:rFonts w:ascii="黑体"/>
                <w:sz w:val="20"/>
              </w:rPr>
            </w:pPr>
          </w:p>
          <w:p>
            <w:pPr>
              <w:pStyle w:val="TableParagraph"/>
              <w:spacing w:before="1"/>
              <w:rPr>
                <w:rFonts w:ascii="黑体"/>
                <w:sz w:val="15"/>
              </w:rPr>
            </w:pPr>
          </w:p>
          <w:p>
            <w:pPr>
              <w:pStyle w:val="TableParagraph"/>
              <w:ind w:left="154" w:right="155"/>
              <w:jc w:val="center"/>
              <w:rPr>
                <w:sz w:val="20"/>
              </w:rPr>
            </w:pPr>
            <w:r>
              <w:rPr>
                <w:sz w:val="20"/>
              </w:rPr>
              <w:t>2016</w:t>
            </w:r>
          </w:p>
        </w:tc>
        <w:tc>
          <w:tcPr>
            <w:tcW w:w="3240" w:type="dxa"/>
          </w:tcPr>
          <w:p>
            <w:pPr>
              <w:pStyle w:val="TableParagraph"/>
              <w:spacing w:before="3"/>
              <w:rPr>
                <w:rFonts w:ascii="黑体"/>
                <w:sz w:val="25"/>
              </w:rPr>
            </w:pPr>
          </w:p>
          <w:p>
            <w:pPr>
              <w:pStyle w:val="TableParagraph"/>
              <w:spacing w:line="260" w:lineRule="exact"/>
              <w:ind w:left="45" w:right="44"/>
              <w:jc w:val="center"/>
              <w:rPr>
                <w:sz w:val="20"/>
              </w:rPr>
            </w:pPr>
            <w:r>
              <w:rPr>
                <w:sz w:val="20"/>
              </w:rPr>
              <w:t>水泥混凝土路面改造 15 公里,路面</w:t>
            </w:r>
          </w:p>
          <w:p>
            <w:pPr>
              <w:pStyle w:val="TableParagraph"/>
              <w:spacing w:line="260" w:lineRule="exact"/>
              <w:ind w:left="44" w:right="44"/>
              <w:jc w:val="center"/>
              <w:rPr>
                <w:sz w:val="20"/>
              </w:rPr>
            </w:pPr>
            <w:r>
              <w:rPr>
                <w:sz w:val="20"/>
              </w:rPr>
              <w:t>宽 4.5 米，路基宽 5.5 米</w:t>
            </w:r>
          </w:p>
        </w:tc>
        <w:tc>
          <w:tcPr>
            <w:tcW w:w="1440" w:type="dxa"/>
          </w:tcPr>
          <w:p>
            <w:pPr>
              <w:pStyle w:val="TableParagraph"/>
              <w:rPr>
                <w:rFonts w:ascii="黑体"/>
                <w:sz w:val="20"/>
              </w:rPr>
            </w:pPr>
          </w:p>
          <w:p>
            <w:pPr>
              <w:pStyle w:val="TableParagraph"/>
              <w:spacing w:before="1"/>
              <w:rPr>
                <w:rFonts w:ascii="黑体"/>
                <w:sz w:val="15"/>
              </w:rPr>
            </w:pPr>
          </w:p>
          <w:p>
            <w:pPr>
              <w:pStyle w:val="TableParagraph"/>
              <w:ind w:left="344" w:right="345"/>
              <w:jc w:val="center"/>
              <w:rPr>
                <w:sz w:val="20"/>
              </w:rPr>
            </w:pPr>
            <w:r>
              <w:rPr>
                <w:sz w:val="20"/>
              </w:rPr>
              <w:t>750</w:t>
            </w:r>
          </w:p>
        </w:tc>
        <w:tc>
          <w:tcPr>
            <w:tcW w:w="1253" w:type="dxa"/>
          </w:tcPr>
          <w:p>
            <w:pPr>
              <w:pStyle w:val="TableParagraph"/>
              <w:rPr>
                <w:rFonts w:ascii="黑体"/>
                <w:sz w:val="20"/>
              </w:rPr>
            </w:pPr>
          </w:p>
          <w:p>
            <w:pPr>
              <w:pStyle w:val="TableParagraph"/>
              <w:spacing w:before="1"/>
              <w:rPr>
                <w:rFonts w:ascii="黑体"/>
                <w:sz w:val="15"/>
              </w:rPr>
            </w:pPr>
          </w:p>
          <w:p>
            <w:pPr>
              <w:pStyle w:val="TableParagraph"/>
              <w:ind w:left="101" w:right="101"/>
              <w:jc w:val="center"/>
              <w:rPr>
                <w:sz w:val="20"/>
              </w:rPr>
            </w:pPr>
            <w:r>
              <w:rPr>
                <w:sz w:val="20"/>
              </w:rPr>
              <w:t>交通运输局</w:t>
            </w:r>
          </w:p>
        </w:tc>
      </w:tr>
      <w:tr>
        <w:trPr>
          <w:trHeight w:val="1380" w:hRule="atLeast"/>
        </w:trPr>
        <w:tc>
          <w:tcPr>
            <w:tcW w:w="509" w:type="dxa"/>
          </w:tcPr>
          <w:p>
            <w:pPr>
              <w:pStyle w:val="TableParagraph"/>
              <w:rPr>
                <w:rFonts w:ascii="黑体"/>
                <w:sz w:val="20"/>
              </w:rPr>
            </w:pPr>
          </w:p>
          <w:p>
            <w:pPr>
              <w:pStyle w:val="TableParagraph"/>
              <w:spacing w:before="10"/>
              <w:rPr>
                <w:rFonts w:ascii="黑体"/>
                <w:sz w:val="19"/>
              </w:rPr>
            </w:pPr>
          </w:p>
          <w:p>
            <w:pPr>
              <w:pStyle w:val="TableParagraph"/>
              <w:spacing w:before="1"/>
              <w:ind w:left="124" w:right="124"/>
              <w:jc w:val="center"/>
              <w:rPr>
                <w:sz w:val="21"/>
              </w:rPr>
            </w:pPr>
            <w:r>
              <w:rPr>
                <w:sz w:val="21"/>
              </w:rPr>
              <w:t>36</w:t>
            </w:r>
          </w:p>
        </w:tc>
        <w:tc>
          <w:tcPr>
            <w:tcW w:w="2160" w:type="dxa"/>
          </w:tcPr>
          <w:p>
            <w:pPr>
              <w:pStyle w:val="TableParagraph"/>
              <w:rPr>
                <w:rFonts w:ascii="黑体"/>
                <w:sz w:val="20"/>
              </w:rPr>
            </w:pPr>
          </w:p>
          <w:p>
            <w:pPr>
              <w:pStyle w:val="TableParagraph"/>
              <w:spacing w:line="237" w:lineRule="auto" w:before="143"/>
              <w:ind w:left="674" w:right="156" w:hanging="500"/>
              <w:rPr>
                <w:sz w:val="20"/>
              </w:rPr>
            </w:pPr>
            <w:r>
              <w:rPr>
                <w:sz w:val="20"/>
              </w:rPr>
              <w:t>乐宜高速五通连接线加宽工程</w:t>
            </w:r>
          </w:p>
        </w:tc>
        <w:tc>
          <w:tcPr>
            <w:tcW w:w="1260" w:type="dxa"/>
          </w:tcPr>
          <w:p>
            <w:pPr>
              <w:pStyle w:val="TableParagraph"/>
              <w:rPr>
                <w:rFonts w:ascii="黑体"/>
                <w:sz w:val="20"/>
              </w:rPr>
            </w:pPr>
          </w:p>
          <w:p>
            <w:pPr>
              <w:pStyle w:val="TableParagraph"/>
              <w:spacing w:before="8"/>
              <w:rPr>
                <w:rFonts w:ascii="黑体"/>
                <w:sz w:val="20"/>
              </w:rPr>
            </w:pPr>
          </w:p>
          <w:p>
            <w:pPr>
              <w:pStyle w:val="TableParagraph"/>
              <w:ind w:left="154" w:right="154"/>
              <w:jc w:val="center"/>
              <w:rPr>
                <w:sz w:val="20"/>
              </w:rPr>
            </w:pPr>
            <w:r>
              <w:rPr>
                <w:sz w:val="20"/>
              </w:rPr>
              <w:t>2017-2019</w:t>
            </w:r>
          </w:p>
        </w:tc>
        <w:tc>
          <w:tcPr>
            <w:tcW w:w="3240" w:type="dxa"/>
          </w:tcPr>
          <w:p>
            <w:pPr>
              <w:pStyle w:val="TableParagraph"/>
              <w:rPr>
                <w:rFonts w:ascii="黑体"/>
                <w:sz w:val="20"/>
              </w:rPr>
            </w:pPr>
          </w:p>
          <w:p>
            <w:pPr>
              <w:pStyle w:val="TableParagraph"/>
              <w:spacing w:line="260" w:lineRule="exact" w:before="140"/>
              <w:ind w:left="102"/>
              <w:rPr>
                <w:sz w:val="20"/>
              </w:rPr>
            </w:pPr>
            <w:r>
              <w:rPr>
                <w:spacing w:val="-7"/>
                <w:sz w:val="20"/>
              </w:rPr>
              <w:t>沥青混凝土路面 </w:t>
            </w:r>
            <w:r>
              <w:rPr>
                <w:sz w:val="20"/>
              </w:rPr>
              <w:t>3.84</w:t>
            </w:r>
            <w:r>
              <w:rPr>
                <w:spacing w:val="-20"/>
                <w:sz w:val="20"/>
              </w:rPr>
              <w:t> 公里，路面宽</w:t>
            </w:r>
          </w:p>
          <w:p>
            <w:pPr>
              <w:pStyle w:val="TableParagraph"/>
              <w:spacing w:line="260" w:lineRule="exact"/>
              <w:ind w:left="639"/>
              <w:rPr>
                <w:sz w:val="20"/>
              </w:rPr>
            </w:pPr>
            <w:r>
              <w:rPr>
                <w:sz w:val="20"/>
              </w:rPr>
              <w:t>24.5 米，路基宽 40 米</w:t>
            </w:r>
          </w:p>
        </w:tc>
        <w:tc>
          <w:tcPr>
            <w:tcW w:w="1440" w:type="dxa"/>
          </w:tcPr>
          <w:p>
            <w:pPr>
              <w:pStyle w:val="TableParagraph"/>
              <w:rPr>
                <w:rFonts w:ascii="黑体"/>
                <w:sz w:val="20"/>
              </w:rPr>
            </w:pPr>
          </w:p>
          <w:p>
            <w:pPr>
              <w:pStyle w:val="TableParagraph"/>
              <w:spacing w:before="8"/>
              <w:rPr>
                <w:rFonts w:ascii="黑体"/>
                <w:sz w:val="20"/>
              </w:rPr>
            </w:pPr>
          </w:p>
          <w:p>
            <w:pPr>
              <w:pStyle w:val="TableParagraph"/>
              <w:ind w:left="345" w:right="345"/>
              <w:jc w:val="center"/>
              <w:rPr>
                <w:sz w:val="20"/>
              </w:rPr>
            </w:pPr>
            <w:r>
              <w:rPr>
                <w:sz w:val="20"/>
              </w:rPr>
              <w:t>35000</w:t>
            </w:r>
          </w:p>
        </w:tc>
        <w:tc>
          <w:tcPr>
            <w:tcW w:w="1253" w:type="dxa"/>
          </w:tcPr>
          <w:p>
            <w:pPr>
              <w:pStyle w:val="TableParagraph"/>
              <w:rPr>
                <w:rFonts w:ascii="黑体"/>
                <w:sz w:val="20"/>
              </w:rPr>
            </w:pPr>
          </w:p>
          <w:p>
            <w:pPr>
              <w:pStyle w:val="TableParagraph"/>
              <w:spacing w:before="8"/>
              <w:rPr>
                <w:rFonts w:ascii="黑体"/>
                <w:sz w:val="20"/>
              </w:rPr>
            </w:pPr>
          </w:p>
          <w:p>
            <w:pPr>
              <w:pStyle w:val="TableParagraph"/>
              <w:ind w:left="101" w:right="101"/>
              <w:jc w:val="center"/>
              <w:rPr>
                <w:sz w:val="20"/>
              </w:rPr>
            </w:pPr>
            <w:r>
              <w:rPr>
                <w:sz w:val="20"/>
              </w:rPr>
              <w:t>交通运输局</w:t>
            </w:r>
          </w:p>
        </w:tc>
      </w:tr>
      <w:tr>
        <w:trPr>
          <w:trHeight w:val="560" w:hRule="atLeast"/>
        </w:trPr>
        <w:tc>
          <w:tcPr>
            <w:tcW w:w="509" w:type="dxa"/>
          </w:tcPr>
          <w:p>
            <w:pPr>
              <w:pStyle w:val="TableParagraph"/>
              <w:rPr>
                <w:rFonts w:ascii="Times New Roman"/>
                <w:sz w:val="20"/>
              </w:rPr>
            </w:pPr>
          </w:p>
        </w:tc>
        <w:tc>
          <w:tcPr>
            <w:tcW w:w="2160" w:type="dxa"/>
          </w:tcPr>
          <w:p>
            <w:pPr>
              <w:pStyle w:val="TableParagraph"/>
              <w:spacing w:before="120"/>
              <w:ind w:left="102"/>
              <w:rPr>
                <w:sz w:val="20"/>
              </w:rPr>
            </w:pPr>
            <w:r>
              <w:rPr>
                <w:sz w:val="20"/>
              </w:rPr>
              <w:t>小计</w:t>
            </w:r>
          </w:p>
        </w:tc>
        <w:tc>
          <w:tcPr>
            <w:tcW w:w="1260" w:type="dxa"/>
          </w:tcPr>
          <w:p>
            <w:pPr>
              <w:pStyle w:val="TableParagraph"/>
              <w:rPr>
                <w:rFonts w:ascii="Times New Roman"/>
                <w:sz w:val="20"/>
              </w:rPr>
            </w:pPr>
          </w:p>
        </w:tc>
        <w:tc>
          <w:tcPr>
            <w:tcW w:w="3240" w:type="dxa"/>
          </w:tcPr>
          <w:p>
            <w:pPr>
              <w:pStyle w:val="TableParagraph"/>
              <w:rPr>
                <w:rFonts w:ascii="Times New Roman"/>
                <w:sz w:val="20"/>
              </w:rPr>
            </w:pPr>
          </w:p>
        </w:tc>
        <w:tc>
          <w:tcPr>
            <w:tcW w:w="1440" w:type="dxa"/>
          </w:tcPr>
          <w:p>
            <w:pPr>
              <w:pStyle w:val="TableParagraph"/>
              <w:spacing w:before="120"/>
              <w:ind w:left="345" w:right="345"/>
              <w:jc w:val="center"/>
              <w:rPr>
                <w:sz w:val="20"/>
              </w:rPr>
            </w:pPr>
            <w:r>
              <w:rPr>
                <w:sz w:val="20"/>
              </w:rPr>
              <w:t>2731140</w:t>
            </w:r>
          </w:p>
        </w:tc>
        <w:tc>
          <w:tcPr>
            <w:tcW w:w="1253" w:type="dxa"/>
          </w:tcPr>
          <w:p>
            <w:pPr>
              <w:pStyle w:val="TableParagraph"/>
              <w:rPr>
                <w:rFonts w:ascii="Times New Roman"/>
                <w:sz w:val="20"/>
              </w:rPr>
            </w:pPr>
          </w:p>
        </w:tc>
      </w:tr>
    </w:tbl>
    <w:sectPr>
      <w:pgSz w:w="11910" w:h="16840"/>
      <w:pgMar w:header="0" w:footer="998" w:top="1440" w:bottom="1120" w:left="900" w:right="90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方正小标宋简体">
    <w:altName w:val="方正小标宋简体"/>
    <w:charset w:val="86"/>
    <w:family w:val="script"/>
    <w:pitch w:val="fixed"/>
  </w:font>
  <w:font w:name="黑体">
    <w:altName w:val="黑体"/>
    <w:charset w:val="86"/>
    <w:family w:val="modern"/>
    <w:pitch w:val="fixed"/>
  </w:font>
  <w:font w:name="仿宋_GB2312">
    <w:altName w:val="仿宋_GB2312"/>
    <w:charset w:val="86"/>
    <w:family w:val="modern"/>
    <w:pitch w:val="fixed"/>
  </w:font>
  <w:font w:name="宋体">
    <w:altName w:val="宋体"/>
    <w:charset w:val="86"/>
    <w:family w:val="auto"/>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type id="_x0000_t202" o:spt="202" coordsize="21600,21600" path="m,l,21600r21600,l21600,xe">
          <v:stroke joinstyle="miter"/>
          <v:path gradientshapeok="t" o:connecttype="rect"/>
        </v:shapetype>
        <v:shape style="position:absolute;margin-left:507.700012pt;margin-top:781.11969pt;width:13pt;height:12pt;mso-position-horizontal-relative:page;mso-position-vertical-relative:page;z-index:-264592" type="#_x0000_t202" filled="false" stroked="false">
          <v:textbox inset="0,0,0,0">
            <w:txbxContent>
              <w:p>
                <w:pPr>
                  <w:spacing w:before="12"/>
                  <w:ind w:left="40" w:right="0" w:firstLine="0"/>
                  <w:jc w:val="left"/>
                  <w:rPr>
                    <w:rFonts w:ascii="Times New Roman"/>
                    <w:sz w:val="18"/>
                  </w:rPr>
                </w:pPr>
                <w:r>
                  <w:rPr/>
                  <w:fldChar w:fldCharType="begin"/>
                </w:r>
                <w:r>
                  <w:rPr>
                    <w:rFonts w:ascii="Times New Roman"/>
                    <w:sz w:val="18"/>
                  </w:rPr>
                  <w:instrText> PAGE </w:instrText>
                </w:r>
                <w:r>
                  <w:rPr/>
                  <w:fldChar w:fldCharType="separate"/>
                </w:r>
                <w:r>
                  <w:rPr/>
                  <w:t>13</w:t>
                </w:r>
                <w:r>
                  <w:rPr/>
                  <w:fldChar w:fldCharType="end"/>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74.559998pt;margin-top:781.119568pt;width:8.5pt;height:12pt;mso-position-horizontal-relative:page;mso-position-vertical-relative:page;z-index:-264568" type="#_x0000_t202" filled="false" stroked="false">
          <v:textbox inset="0,0,0,0">
            <w:txbxContent>
              <w:p>
                <w:pPr>
                  <w:spacing w:before="12"/>
                  <w:ind w:left="40" w:right="0" w:firstLine="0"/>
                  <w:jc w:val="left"/>
                  <w:rPr>
                    <w:rFonts w:ascii="Times New Roman"/>
                    <w:sz w:val="18"/>
                  </w:rPr>
                </w:pPr>
                <w:r>
                  <w:rPr/>
                  <w:fldChar w:fldCharType="begin"/>
                </w:r>
                <w:r>
                  <w:rPr>
                    <w:rFonts w:ascii="Times New Roman"/>
                    <w:sz w:val="18"/>
                  </w:rPr>
                  <w:instrText> PAGE </w:instrText>
                </w:r>
                <w:r>
                  <w:rPr/>
                  <w:fldChar w:fldCharType="separate"/>
                </w:r>
                <w:r>
                  <w:rPr/>
                  <w:t>2</w:t>
                </w:r>
                <w:r>
                  <w:rPr/>
                  <w:fldChar w:fldCharType="end"/>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512.200012pt;margin-top:781.11969pt;width:8.5pt;height:12pt;mso-position-horizontal-relative:page;mso-position-vertical-relative:page;z-index:-264544" type="#_x0000_t202" filled="false" stroked="false">
          <v:textbox inset="0,0,0,0">
            <w:txbxContent>
              <w:p>
                <w:pPr>
                  <w:spacing w:before="12"/>
                  <w:ind w:left="40" w:right="0" w:firstLine="0"/>
                  <w:jc w:val="left"/>
                  <w:rPr>
                    <w:rFonts w:ascii="Times New Roman"/>
                    <w:sz w:val="18"/>
                  </w:rPr>
                </w:pPr>
                <w:r>
                  <w:rPr/>
                  <w:fldChar w:fldCharType="begin"/>
                </w:r>
                <w:r>
                  <w:rPr>
                    <w:rFonts w:ascii="Times New Roman"/>
                    <w:sz w:val="18"/>
                  </w:rPr>
                  <w:instrText> PAGE </w:instrText>
                </w:r>
                <w:r>
                  <w:rPr/>
                  <w:fldChar w:fldCharType="separate"/>
                </w:r>
                <w:r>
                  <w:rPr/>
                  <w:t>9</w:t>
                </w:r>
                <w:r>
                  <w:rPr/>
                  <w:fldChar w:fldCharType="end"/>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74.559998pt;margin-top:781.119568pt;width:13pt;height:12pt;mso-position-horizontal-relative:page;mso-position-vertical-relative:page;z-index:-264520" type="#_x0000_t202" filled="false" stroked="false">
          <v:textbox inset="0,0,0,0">
            <w:txbxContent>
              <w:p>
                <w:pPr>
                  <w:spacing w:before="12"/>
                  <w:ind w:left="40" w:right="0" w:firstLine="0"/>
                  <w:jc w:val="left"/>
                  <w:rPr>
                    <w:rFonts w:ascii="Times New Roman"/>
                    <w:sz w:val="18"/>
                  </w:rPr>
                </w:pPr>
                <w:r>
                  <w:rPr/>
                  <w:fldChar w:fldCharType="begin"/>
                </w:r>
                <w:r>
                  <w:rPr>
                    <w:rFonts w:ascii="Times New Roman"/>
                    <w:sz w:val="18"/>
                  </w:rPr>
                  <w:instrText> PAGE </w:instrText>
                </w:r>
                <w:r>
                  <w:rPr/>
                  <w:fldChar w:fldCharType="separate"/>
                </w:r>
                <w:r>
                  <w:rPr/>
                  <w:t>10</w:t>
                </w:r>
                <w:r>
                  <w:rPr/>
                  <w:fldChar w:fldCharType="end"/>
                </w: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494.440308pt;margin-top:781.11969pt;width:13pt;height:12pt;mso-position-horizontal-relative:page;mso-position-vertical-relative:page;z-index:-264496" type="#_x0000_t202" filled="false" stroked="false">
          <v:textbox inset="0,0,0,0">
            <w:txbxContent>
              <w:p>
                <w:pPr>
                  <w:spacing w:before="12"/>
                  <w:ind w:left="40" w:right="0" w:firstLine="0"/>
                  <w:jc w:val="left"/>
                  <w:rPr>
                    <w:rFonts w:ascii="Times New Roman"/>
                    <w:sz w:val="18"/>
                  </w:rPr>
                </w:pPr>
                <w:r>
                  <w:rPr/>
                  <w:fldChar w:fldCharType="begin"/>
                </w:r>
                <w:r>
                  <w:rPr>
                    <w:rFonts w:ascii="Times New Roman"/>
                    <w:sz w:val="18"/>
                  </w:rPr>
                  <w:instrText> PAGE </w:instrText>
                </w:r>
                <w:r>
                  <w:rPr/>
                  <w:fldChar w:fldCharType="separate"/>
                </w:r>
                <w:r>
                  <w:rPr/>
                  <w:t>51</w:t>
                </w:r>
                <w:r>
                  <w:rPr/>
                  <w:fldChar w:fldCharType="end"/>
                </w:r>
              </w:p>
            </w:txbxContent>
          </v:textbox>
          <w10:wrap type="non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14"/>
      </w:rPr>
    </w:pPr>
    <w:r>
      <w:rPr/>
      <w:pict>
        <v:shape style="position:absolute;margin-left:75.559998pt;margin-top:781.119568pt;width:11pt;height:12pt;mso-position-horizontal-relative:page;mso-position-vertical-relative:page;z-index:-264472" type="#_x0000_t202" filled="false" stroked="false">
          <v:textbox inset="0,0,0,0">
            <w:txbxContent>
              <w:p>
                <w:pPr>
                  <w:spacing w:before="12"/>
                  <w:ind w:left="20" w:right="0" w:firstLine="0"/>
                  <w:jc w:val="left"/>
                  <w:rPr>
                    <w:rFonts w:ascii="Times New Roman"/>
                    <w:sz w:val="18"/>
                  </w:rPr>
                </w:pPr>
                <w:r>
                  <w:rPr/>
                  <w:fldChar w:fldCharType="begin"/>
                </w:r>
                <w:r>
                  <w:rPr>
                    <w:rFonts w:ascii="Times New Roman"/>
                    <w:sz w:val="18"/>
                  </w:rPr>
                  <w:instrText> PAGE </w:instrText>
                </w:r>
                <w:r>
                  <w:rPr/>
                  <w:fldChar w:fldCharType="separate"/>
                </w:r>
                <w:r>
                  <w:rPr/>
                  <w:t>56</w:t>
                </w:r>
                <w:r>
                  <w:rPr/>
                  <w:fldChar w:fldCharType="end"/>
                </w:r>
              </w:p>
            </w:txbxContent>
          </v:textbox>
          <w10:wrap type="non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14"/>
      </w:rPr>
    </w:pPr>
    <w:r>
      <w:rPr/>
      <w:pict>
        <v:shape style="position:absolute;margin-left:507.700012pt;margin-top:781.11969pt;width:13pt;height:12pt;mso-position-horizontal-relative:page;mso-position-vertical-relative:page;z-index:-264448" type="#_x0000_t202" filled="false" stroked="false">
          <v:textbox inset="0,0,0,0">
            <w:txbxContent>
              <w:p>
                <w:pPr>
                  <w:spacing w:before="12"/>
                  <w:ind w:left="40" w:right="0" w:firstLine="0"/>
                  <w:jc w:val="left"/>
                  <w:rPr>
                    <w:rFonts w:ascii="Times New Roman"/>
                    <w:sz w:val="18"/>
                  </w:rPr>
                </w:pPr>
                <w:r>
                  <w:rPr/>
                  <w:fldChar w:fldCharType="begin"/>
                </w:r>
                <w:r>
                  <w:rPr>
                    <w:rFonts w:ascii="Times New Roman"/>
                    <w:sz w:val="18"/>
                  </w:rPr>
                  <w:instrText> PAGE </w:instrText>
                </w:r>
                <w:r>
                  <w:rPr/>
                  <w:fldChar w:fldCharType="separate"/>
                </w:r>
                <w:r>
                  <w:rPr/>
                  <w:t>57</w:t>
                </w:r>
                <w:r>
                  <w:rPr/>
                  <w:fldChar w:fldCharType="end"/>
                </w:r>
              </w:p>
            </w:txbxContent>
          </v:textbox>
          <w10:wrap type="non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74.559998pt;margin-top:781.119568pt;width:13pt;height:12pt;mso-position-horizontal-relative:page;mso-position-vertical-relative:page;z-index:-264424" type="#_x0000_t202" filled="false" stroked="false">
          <v:textbox inset="0,0,0,0">
            <w:txbxContent>
              <w:p>
                <w:pPr>
                  <w:spacing w:before="12"/>
                  <w:ind w:left="40" w:right="0" w:firstLine="0"/>
                  <w:jc w:val="left"/>
                  <w:rPr>
                    <w:rFonts w:ascii="Times New Roman"/>
                    <w:sz w:val="18"/>
                  </w:rPr>
                </w:pPr>
                <w:r>
                  <w:rPr/>
                  <w:fldChar w:fldCharType="begin"/>
                </w:r>
                <w:r>
                  <w:rPr>
                    <w:rFonts w:ascii="Times New Roman"/>
                    <w:sz w:val="18"/>
                  </w:rPr>
                  <w:instrText> PAGE </w:instrText>
                </w:r>
                <w:r>
                  <w:rPr/>
                  <w:fldChar w:fldCharType="separate"/>
                </w:r>
                <w:r>
                  <w:rPr/>
                  <w:t>56</w:t>
                </w:r>
                <w:r>
                  <w:rPr/>
                  <w:fldChar w:fldCharType="end"/>
                </w:r>
              </w:p>
            </w:txbxContent>
          </v:textbox>
          <w10:wrap type="none"/>
        </v:shape>
      </w:pict>
    </w:r>
  </w:p>
</w:ft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evenAndOddHeaders/>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仿宋_GB2312" w:hAnsi="仿宋_GB2312" w:eastAsia="仿宋_GB2312" w:cs="仿宋_GB2312"/>
    </w:rPr>
  </w:style>
  <w:style w:styleId="BodyText" w:type="paragraph">
    <w:name w:val="Body Text"/>
    <w:basedOn w:val="Normal"/>
    <w:uiPriority w:val="1"/>
    <w:qFormat/>
    <w:pPr>
      <w:ind w:left="111"/>
    </w:pPr>
    <w:rPr>
      <w:rFonts w:ascii="仿宋_GB2312" w:hAnsi="仿宋_GB2312" w:eastAsia="仿宋_GB2312" w:cs="仿宋_GB2312"/>
      <w:sz w:val="32"/>
      <w:szCs w:val="32"/>
    </w:rPr>
  </w:style>
  <w:style w:styleId="Heading1" w:type="paragraph">
    <w:name w:val="Heading 1"/>
    <w:basedOn w:val="Normal"/>
    <w:uiPriority w:val="1"/>
    <w:qFormat/>
    <w:pPr>
      <w:ind w:right="155"/>
      <w:jc w:val="center"/>
      <w:outlineLvl w:val="1"/>
    </w:pPr>
    <w:rPr>
      <w:rFonts w:ascii="黑体" w:hAnsi="黑体" w:eastAsia="黑体" w:cs="黑体"/>
      <w:sz w:val="44"/>
      <w:szCs w:val="44"/>
    </w:rPr>
  </w:style>
  <w:style w:styleId="Heading2" w:type="paragraph">
    <w:name w:val="Heading 2"/>
    <w:basedOn w:val="Normal"/>
    <w:uiPriority w:val="1"/>
    <w:qFormat/>
    <w:pPr>
      <w:jc w:val="center"/>
      <w:outlineLvl w:val="2"/>
    </w:pPr>
    <w:rPr>
      <w:rFonts w:ascii="黑体" w:hAnsi="黑体" w:eastAsia="黑体" w:cs="黑体"/>
      <w:sz w:val="36"/>
      <w:szCs w:val="36"/>
    </w:rPr>
  </w:style>
  <w:style w:styleId="ListParagraph" w:type="paragraph">
    <w:name w:val="List Paragraph"/>
    <w:basedOn w:val="Normal"/>
    <w:uiPriority w:val="1"/>
    <w:qFormat/>
    <w:pPr/>
    <w:rPr/>
  </w:style>
  <w:style w:styleId="TableParagraph" w:type="paragraph">
    <w:name w:val="Table Paragraph"/>
    <w:basedOn w:val="Normal"/>
    <w:uiPriority w:val="1"/>
    <w:qFormat/>
    <w:pPr/>
    <w:rPr>
      <w:rFonts w:ascii="宋体" w:hAnsi="宋体" w:eastAsia="宋体" w:cs="宋体"/>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footer" Target="footer2.xml"/><Relationship Id="rId7" Type="http://schemas.openxmlformats.org/officeDocument/2006/relationships/footer" Target="footer3.xml"/><Relationship Id="rId8" Type="http://schemas.openxmlformats.org/officeDocument/2006/relationships/footer" Target="footer4.xml"/><Relationship Id="rId9" Type="http://schemas.openxmlformats.org/officeDocument/2006/relationships/footer" Target="footer5.xml"/><Relationship Id="rId10" Type="http://schemas.openxmlformats.org/officeDocument/2006/relationships/image" Target="media/image1.png"/><Relationship Id="rId11" Type="http://schemas.openxmlformats.org/officeDocument/2006/relationships/image" Target="media/image2.jpeg"/><Relationship Id="rId12" Type="http://schemas.openxmlformats.org/officeDocument/2006/relationships/image" Target="media/image3.jpeg"/><Relationship Id="rId13" Type="http://schemas.openxmlformats.org/officeDocument/2006/relationships/image" Target="media/image4.jpeg"/><Relationship Id="rId14" Type="http://schemas.openxmlformats.org/officeDocument/2006/relationships/image" Target="media/image5.jpeg"/><Relationship Id="rId15" Type="http://schemas.openxmlformats.org/officeDocument/2006/relationships/image" Target="media/image6.jpeg"/><Relationship Id="rId16" Type="http://schemas.openxmlformats.org/officeDocument/2006/relationships/image" Target="media/image7.jpeg"/><Relationship Id="rId17" Type="http://schemas.openxmlformats.org/officeDocument/2006/relationships/image" Target="media/image8.png"/><Relationship Id="rId18" Type="http://schemas.openxmlformats.org/officeDocument/2006/relationships/image" Target="media/image9.png"/><Relationship Id="rId19" Type="http://schemas.openxmlformats.org/officeDocument/2006/relationships/image" Target="media/image10.png"/><Relationship Id="rId20" Type="http://schemas.openxmlformats.org/officeDocument/2006/relationships/image" Target="media/image11.jpeg"/><Relationship Id="rId21" Type="http://schemas.openxmlformats.org/officeDocument/2006/relationships/image" Target="media/image12.jpeg"/><Relationship Id="rId22" Type="http://schemas.openxmlformats.org/officeDocument/2006/relationships/footer" Target="footer6.xml"/><Relationship Id="rId23" Type="http://schemas.openxmlformats.org/officeDocument/2006/relationships/footer" Target="footer7.xml"/><Relationship Id="rId24" Type="http://schemas.openxmlformats.org/officeDocument/2006/relationships/image" Target="media/image13.jpeg"/><Relationship Id="rId25" Type="http://schemas.openxmlformats.org/officeDocument/2006/relationships/image" Target="media/image14.jpeg"/><Relationship Id="rId26" Type="http://schemas.openxmlformats.org/officeDocument/2006/relationships/image" Target="media/image15.jpeg"/><Relationship Id="rId27" Type="http://schemas.openxmlformats.org/officeDocument/2006/relationships/footer" Target="footer8.xml"/><Relationship Id="rId28" Type="http://schemas.openxmlformats.org/officeDocument/2006/relationships/footer" Target="footer9.xml"/><Relationship Id="rId29" Type="http://schemas.openxmlformats.org/officeDocument/2006/relationships/image" Target="media/image16.png"/><Relationship Id="rId30"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dc:title>&lt;4D6963726F736F667420576F7264202D20CAAEC8FDCEE5B9E6BBAEB8D92E646F63&gt;</dc:title>
  <dcterms:created xsi:type="dcterms:W3CDTF">2021-09-29T15:46:58Z</dcterms:created>
  <dcterms:modified xsi:type="dcterms:W3CDTF">2021-09-29T15:46:58Z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2016-03-07T00:00:00Z</vt:filetime>
  </property>
  <property fmtid="{D5CDD505-2E9C-101B-9397-08002B2CF9AE}" pid="3" name="Creator">
    <vt:lpwstr>PScript5.dll Version 5.2.2</vt:lpwstr>
  </property>
  <property fmtid="{D5CDD505-2E9C-101B-9397-08002B2CF9AE}" pid="4" name="LastSaved">
    <vt:filetime>2021-09-29T00:00:00Z</vt:filetime>
  </property>
</Properties>
</file>